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197485</wp:posOffset>
            </wp:positionV>
            <wp:extent cx="629221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248920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32" w:lineRule="exact"/>
        <w:rPr>
          <w:sz w:val="24"/>
          <w:szCs w:val="24"/>
          <w:color w:val="auto"/>
        </w:rPr>
      </w:pPr>
    </w:p>
    <w:p>
      <w:pPr>
        <w:jc w:val="center"/>
        <w:ind w:left="3640" w:right="900" w:hanging="2736"/>
        <w:spacing w:after="0" w:line="266" w:lineRule="auto"/>
        <w:tabs>
          <w:tab w:leader="none" w:pos="1119"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 xml:space="preserve">ANNUAL REPORT PURSUANT TO SECTION 13 OR 15(d) OF THE SECURITIES EXCHANGE ACT OF 1934 </w:t>
      </w:r>
      <w:r>
        <w:rPr>
          <w:rFonts w:ascii="Times New Roman" w:cs="Times New Roman" w:eastAsia="Times New Roman" w:hAnsi="Times New Roman"/>
          <w:sz w:val="16"/>
          <w:szCs w:val="16"/>
          <w:color w:val="auto"/>
        </w:rPr>
        <w:t>For the fiscal year ended March 31, 2024</w:t>
      </w:r>
    </w:p>
    <w:p>
      <w:pPr>
        <w:spacing w:after="0" w:line="1" w:lineRule="exact"/>
        <w:rPr>
          <w:rFonts w:ascii="MS PGothic" w:cs="MS PGothic" w:eastAsia="MS PGothic" w:hAnsi="MS PGothic"/>
          <w:sz w:val="18"/>
          <w:szCs w:val="18"/>
          <w:color w:val="auto"/>
        </w:rPr>
      </w:pPr>
    </w:p>
    <w:p>
      <w:pPr>
        <w:ind w:left="4900"/>
        <w:spacing w:after="0"/>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or</w:t>
      </w:r>
    </w:p>
    <w:p>
      <w:pPr>
        <w:spacing w:after="0" w:line="22" w:lineRule="exact"/>
        <w:rPr>
          <w:rFonts w:ascii="MS PGothic" w:cs="MS PGothic" w:eastAsia="MS PGothic" w:hAnsi="MS PGothic"/>
          <w:sz w:val="18"/>
          <w:szCs w:val="18"/>
          <w:color w:val="auto"/>
        </w:rPr>
      </w:pPr>
    </w:p>
    <w:p>
      <w:pPr>
        <w:ind w:left="2020" w:right="700" w:hanging="1260"/>
        <w:spacing w:after="0" w:line="294" w:lineRule="auto"/>
        <w:tabs>
          <w:tab w:leader="none" w:pos="97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 xml:space="preserve">TRANSITION REPORT PURSUANT TO SECTION 13 OR 15(d) OF THE SECURITIES EXCHANGE ACT OF 1934 </w:t>
      </w:r>
      <w:r>
        <w:rPr>
          <w:rFonts w:ascii="Times New Roman" w:cs="Times New Roman" w:eastAsia="Times New Roman" w:hAnsi="Times New Roman"/>
          <w:sz w:val="16"/>
          <w:szCs w:val="16"/>
          <w:color w:val="auto"/>
        </w:rPr>
        <w:t>For the transition period from _______________________ to _______________________</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001-40853</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Kyndryl Holdings, Inc.</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79"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4360" w:type="dxa"/>
            <w:vAlign w:val="bottom"/>
            <w:gridSpan w:val="3"/>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520" w:type="dxa"/>
            <w:vAlign w:val="bottom"/>
          </w:tcPr>
          <w:p>
            <w:pPr>
              <w:spacing w:after="0"/>
              <w:rPr>
                <w:sz w:val="17"/>
                <w:szCs w:val="17"/>
                <w:color w:val="auto"/>
              </w:rPr>
            </w:pPr>
          </w:p>
        </w:tc>
        <w:tc>
          <w:tcPr>
            <w:tcW w:w="4020" w:type="dxa"/>
            <w:vAlign w:val="bottom"/>
            <w:gridSpan w:val="3"/>
          </w:tcPr>
          <w:p>
            <w:pPr>
              <w:jc w:val="right"/>
              <w:ind w:right="1964"/>
              <w:spacing w:after="0"/>
              <w:rPr>
                <w:sz w:val="20"/>
                <w:szCs w:val="20"/>
                <w:color w:val="auto"/>
              </w:rPr>
            </w:pPr>
            <w:r>
              <w:rPr>
                <w:rFonts w:ascii="Times New Roman" w:cs="Times New Roman" w:eastAsia="Times New Roman" w:hAnsi="Times New Roman"/>
                <w:sz w:val="16"/>
                <w:szCs w:val="16"/>
                <w:b w:val="1"/>
                <w:bCs w:val="1"/>
                <w:color w:val="auto"/>
              </w:rPr>
              <w:t>86-1185492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gridSpan w:val="3"/>
          </w:tcPr>
          <w:p>
            <w:pPr>
              <w:jc w:val="center"/>
              <w:ind w:left="379"/>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1520" w:type="dxa"/>
            <w:vAlign w:val="bottom"/>
          </w:tcPr>
          <w:p>
            <w:pPr>
              <w:spacing w:after="0"/>
              <w:rPr>
                <w:sz w:val="18"/>
                <w:szCs w:val="18"/>
                <w:color w:val="auto"/>
              </w:rPr>
            </w:pPr>
          </w:p>
        </w:tc>
        <w:tc>
          <w:tcPr>
            <w:tcW w:w="4020" w:type="dxa"/>
            <w:vAlign w:val="bottom"/>
            <w:gridSpan w:val="3"/>
          </w:tcPr>
          <w:p>
            <w:pPr>
              <w:jc w:val="center"/>
              <w:ind w:right="764"/>
              <w:spacing w:after="0"/>
              <w:rPr>
                <w:sz w:val="20"/>
                <w:szCs w:val="20"/>
                <w:color w:val="auto"/>
              </w:rPr>
            </w:pPr>
            <w:r>
              <w:rPr>
                <w:rFonts w:ascii="Times New Roman" w:cs="Times New Roman" w:eastAsia="Times New Roman" w:hAnsi="Times New Roman"/>
                <w:sz w:val="16"/>
                <w:szCs w:val="16"/>
                <w:color w:val="auto"/>
              </w:rPr>
              <w:t>(IRS employer identification number)</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4360" w:type="dxa"/>
            <w:vAlign w:val="bottom"/>
            <w:gridSpan w:val="3"/>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w w:val="99"/>
              </w:rPr>
              <w:t>One Vanderbilt Avenue, 15th Floor</w:t>
            </w:r>
          </w:p>
        </w:tc>
        <w:tc>
          <w:tcPr>
            <w:tcW w:w="1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60" w:type="dxa"/>
            <w:vAlign w:val="bottom"/>
            <w:gridSpan w:val="3"/>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w w:val="98"/>
              </w:rPr>
              <w:t>New York, New York</w:t>
            </w:r>
          </w:p>
        </w:tc>
        <w:tc>
          <w:tcPr>
            <w:tcW w:w="1520" w:type="dxa"/>
            <w:vAlign w:val="bottom"/>
          </w:tcPr>
          <w:p>
            <w:pPr>
              <w:spacing w:after="0"/>
              <w:rPr>
                <w:sz w:val="17"/>
                <w:szCs w:val="17"/>
                <w:color w:val="auto"/>
              </w:rPr>
            </w:pPr>
          </w:p>
        </w:tc>
        <w:tc>
          <w:tcPr>
            <w:tcW w:w="4020" w:type="dxa"/>
            <w:vAlign w:val="bottom"/>
            <w:gridSpan w:val="3"/>
          </w:tcPr>
          <w:p>
            <w:pPr>
              <w:jc w:val="right"/>
              <w:ind w:right="2144"/>
              <w:spacing w:after="0"/>
              <w:rPr>
                <w:sz w:val="20"/>
                <w:szCs w:val="20"/>
                <w:color w:val="auto"/>
              </w:rPr>
            </w:pPr>
            <w:r>
              <w:rPr>
                <w:rFonts w:ascii="Times New Roman" w:cs="Times New Roman" w:eastAsia="Times New Roman" w:hAnsi="Times New Roman"/>
                <w:sz w:val="16"/>
                <w:szCs w:val="16"/>
                <w:b w:val="1"/>
                <w:bCs w:val="1"/>
                <w:color w:val="auto"/>
              </w:rPr>
              <w:t>10017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gridSpan w:val="3"/>
          </w:tcPr>
          <w:p>
            <w:pPr>
              <w:jc w:val="center"/>
              <w:ind w:left="37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tcPr>
          <w:p>
            <w:pPr>
              <w:jc w:val="center"/>
              <w:ind w:right="1624"/>
              <w:spacing w:after="0"/>
              <w:rPr>
                <w:sz w:val="20"/>
                <w:szCs w:val="20"/>
                <w:color w:val="auto"/>
              </w:rPr>
            </w:pPr>
            <w:r>
              <w:rPr>
                <w:rFonts w:ascii="Times New Roman" w:cs="Times New Roman" w:eastAsia="Times New Roman" w:hAnsi="Times New Roman"/>
                <w:sz w:val="16"/>
                <w:szCs w:val="16"/>
                <w:color w:val="auto"/>
                <w:w w:val="98"/>
              </w:rPr>
              <w:t>(Zip Code)</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520" w:type="dxa"/>
            <w:vAlign w:val="bottom"/>
          </w:tcPr>
          <w:p>
            <w:pPr>
              <w:jc w:val="center"/>
              <w:ind w:right="282"/>
              <w:spacing w:after="0"/>
              <w:rPr>
                <w:sz w:val="20"/>
                <w:szCs w:val="20"/>
                <w:color w:val="auto"/>
              </w:rPr>
            </w:pPr>
            <w:r>
              <w:rPr>
                <w:rFonts w:ascii="Times New Roman" w:cs="Times New Roman" w:eastAsia="Times New Roman" w:hAnsi="Times New Roman"/>
                <w:sz w:val="16"/>
                <w:szCs w:val="16"/>
                <w:b w:val="1"/>
                <w:bCs w:val="1"/>
                <w:color w:val="auto"/>
              </w:rPr>
              <w:t>212-896-2098</w:t>
            </w: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6740" w:type="dxa"/>
            <w:vAlign w:val="bottom"/>
            <w:gridSpan w:val="6"/>
          </w:tcPr>
          <w:p>
            <w:pPr>
              <w:jc w:val="center"/>
              <w:ind w:right="3104"/>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900" w:type="dxa"/>
            <w:vAlign w:val="bottom"/>
            <w:gridSpan w:val="7"/>
          </w:tcPr>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0" w:type="dxa"/>
            <w:vAlign w:val="bottom"/>
          </w:tcPr>
          <w:p>
            <w:pPr>
              <w:spacing w:after="0"/>
              <w:rPr>
                <w:sz w:val="1"/>
                <w:szCs w:val="1"/>
                <w:color w:val="auto"/>
              </w:rPr>
            </w:pPr>
          </w:p>
        </w:tc>
      </w:tr>
      <w:tr>
        <w:trPr>
          <w:trHeight w:val="184"/>
        </w:trPr>
        <w:tc>
          <w:tcPr>
            <w:tcW w:w="43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520" w:type="dxa"/>
            <w:vAlign w:val="bottom"/>
            <w:vMerge w:val="restart"/>
          </w:tcPr>
          <w:p>
            <w:pPr>
              <w:jc w:val="center"/>
              <w:ind w:right="242"/>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4"/>
        </w:trPr>
        <w:tc>
          <w:tcPr>
            <w:tcW w:w="4380" w:type="dxa"/>
            <w:vAlign w:val="bottom"/>
            <w:gridSpan w:val="4"/>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2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center"/>
              <w:ind w:right="262"/>
              <w:spacing w:after="0"/>
              <w:rPr>
                <w:sz w:val="20"/>
                <w:szCs w:val="20"/>
                <w:color w:val="auto"/>
              </w:rPr>
            </w:pPr>
            <w:r>
              <w:rPr>
                <w:rFonts w:ascii="Times New Roman" w:cs="Times New Roman" w:eastAsia="Times New Roman" w:hAnsi="Times New Roman"/>
                <w:sz w:val="16"/>
                <w:szCs w:val="16"/>
                <w:color w:val="auto"/>
                <w:w w:val="95"/>
              </w:rPr>
              <w:t>KD</w:t>
            </w:r>
          </w:p>
        </w:tc>
        <w:tc>
          <w:tcPr>
            <w:tcW w:w="6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c>
          <w:tcPr>
            <w:tcW w:w="0" w:type="dxa"/>
            <w:vAlign w:val="bottom"/>
          </w:tcPr>
          <w:p>
            <w:pPr>
              <w:spacing w:after="0"/>
              <w:rPr>
                <w:sz w:val="1"/>
                <w:szCs w:val="1"/>
                <w:color w:val="auto"/>
              </w:rPr>
            </w:pPr>
          </w:p>
        </w:tc>
      </w:tr>
    </w:tbl>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p>
      <w:pPr>
        <w:spacing w:after="0" w:line="26" w:lineRule="exact"/>
        <w:rPr>
          <w:sz w:val="24"/>
          <w:szCs w:val="24"/>
          <w:color w:val="auto"/>
        </w:rPr>
      </w:pPr>
    </w:p>
    <w:p>
      <w:pPr>
        <w:ind w:left="260"/>
        <w:spacing w:after="0" w:line="184" w:lineRule="exact"/>
        <w:tabs>
          <w:tab w:leader="none" w:pos="8440" w:val="left"/>
        </w:tabs>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83" w:lineRule="exact"/>
        <w:rPr>
          <w:sz w:val="24"/>
          <w:szCs w:val="24"/>
          <w:color w:val="auto"/>
        </w:rPr>
      </w:pPr>
    </w:p>
    <w:p>
      <w:pPr>
        <w:ind w:left="260"/>
        <w:spacing w:after="0" w:line="184" w:lineRule="exact"/>
        <w:tabs>
          <w:tab w:leader="none" w:pos="8580" w:val="left"/>
        </w:tabs>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32"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w:t>
      </w:r>
    </w:p>
    <w:p>
      <w:pPr>
        <w:spacing w:after="0" w:line="8" w:lineRule="exact"/>
        <w:rPr>
          <w:sz w:val="24"/>
          <w:szCs w:val="24"/>
          <w:color w:val="auto"/>
        </w:rPr>
      </w:pPr>
    </w:p>
    <w:p>
      <w:pPr>
        <w:ind w:right="260"/>
        <w:spacing w:after="0" w:line="216" w:lineRule="exact"/>
        <w:rPr>
          <w:sz w:val="20"/>
          <w:szCs w:val="20"/>
          <w:color w:val="auto"/>
        </w:rPr>
      </w:pPr>
      <w:r>
        <w:rPr>
          <w:rFonts w:ascii="Times New Roman" w:cs="Times New Roman" w:eastAsia="Times New Roman" w:hAnsi="Times New Roman"/>
          <w:sz w:val="16"/>
          <w:szCs w:val="16"/>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ind w:right="40" w:firstLine="259"/>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 w:lineRule="exact"/>
        <w:rPr>
          <w:sz w:val="24"/>
          <w:szCs w:val="24"/>
          <w:color w:val="auto"/>
        </w:rPr>
      </w:pPr>
    </w:p>
    <w:p>
      <w:pPr>
        <w:ind w:right="20" w:firstLine="259"/>
        <w:spacing w:after="0" w:line="264"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1" w:right="999" w:bottom="1440" w:gutter="0" w:footer="0" w:header="0"/>
        </w:sectPr>
      </w:pPr>
    </w:p>
    <w:p>
      <w:pPr>
        <w:ind w:left="166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73" w:lineRule="exact"/>
        <w:rPr>
          <w:sz w:val="24"/>
          <w:szCs w:val="24"/>
          <w:color w:val="auto"/>
        </w:rPr>
      </w:pPr>
    </w:p>
    <w:p>
      <w:pPr>
        <w:ind w:left="1700"/>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ind w:left="340"/>
        <w:spacing w:after="0" w:line="16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7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1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68" w:lineRule="exact"/>
        <w:rPr>
          <w:sz w:val="24"/>
          <w:szCs w:val="24"/>
          <w:color w:val="auto"/>
        </w:rPr>
      </w:pPr>
    </w:p>
    <w:p>
      <w:pPr>
        <w:sectPr>
          <w:pgSz w:w="11900" w:h="16838" w:orient="portrait"/>
          <w:cols w:equalWidth="0" w:num="2">
            <w:col w:w="5740" w:space="720"/>
            <w:col w:w="3460"/>
          </w:cols>
          <w:pgMar w:left="980" w:top="661" w:right="999" w:bottom="1440" w:gutter="0" w:footer="0" w:header="0"/>
          <w:type w:val="continuous"/>
        </w:sectPr>
      </w:pPr>
    </w:p>
    <w:p>
      <w:pPr>
        <w:ind w:right="280" w:firstLine="25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right="60" w:firstLine="259"/>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6"/>
          <w:szCs w:val="16"/>
          <w:color w:val="auto"/>
        </w:rPr>
        <w:t>☒</w:t>
      </w:r>
    </w:p>
    <w:p>
      <w:pPr>
        <w:spacing w:after="0" w:line="2" w:lineRule="exact"/>
        <w:rPr>
          <w:sz w:val="24"/>
          <w:szCs w:val="24"/>
          <w:color w:val="auto"/>
        </w:rPr>
      </w:pPr>
    </w:p>
    <w:p>
      <w:pPr>
        <w:ind w:right="60" w:firstLine="259"/>
        <w:spacing w:after="0" w:line="209"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 w:lineRule="exact"/>
        <w:rPr>
          <w:sz w:val="24"/>
          <w:szCs w:val="24"/>
          <w:color w:val="auto"/>
        </w:rPr>
      </w:pPr>
    </w:p>
    <w:p>
      <w:pPr>
        <w:ind w:right="220" w:firstLine="259"/>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 w:lineRule="exact"/>
        <w:rPr>
          <w:sz w:val="24"/>
          <w:szCs w:val="24"/>
          <w:color w:val="auto"/>
        </w:rPr>
      </w:pPr>
    </w:p>
    <w:p>
      <w:pPr>
        <w:ind w:left="260"/>
        <w:spacing w:after="0" w:line="184" w:lineRule="exact"/>
        <w:tabs>
          <w:tab w:leader="none" w:pos="7760" w:val="left"/>
          <w:tab w:leader="none" w:pos="83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43" w:lineRule="exact"/>
        <w:rPr>
          <w:sz w:val="24"/>
          <w:szCs w:val="24"/>
          <w:color w:val="auto"/>
        </w:rPr>
      </w:pPr>
    </w:p>
    <w:p>
      <w:pPr>
        <w:ind w:right="140" w:firstLine="259"/>
        <w:spacing w:after="0" w:line="259" w:lineRule="auto"/>
        <w:rPr>
          <w:sz w:val="20"/>
          <w:szCs w:val="20"/>
          <w:color w:val="auto"/>
        </w:rPr>
      </w:pPr>
      <w:r>
        <w:rPr>
          <w:rFonts w:ascii="Times New Roman" w:cs="Times New Roman" w:eastAsia="Times New Roman" w:hAnsi="Times New Roman"/>
          <w:sz w:val="16"/>
          <w:szCs w:val="16"/>
          <w:color w:val="auto"/>
        </w:rPr>
        <w:t>The aggregate market value of the registrant’s common stock held by non-affiliates of the registrant was $3.4 billion, based on the closing price on September 29, 2023, the last day of business of the registrant’s most recently completed second fiscal quarter, as reported on the New York Stock Exchange.</w:t>
      </w:r>
    </w:p>
    <w:p>
      <w:pPr>
        <w:spacing w:after="0" w:line="2"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6"/>
          <w:szCs w:val="16"/>
          <w:color w:val="auto"/>
        </w:rPr>
        <w:t>The number of shares of the registrant’s common stock, par value $0.01 per share, outstanding at May 23, 2024 was 230,513,437.</w:t>
      </w:r>
    </w:p>
    <w:p>
      <w:pPr>
        <w:spacing w:after="0" w:line="19" w:lineRule="exact"/>
        <w:rPr>
          <w:sz w:val="24"/>
          <w:szCs w:val="24"/>
          <w:color w:val="auto"/>
        </w:rPr>
      </w:pPr>
    </w:p>
    <w:p>
      <w:pPr>
        <w:ind w:left="2160" w:right="120" w:hanging="1383"/>
        <w:spacing w:after="0" w:line="288" w:lineRule="auto"/>
        <w:rPr>
          <w:sz w:val="20"/>
          <w:szCs w:val="20"/>
          <w:color w:val="auto"/>
        </w:rPr>
      </w:pPr>
      <w:r>
        <w:rPr>
          <w:rFonts w:ascii="Times New Roman" w:cs="Times New Roman" w:eastAsia="Times New Roman" w:hAnsi="Times New Roman"/>
          <w:sz w:val="16"/>
          <w:szCs w:val="16"/>
          <w:color w:val="auto"/>
        </w:rPr>
        <w:t>DOCUMENTS INCORPORATED BY REFERENCE: Portions of the registrant’s Proxy Statement relating to the registrant’s 2024 Annual Meeting of Stockholders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400685</wp:posOffset>
            </wp:positionV>
            <wp:extent cx="629221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-19050</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23495</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2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Index</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4220" w:type="dxa"/>
            <w:vAlign w:val="bottom"/>
            <w:gridSpan w:val="23"/>
            <w:vMerge w:val="restart"/>
          </w:tcPr>
          <w:p>
            <w:pPr>
              <w:spacing w:after="0"/>
              <w:rPr>
                <w:sz w:val="20"/>
                <w:szCs w:val="20"/>
                <w:color w:val="auto"/>
              </w:rPr>
            </w:pPr>
            <w:r>
              <w:rPr>
                <w:rFonts w:ascii="Times New Roman" w:cs="Times New Roman" w:eastAsia="Times New Roman" w:hAnsi="Times New Roman"/>
                <w:sz w:val="18"/>
                <w:szCs w:val="18"/>
                <w:color w:val="0000EE"/>
              </w:rPr>
              <w:t>PART I</w:t>
            </w:r>
          </w:p>
        </w:tc>
        <w:tc>
          <w:tcPr>
            <w:tcW w:w="440" w:type="dxa"/>
            <w:vAlign w:val="bottom"/>
            <w:tcBorders>
              <w:top w:val="single" w:sz="8" w:color="auto"/>
              <w:bottom w:val="single" w:sz="8" w:color="auto"/>
            </w:tcBorders>
            <w:vMerge w:val="restart"/>
          </w:tcPr>
          <w:p>
            <w:pPr>
              <w:spacing w:after="0"/>
              <w:rPr>
                <w:sz w:val="24"/>
                <w:szCs w:val="24"/>
                <w:color w:val="auto"/>
              </w:rPr>
            </w:pPr>
          </w:p>
        </w:tc>
        <w:tc>
          <w:tcPr>
            <w:tcW w:w="3880" w:type="dxa"/>
            <w:vAlign w:val="bottom"/>
            <w:gridSpan w:val="9"/>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c>
          <w:tcPr>
            <w:tcW w:w="0" w:type="dxa"/>
            <w:vAlign w:val="bottom"/>
          </w:tcPr>
          <w:p>
            <w:pPr>
              <w:spacing w:after="0"/>
              <w:rPr>
                <w:sz w:val="1"/>
                <w:szCs w:val="1"/>
                <w:color w:val="auto"/>
              </w:rPr>
            </w:pPr>
          </w:p>
        </w:tc>
      </w:tr>
      <w:tr>
        <w:trPr>
          <w:trHeight w:val="155"/>
        </w:trPr>
        <w:tc>
          <w:tcPr>
            <w:tcW w:w="4220" w:type="dxa"/>
            <w:vAlign w:val="bottom"/>
            <w:gridSpan w:val="23"/>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3880" w:type="dxa"/>
            <w:vAlign w:val="bottom"/>
            <w:gridSpan w:val="9"/>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80" w:type="dxa"/>
            <w:vAlign w:val="bottom"/>
          </w:tcPr>
          <w:p>
            <w:pPr>
              <w:spacing w:after="0"/>
              <w:rPr>
                <w:sz w:val="24"/>
                <w:szCs w:val="24"/>
                <w:color w:val="auto"/>
              </w:rPr>
            </w:pPr>
          </w:p>
        </w:tc>
        <w:tc>
          <w:tcPr>
            <w:tcW w:w="836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Item 1. Business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5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1A. Risk Factors</w:t>
            </w:r>
          </w:p>
        </w:tc>
        <w:tc>
          <w:tcPr>
            <w:tcW w:w="6780" w:type="dxa"/>
            <w:vAlign w:val="bottom"/>
            <w:gridSpan w:val="2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72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1B. Unresolved Staff Comments</w:t>
            </w:r>
          </w:p>
        </w:tc>
        <w:tc>
          <w:tcPr>
            <w:tcW w:w="564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6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1C. Cybersecurity</w:t>
            </w:r>
          </w:p>
        </w:tc>
        <w:tc>
          <w:tcPr>
            <w:tcW w:w="6680" w:type="dxa"/>
            <w:vAlign w:val="bottom"/>
            <w:gridSpan w:val="2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2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Item 2. Properties</w:t>
            </w:r>
          </w:p>
        </w:tc>
        <w:tc>
          <w:tcPr>
            <w:tcW w:w="7080" w:type="dxa"/>
            <w:vAlign w:val="bottom"/>
            <w:gridSpan w:val="2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Item 3. Legal Proceedings</w:t>
            </w:r>
          </w:p>
        </w:tc>
        <w:tc>
          <w:tcPr>
            <w:tcW w:w="6480" w:type="dxa"/>
            <w:vAlign w:val="bottom"/>
            <w:gridSpan w:val="2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32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Item 4. Mine Safety Disclosures</w:t>
            </w:r>
          </w:p>
        </w:tc>
        <w:tc>
          <w:tcPr>
            <w:tcW w:w="6040" w:type="dxa"/>
            <w:vAlign w:val="bottom"/>
            <w:gridSpan w:val="1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412"/>
        </w:trPr>
        <w:tc>
          <w:tcPr>
            <w:tcW w:w="854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PART 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836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Item 5. Market for Registrant’s Common Equity, Related Stockholder Matters and Issuer Purchases of Equity</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5"/>
              </w:rPr>
              <w:t>Securities</w:t>
            </w:r>
          </w:p>
        </w:tc>
        <w:tc>
          <w:tcPr>
            <w:tcW w:w="7840" w:type="dxa"/>
            <w:vAlign w:val="bottom"/>
            <w:gridSpan w:val="2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3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Item 6. (Reserved)</w:t>
            </w:r>
          </w:p>
        </w:tc>
        <w:tc>
          <w:tcPr>
            <w:tcW w:w="7020" w:type="dxa"/>
            <w:vAlign w:val="bottom"/>
            <w:gridSpan w:val="2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36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Item 7. Management’s Discussion and Analysis of Financial Condition and Results of Operations</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5040" w:type="dxa"/>
            <w:vAlign w:val="bottom"/>
            <w:tcBorders>
              <w:top w:val="single" w:sz="8" w:color="0000EE"/>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Item 7A. Quantitative and Qualitative Disclosures About Market Risk</w:t>
            </w:r>
          </w:p>
        </w:tc>
        <w:tc>
          <w:tcPr>
            <w:tcW w:w="1960" w:type="dxa"/>
            <w:vAlign w:val="bottom"/>
            <w:tcBorders>
              <w:top w:val="single" w:sz="8" w:color="0000EE"/>
            </w:tcBorders>
            <w:gridSpan w:val="3"/>
          </w:tcPr>
          <w:p>
            <w:pPr>
              <w:spacing w:after="0"/>
              <w:rPr>
                <w:sz w:val="17"/>
                <w:szCs w:val="17"/>
                <w:color w:val="auto"/>
              </w:rPr>
            </w:pPr>
          </w:p>
        </w:tc>
        <w:tc>
          <w:tcPr>
            <w:tcW w:w="136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88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Item 8. Financial Statements and Supplementary Data</w:t>
            </w:r>
          </w:p>
        </w:tc>
        <w:tc>
          <w:tcPr>
            <w:tcW w:w="448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36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Item 9. Changes in and Disagreements with Accountants on Accounting and Financial Disclosure</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106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Item 9A. Controls and Procedures</w:t>
            </w:r>
          </w:p>
        </w:tc>
        <w:tc>
          <w:tcPr>
            <w:tcW w:w="4560" w:type="dxa"/>
            <w:vAlign w:val="bottom"/>
            <w:tcBorders>
              <w:top w:val="single" w:sz="8" w:color="0000EE"/>
            </w:tcBorders>
            <w:gridSpan w:val="12"/>
          </w:tcPr>
          <w:p>
            <w:pPr>
              <w:spacing w:after="0"/>
              <w:rPr>
                <w:sz w:val="17"/>
                <w:szCs w:val="17"/>
                <w:color w:val="auto"/>
              </w:rPr>
            </w:pPr>
          </w:p>
        </w:tc>
        <w:tc>
          <w:tcPr>
            <w:tcW w:w="134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106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9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Item 9B. Other Information</w:t>
            </w:r>
          </w:p>
        </w:tc>
        <w:tc>
          <w:tcPr>
            <w:tcW w:w="638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108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36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Item 9C. Disclosure Regarding Foreign Jurisdictions that Prevent Inspections</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108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60" w:type="dxa"/>
            <w:vAlign w:val="bottom"/>
            <w:gridSpan w:val="8"/>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54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PART III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60" w:type="dxa"/>
            <w:vAlign w:val="bottom"/>
            <w:gridSpan w:val="8"/>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36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Item 10. Directors, Executive Officers and Corporate Governance</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108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440" w:type="dxa"/>
            <w:vAlign w:val="bottom"/>
            <w:tcBorders>
              <w:top w:val="single" w:sz="8" w:color="0000EE"/>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11. Executive Compensation</w:t>
            </w:r>
          </w:p>
        </w:tc>
        <w:tc>
          <w:tcPr>
            <w:tcW w:w="2280" w:type="dxa"/>
            <w:vAlign w:val="bottom"/>
            <w:tcBorders>
              <w:top w:val="single" w:sz="8" w:color="0000EE"/>
            </w:tcBorders>
            <w:gridSpan w:val="8"/>
          </w:tcPr>
          <w:p>
            <w:pPr>
              <w:spacing w:after="0"/>
              <w:rPr>
                <w:sz w:val="17"/>
                <w:szCs w:val="17"/>
                <w:color w:val="auto"/>
              </w:rPr>
            </w:pPr>
          </w:p>
        </w:tc>
        <w:tc>
          <w:tcPr>
            <w:tcW w:w="364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108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36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Item 12. Security Ownership of Certain Beneficial Owners and Management and Related Stockholder Matters</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108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7920" w:type="dxa"/>
            <w:vAlign w:val="bottom"/>
            <w:tcBorders>
              <w:top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Item 13. Certain Relationships and Related Transactions, and Director Independence</w:t>
            </w:r>
          </w:p>
        </w:tc>
        <w:tc>
          <w:tcPr>
            <w:tcW w:w="44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108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500" w:type="dxa"/>
            <w:vAlign w:val="bottom"/>
            <w:tcBorders>
              <w:top w:val="single" w:sz="8" w:color="0000EE"/>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14. Principal Accountant Fees and Services</w:t>
            </w:r>
          </w:p>
        </w:tc>
        <w:tc>
          <w:tcPr>
            <w:tcW w:w="2580" w:type="dxa"/>
            <w:vAlign w:val="bottom"/>
            <w:tcBorders>
              <w:top w:val="single" w:sz="8" w:color="0000EE"/>
            </w:tcBorders>
            <w:gridSpan w:val="8"/>
          </w:tcPr>
          <w:p>
            <w:pPr>
              <w:spacing w:after="0"/>
              <w:rPr>
                <w:sz w:val="17"/>
                <w:szCs w:val="17"/>
                <w:color w:val="auto"/>
              </w:rPr>
            </w:pPr>
          </w:p>
        </w:tc>
        <w:tc>
          <w:tcPr>
            <w:tcW w:w="228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108</w:t>
            </w:r>
          </w:p>
        </w:tc>
        <w:tc>
          <w:tcPr>
            <w:tcW w:w="0" w:type="dxa"/>
            <w:vAlign w:val="bottom"/>
          </w:tcPr>
          <w:p>
            <w:pPr>
              <w:spacing w:after="0"/>
              <w:rPr>
                <w:sz w:val="1"/>
                <w:szCs w:val="1"/>
                <w:color w:val="auto"/>
              </w:rPr>
            </w:pPr>
          </w:p>
        </w:tc>
      </w:tr>
      <w:tr>
        <w:trPr>
          <w:trHeight w:val="412"/>
        </w:trPr>
        <w:tc>
          <w:tcPr>
            <w:tcW w:w="6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2"/>
              </w:rPr>
              <w:t>PART IV</w:t>
            </w:r>
          </w:p>
        </w:tc>
        <w:tc>
          <w:tcPr>
            <w:tcW w:w="7880" w:type="dxa"/>
            <w:vAlign w:val="bottom"/>
            <w:gridSpan w:val="28"/>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54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15. Exhibits, Financial Statement Schedules</w:t>
            </w:r>
          </w:p>
        </w:tc>
        <w:tc>
          <w:tcPr>
            <w:tcW w:w="482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109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36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Item 16. Form 10-K Summary</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112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1260" w:type="dxa"/>
            <w:vAlign w:val="bottom"/>
            <w:gridSpan w:val="8"/>
            <w:shd w:val="clear" w:color="auto" w:fill="0000EE"/>
          </w:tcPr>
          <w:p>
            <w:pPr>
              <w:spacing w:after="0" w:line="20" w:lineRule="exact"/>
              <w:rPr>
                <w:sz w:val="1"/>
                <w:szCs w:val="1"/>
                <w:color w:val="auto"/>
              </w:rPr>
            </w:pPr>
          </w:p>
        </w:tc>
        <w:tc>
          <w:tcPr>
            <w:tcW w:w="6180" w:type="dxa"/>
            <w:vAlign w:val="bottom"/>
            <w:gridSpan w:val="1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6"/>
              </w:rPr>
              <w:t>SIGNATURES</w:t>
            </w:r>
          </w:p>
        </w:tc>
        <w:tc>
          <w:tcPr>
            <w:tcW w:w="7440" w:type="dxa"/>
            <w:vAlign w:val="bottom"/>
            <w:gridSpan w:val="26"/>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02"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Kyndryl Holdings, Inc. (“we,” “Kyndryl” or the “Company”) is a leading technology services company and the largest IT infrastructure services provider in the world, serving thousands of enterprise customers and with operations in over 60 countries. We have a long track record of helping enterprises navigate major technological changes, particularly by enabling our customers to focus on the core aspects of their businesses during these shifts while trusting us with their most critical systems. Our purpose is to design, build and manage secure and responsive private, public and multi-cloud environments to serve our customers’ needs and accelerate their digital transformations.</w:t>
      </w:r>
    </w:p>
    <w:p>
      <w:pPr>
        <w:spacing w:after="0" w:line="147"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We provide engineering talent, operating solutions and insights derived from our knowledge and data around IT systems. This enables us to deliver advisory, implementation and managed services at scale across technology infrastructures that allow our customers to de-risk and realize the full value of their digital transformations. We do this while embracing new technologies and solutions and continually expanding our skills and capabilities, as we help advance the vital systems that power progress for our customers. We deliver technology services capabilities, insights and depth of expertise to modernize and manage IT environments based on our customers’ unique needs. We offer services across domains such as cloud services, core enterprise and zCloud services, applications, data and artificial intelligence (“AI”) services, digital workplace services, security and resiliency services and network and edge services as we continue to support our customers through technological change. Our services enable us to modernize and manage cloud and on-premises environments as “one” for our customers, enabling them to scale seamlessly.</w:t>
      </w:r>
    </w:p>
    <w:p>
      <w:pPr>
        <w:spacing w:after="0" w:line="154"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To deliver these services, we rely on our team of skilled practitioners, consisting of approximately 80,000 professionals. Since our large and diversified customer base operates in multiple industries and geographies, we utilize a flexible labor and delivery model with a balanced mix of global and local talent as needed to meet customer-specific needs, regulatory requirements and data protection and labor laws. Our employees leverage their deep engineering expertise and extensive experience operating complex and heterogeneous technology environments to drive service quality, intellectual property development and our long-term trusted customer relationships.</w:t>
      </w:r>
    </w:p>
    <w:p>
      <w:pPr>
        <w:spacing w:after="0" w:line="160"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As described in “— Our Customers,” we have many customer relationships that are decades long, as we provide high-quality, mission-critical services that are core to operations with customers that represent the backbones of their respective industries. These customers entrust us to deliver the services they need and to manage their complex environments so that they can achieve their business objectives.</w:t>
      </w:r>
    </w:p>
    <w:p>
      <w:pPr>
        <w:spacing w:after="0" w:line="139"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We partner with a broad ecosystem, including a wide range of hyperscale cloud providers, system integrators, independent software vendors and technology vendors from startups to market leaders. This enables us to serve our customers with contemporary technology capabilities that best fit their needs and open new avenues for growth. This is all underpinned by our ability to integrate and operate mission-critical technology at scale using deep engineering expertise and intellectual property.</w:t>
      </w:r>
    </w:p>
    <w:p>
      <w:pPr>
        <w:spacing w:after="0" w:line="143"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Our approach has enabled us to reach significant scale, with $16.1 billion in revenue in fiscal year 2024, which ended March 31, 2024. We are focused on driving revenue growth with sustainable margins by extending our leadership in the markets in which we operate while investing in our capabilities and expanding our high-value, next-generation services consistent with customer needs.</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Kyndryl’s Spin-off</w:t>
      </w:r>
    </w:p>
    <w:p>
      <w:pPr>
        <w:spacing w:after="0" w:line="189"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November 2021, our former parent company, International Business Machines Corporation (“IBM”, “Parent” or “former Parent”) effected the spin-off (the “Separation” or the “Spin-off”) of the infrastructure services unit (the “Kyndryl Businesses”) of its Global Technology Services segment through the distribution of shares of Kyndryl’s common stock to IBM stockholders (the “Distribution”). On November 3, 2021, the Separation was achieved through the former Parent’s pro rata distribution of 80.1% of the shares of common stock of Kyndryl to holders of the former Parent’s common stock as of the close of business on the record date of October 25, 2021. Kyndryl’s stock began trading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as an independent company on November 4, 2021, and IBM disposed of its 19.9% retained interest in Kyndryl common stock in the year following the Spin-off.</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Industry and Market Opportunity</w:t>
      </w:r>
    </w:p>
    <w:p>
      <w:pPr>
        <w:spacing w:after="0" w:line="189" w:lineRule="exact"/>
        <w:rPr>
          <w:sz w:val="20"/>
          <w:szCs w:val="20"/>
          <w:color w:val="auto"/>
        </w:rPr>
      </w:pPr>
    </w:p>
    <w:p>
      <w:pPr>
        <w:ind w:left="60" w:right="199" w:firstLine="648"/>
        <w:spacing w:after="0" w:line="274" w:lineRule="auto"/>
        <w:rPr>
          <w:sz w:val="20"/>
          <w:szCs w:val="20"/>
          <w:color w:val="auto"/>
        </w:rPr>
      </w:pPr>
      <w:r>
        <w:rPr>
          <w:rFonts w:ascii="Times New Roman" w:cs="Times New Roman" w:eastAsia="Times New Roman" w:hAnsi="Times New Roman"/>
          <w:sz w:val="17"/>
          <w:szCs w:val="17"/>
          <w:color w:val="auto"/>
        </w:rPr>
        <w:t>We operate in an industry that provides services for the technology environments that power customers’ businesses. These services span areas such as management of mission-critical systems across dedicated data centers and multiple clouds. As customers advance their digital transformations, they are looking for partners that understand their business objectives and unique digital journeys and have the skills to engineer and operate the IT environments to enable their transformations. Our long-standing position as an informed and trusted partner, with decades-long relationships and leading capabilities, provides us with the knowledge and expertise to help existing and new customers realize their future.</w:t>
      </w:r>
    </w:p>
    <w:p>
      <w:pPr>
        <w:spacing w:after="0" w:line="173" w:lineRule="exact"/>
        <w:rPr>
          <w:sz w:val="20"/>
          <w:szCs w:val="20"/>
          <w:color w:val="auto"/>
        </w:rPr>
      </w:pPr>
    </w:p>
    <w:p>
      <w:pPr>
        <w:jc w:val="both"/>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The markets for these services are large and dynamic. We estimate that these markets, which are a subset of the total IT services market, collectively represent a $586 billion opportunity in calendar year 2024. Growth in this market is driven by services that are aligned to customers’ transformations, including public cloud managed services, data services, security services, intelligent automation services and managed services for edge environments.</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Several trends underpin the growth of our market, including:</w:t>
      </w:r>
    </w:p>
    <w:p>
      <w:pPr>
        <w:spacing w:after="0" w:line="221" w:lineRule="exact"/>
        <w:rPr>
          <w:sz w:val="20"/>
          <w:szCs w:val="20"/>
          <w:color w:val="auto"/>
        </w:rPr>
      </w:pPr>
    </w:p>
    <w:p>
      <w:pPr>
        <w:ind w:left="720" w:right="179" w:hanging="319"/>
        <w:spacing w:after="0" w:line="278" w:lineRule="auto"/>
        <w:tabs>
          <w:tab w:leader="none" w:pos="7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Greater demand for digital transformation services. </w:t>
      </w:r>
      <w:r>
        <w:rPr>
          <w:rFonts w:ascii="Times New Roman" w:cs="Times New Roman" w:eastAsia="Times New Roman" w:hAnsi="Times New Roman"/>
          <w:sz w:val="17"/>
          <w:szCs w:val="17"/>
          <w:color w:val="auto"/>
        </w:rPr>
        <w:t>Companies continue to digitally transform to deliver better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customer experiences and compete more effectively, which drives the need for services to support modernization of IT within the enterprise. This trend has expanded in recent years as organizations look to further their digital capabilities and new technologies proliferate. While customers seek to transform, skills availability often represents a challenge, with lack of skills often being an impediment to transformation of the IT environment.</w:t>
      </w:r>
    </w:p>
    <w:p>
      <w:pPr>
        <w:spacing w:after="0" w:line="123" w:lineRule="exact"/>
        <w:rPr>
          <w:rFonts w:ascii="Times New Roman" w:cs="Times New Roman" w:eastAsia="Times New Roman" w:hAnsi="Times New Roman"/>
          <w:sz w:val="17"/>
          <w:szCs w:val="17"/>
          <w:color w:val="auto"/>
        </w:rPr>
      </w:pPr>
    </w:p>
    <w:p>
      <w:pPr>
        <w:ind w:left="720" w:right="119" w:hanging="319"/>
        <w:spacing w:after="0" w:line="256" w:lineRule="auto"/>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Ongoing migration to cloud. </w:t>
      </w:r>
      <w:r>
        <w:rPr>
          <w:rFonts w:ascii="Times New Roman" w:cs="Times New Roman" w:eastAsia="Times New Roman" w:hAnsi="Times New Roman"/>
          <w:sz w:val="18"/>
          <w:szCs w:val="18"/>
          <w:color w:val="auto"/>
        </w:rPr>
        <w:t>Companies continue to move workloads to the cloud, adopting new capabilities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flexibility, workload portability and management. Public cloud is an increasingly critical component of enterprise IT strategy, and hybrid and multi-cloud technologies offer flexibility to achieve security, performance and cost savings needed for critical workloads. These transitions are often complex, with companies frequently seeking assistance from service providers. The extension of cloud services to multiple environments in different locations has given rise to distributed cloud and migration of workloads to these infrastructures that have a greater fit for purpose.</w:t>
      </w:r>
    </w:p>
    <w:p>
      <w:pPr>
        <w:spacing w:after="0" w:line="155" w:lineRule="exact"/>
        <w:rPr>
          <w:rFonts w:ascii="Times New Roman" w:cs="Times New Roman" w:eastAsia="Times New Roman" w:hAnsi="Times New Roman"/>
          <w:sz w:val="18"/>
          <w:szCs w:val="18"/>
          <w:color w:val="auto"/>
        </w:rPr>
      </w:pPr>
    </w:p>
    <w:p>
      <w:pPr>
        <w:ind w:left="720" w:right="179" w:hanging="319"/>
        <w:spacing w:after="0" w:line="256" w:lineRule="auto"/>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Rapid data growth. </w:t>
      </w:r>
      <w:r>
        <w:rPr>
          <w:rFonts w:ascii="Times New Roman" w:cs="Times New Roman" w:eastAsia="Times New Roman" w:hAnsi="Times New Roman"/>
          <w:sz w:val="18"/>
          <w:szCs w:val="18"/>
          <w:color w:val="auto"/>
        </w:rPr>
        <w:t>As economies have evolved digitally, significantly increasing data volume, management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data has become much more complex. The challenge for many organizations is how to collect, harness and govern this data for insights, including by leveraging AI and generative AI, and realizing data readiness as a differentiator. Generating AI insights at scale requires establishing data foundations, architectures and large-language model operations frameworks. In order to leverage advanced capabilities such as AI, generative AI and machine learning, enterprises additionally need to address data privacy, compliance, security, multi-cloud data management and data governance across physical and virtual layers of the IT estate.</w:t>
      </w:r>
    </w:p>
    <w:p>
      <w:pPr>
        <w:spacing w:after="0" w:line="142" w:lineRule="exact"/>
        <w:rPr>
          <w:rFonts w:ascii="Times New Roman" w:cs="Times New Roman" w:eastAsia="Times New Roman" w:hAnsi="Times New Roman"/>
          <w:sz w:val="18"/>
          <w:szCs w:val="18"/>
          <w:color w:val="auto"/>
        </w:rPr>
      </w:pPr>
    </w:p>
    <w:p>
      <w:pPr>
        <w:ind w:left="720" w:right="79" w:hanging="319"/>
        <w:spacing w:after="0" w:line="257" w:lineRule="auto"/>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Increasing need for secure systems. </w:t>
      </w:r>
      <w:r>
        <w:rPr>
          <w:rFonts w:ascii="Times New Roman" w:cs="Times New Roman" w:eastAsia="Times New Roman" w:hAnsi="Times New Roman"/>
          <w:sz w:val="18"/>
          <w:szCs w:val="18"/>
          <w:color w:val="auto"/>
        </w:rPr>
        <w:t>As technology environments become increasingly complex and online,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remote and distributed work environments persist, cybersecurity will remain of paramount importance as threats proliferate. Breaches in security can have severe, lasting financial and reputational consequences on businesses. In response, businesses continue to build out their cybersecurity efforts, using service providers to augment their capabilities. Enterprises seek service providers that can deploy the expertise and resources needed to manage their growing cybersecurity needs with an efficient and comprehensive view of their IT environment.</w:t>
      </w:r>
    </w:p>
    <w:p>
      <w:pPr>
        <w:spacing w:after="0" w:line="141" w:lineRule="exact"/>
        <w:rPr>
          <w:rFonts w:ascii="Times New Roman" w:cs="Times New Roman" w:eastAsia="Times New Roman" w:hAnsi="Times New Roman"/>
          <w:sz w:val="18"/>
          <w:szCs w:val="18"/>
          <w:color w:val="auto"/>
        </w:rPr>
      </w:pPr>
    </w:p>
    <w:p>
      <w:pPr>
        <w:ind w:left="720" w:right="279" w:hanging="319"/>
        <w:spacing w:after="0" w:line="262" w:lineRule="auto"/>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Accelerating pace of technological advancement. </w:t>
      </w:r>
      <w:r>
        <w:rPr>
          <w:rFonts w:ascii="Times New Roman" w:cs="Times New Roman" w:eastAsia="Times New Roman" w:hAnsi="Times New Roman"/>
          <w:sz w:val="18"/>
          <w:szCs w:val="18"/>
          <w:color w:val="auto"/>
        </w:rPr>
        <w:t>As companies adopt new technologies, such as AI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generative AI, for improved productivity, customer experience, operational agility, business performance and innovation, they often face challenges in complexity to integrate these new technologies with their existing IT estates. As a result, the required skills, integration burden and cost in end-to-end operational management often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79"/>
        <w:spacing w:after="0" w:line="282" w:lineRule="auto"/>
        <w:rPr>
          <w:sz w:val="20"/>
          <w:szCs w:val="20"/>
          <w:color w:val="auto"/>
        </w:rPr>
      </w:pPr>
      <w:r>
        <w:rPr>
          <w:rFonts w:ascii="Times New Roman" w:cs="Times New Roman" w:eastAsia="Times New Roman" w:hAnsi="Times New Roman"/>
          <w:sz w:val="18"/>
          <w:szCs w:val="18"/>
          <w:color w:val="auto"/>
        </w:rPr>
        <w:t>increases. As generative AI is disrupting businesses at an accelerated pace, adopting new technologies requires a well-designed IT environment orchestrated to effectively realize business objectives.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Services</w:t>
      </w:r>
    </w:p>
    <w:p>
      <w:pPr>
        <w:spacing w:after="0" w:line="189"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We provide advisory, implementation and managed services in and across a range of technology domains to help our customers manage and modernize enterprise IT environments in support of their business and transformation objectives. Our services are differentiated based on our expertise, quality of service, innovation, and intellectual property and data around IT patterns across customers in the following domains:</w:t>
      </w:r>
    </w:p>
    <w:p>
      <w:pPr>
        <w:spacing w:after="0" w:line="176" w:lineRule="exact"/>
        <w:rPr>
          <w:sz w:val="20"/>
          <w:szCs w:val="20"/>
          <w:color w:val="auto"/>
        </w:rPr>
      </w:pPr>
    </w:p>
    <w:p>
      <w:pPr>
        <w:ind w:left="720" w:right="119" w:hanging="319"/>
        <w:spacing w:after="0" w:line="257" w:lineRule="auto"/>
        <w:tabs>
          <w:tab w:leader="none" w:pos="7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Cloud Services: </w:t>
      </w:r>
      <w:r>
        <w:rPr>
          <w:rFonts w:ascii="Times New Roman" w:cs="Times New Roman" w:eastAsia="Times New Roman" w:hAnsi="Times New Roman"/>
          <w:sz w:val="18"/>
          <w:szCs w:val="18"/>
          <w:color w:val="auto"/>
        </w:rPr>
        <w:t>We design, build and provide managed services for our customers’ multi-cloud environments.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apply a mix of skilled practitioners, intelligent automation and modern service management principles of Site Reliability Engineering, AI for IT operations (“AIOps”), Infrastructure as Code and DevOps. We help enterprises optimize their use of hyperscale cloud providers in a unified environment, seamlessly integrating services delivered by independent software vendors (“ISVs”), large public cloud providers, internal platforms and other technologies.</w:t>
      </w:r>
    </w:p>
    <w:p>
      <w:pPr>
        <w:spacing w:after="0" w:line="141" w:lineRule="exact"/>
        <w:rPr>
          <w:rFonts w:ascii="Times New Roman" w:cs="Times New Roman" w:eastAsia="Times New Roman" w:hAnsi="Times New Roman"/>
          <w:sz w:val="18"/>
          <w:szCs w:val="18"/>
          <w:color w:val="auto"/>
        </w:rPr>
      </w:pPr>
    </w:p>
    <w:p>
      <w:pPr>
        <w:ind w:left="720" w:right="239" w:hanging="359"/>
        <w:spacing w:after="0" w:line="259"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Core Enterprise &amp; zCloud Services: </w:t>
      </w:r>
      <w:r>
        <w:rPr>
          <w:rFonts w:ascii="Times New Roman" w:cs="Times New Roman" w:eastAsia="Times New Roman" w:hAnsi="Times New Roman"/>
          <w:sz w:val="18"/>
          <w:szCs w:val="18"/>
          <w:color w:val="auto"/>
        </w:rPr>
        <w:t>We establish and operate modern technology infrastructure on behalf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enterprise customers to enable their current and future growth and profitability objectives, whether they want to modernize their existing infrastructure, integrate their existing infrastructure with hyperscale cloud providers, or migrate to a new platform. We support a range of enterprise architectures, including mainframe environments, distributed computing, enterprise networks and storage environments.</w:t>
      </w:r>
    </w:p>
    <w:p>
      <w:pPr>
        <w:spacing w:after="0" w:line="152" w:lineRule="exact"/>
        <w:rPr>
          <w:rFonts w:ascii="Times New Roman" w:cs="Times New Roman" w:eastAsia="Times New Roman" w:hAnsi="Times New Roman"/>
          <w:sz w:val="18"/>
          <w:szCs w:val="18"/>
          <w:color w:val="auto"/>
        </w:rPr>
      </w:pPr>
    </w:p>
    <w:p>
      <w:pPr>
        <w:ind w:left="720" w:right="79" w:hanging="319"/>
        <w:spacing w:after="0" w:line="271" w:lineRule="auto"/>
        <w:tabs>
          <w:tab w:leader="none" w:pos="72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Application, Data &amp; AI Services: </w:t>
      </w:r>
      <w:r>
        <w:rPr>
          <w:rFonts w:ascii="Times New Roman" w:cs="Times New Roman" w:eastAsia="Times New Roman" w:hAnsi="Times New Roman"/>
          <w:sz w:val="17"/>
          <w:szCs w:val="17"/>
          <w:color w:val="auto"/>
        </w:rPr>
        <w:t>We provide end-to-end enterprise data services, including data transformation,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data architecture and management, data governance and compliance and data migration. We support chief digital officers, chief information officers (“CIOs”) and chief technology officers (“CTOs”) in governing the vast quantities of enterprise data across internal and external sources to drive their digital strategies, transactions and business objectives and to enable the implementation of AI and generative AI tools, while maintaining security, ethical standards and compliance with country-specific data protection regulations. We provide services to design, build, manage and automate the IT environments for enterprise applications as they migrate to the cloud. Our services help CIOs and CTOs unlock the full value of leading third-party enterprise resource planning systems (e.g., Oracle and SAP) and packaged applications through the use of AI and software-defined technologies.</w:t>
      </w:r>
    </w:p>
    <w:p>
      <w:pPr>
        <w:spacing w:after="0" w:line="132" w:lineRule="exact"/>
        <w:rPr>
          <w:rFonts w:ascii="Times New Roman" w:cs="Times New Roman" w:eastAsia="Times New Roman" w:hAnsi="Times New Roman"/>
          <w:sz w:val="17"/>
          <w:szCs w:val="17"/>
          <w:color w:val="auto"/>
        </w:rPr>
      </w:pPr>
    </w:p>
    <w:p>
      <w:pPr>
        <w:jc w:val="both"/>
        <w:ind w:left="720" w:right="519" w:hanging="319"/>
        <w:spacing w:after="0" w:line="262" w:lineRule="auto"/>
        <w:tabs>
          <w:tab w:leader="none" w:pos="7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Digital Workplace Services: </w:t>
      </w:r>
      <w:r>
        <w:rPr>
          <w:rFonts w:ascii="Times New Roman" w:cs="Times New Roman" w:eastAsia="Times New Roman" w:hAnsi="Times New Roman"/>
          <w:sz w:val="18"/>
          <w:szCs w:val="18"/>
          <w:color w:val="auto"/>
        </w:rPr>
        <w:t>Our digital workplace services provide the technology infrastructure, mobility,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security and access solutions to support a global workforce that is constantly evolving. Our services include enterprise mobility solutions that provide users with the ability to work seamlessly across environments and locations.</w:t>
      </w:r>
    </w:p>
    <w:p>
      <w:pPr>
        <w:spacing w:after="0" w:line="135" w:lineRule="exact"/>
        <w:rPr>
          <w:rFonts w:ascii="Times New Roman" w:cs="Times New Roman" w:eastAsia="Times New Roman" w:hAnsi="Times New Roman"/>
          <w:sz w:val="18"/>
          <w:szCs w:val="18"/>
          <w:color w:val="auto"/>
        </w:rPr>
      </w:pPr>
    </w:p>
    <w:p>
      <w:pPr>
        <w:ind w:left="720" w:right="159" w:hanging="319"/>
        <w:spacing w:after="0" w:line="256" w:lineRule="auto"/>
        <w:tabs>
          <w:tab w:leader="none" w:pos="7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Security &amp; Resiliency Services: </w:t>
      </w:r>
      <w:r>
        <w:rPr>
          <w:rFonts w:ascii="Times New Roman" w:cs="Times New Roman" w:eastAsia="Times New Roman" w:hAnsi="Times New Roman"/>
          <w:sz w:val="18"/>
          <w:szCs w:val="18"/>
          <w:color w:val="auto"/>
        </w:rPr>
        <w:t>We provide comprehensive enterprise cybersecurity services for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security officers (“CISOs”) and chief risk officers, including insights, protection, detection, response and recovery to support the security of our customers’ hybrid IT estates, data and operations. Concurrently, we provide resiliency services that include a mix of business continuity planning and cloud-based disaster recovery capabilities (composed of experts, digital tools, automation and failover environments). These services allow our customers to operate without issue or disruption in response to attacks, outages, natural disasters and geopolitical events.</w:t>
      </w:r>
    </w:p>
    <w:p>
      <w:pPr>
        <w:spacing w:after="0" w:line="155" w:lineRule="exact"/>
        <w:rPr>
          <w:rFonts w:ascii="Times New Roman" w:cs="Times New Roman" w:eastAsia="Times New Roman" w:hAnsi="Times New Roman"/>
          <w:sz w:val="18"/>
          <w:szCs w:val="18"/>
          <w:color w:val="auto"/>
        </w:rPr>
      </w:pPr>
    </w:p>
    <w:p>
      <w:pPr>
        <w:ind w:left="720" w:right="119" w:hanging="319"/>
        <w:spacing w:after="0" w:line="256" w:lineRule="auto"/>
        <w:tabs>
          <w:tab w:leader="none" w:pos="7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Network Services &amp; Edge: </w:t>
      </w:r>
      <w:r>
        <w:rPr>
          <w:rFonts w:ascii="Times New Roman" w:cs="Times New Roman" w:eastAsia="Times New Roman" w:hAnsi="Times New Roman"/>
          <w:sz w:val="18"/>
          <w:szCs w:val="18"/>
          <w:color w:val="auto"/>
        </w:rPr>
        <w:t>We provide network and edge services to help customers meet their technological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 requirements for connectivity and compute across their digital environments. Our strategy and assessment services help evaluate customers’ network needs for their multi-cloud environments, while our network transformation and managed services allow customers to realize benefits of the latest software-defined network technologies and wireless technologies. We deliver these services with a proprietary framework and architecture coupled with proof of concepts to then implement and manage enterprise networks with the appropriate economics.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Our advisory and implementation services are branded as “Kyndryl Consult,” span all six of the practices described above, and represented approximately 15 percent of our total revenue for the year ended March 31, 2024. In the area of AI and generative AI, we both (i) apply AI and machine learning to deliver services through our Kyndryl Bridge operating platform and (ii) enable our customers to deploy AI and generative AI solutions through our data architecture, data governance, network and security services.</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89" w:lineRule="exact"/>
        <w:rPr>
          <w:sz w:val="20"/>
          <w:szCs w:val="20"/>
          <w:color w:val="auto"/>
        </w:rPr>
      </w:pPr>
    </w:p>
    <w:p>
      <w:pPr>
        <w:ind w:left="60" w:right="79" w:firstLine="648"/>
        <w:spacing w:after="0" w:line="272" w:lineRule="auto"/>
        <w:rPr>
          <w:sz w:val="20"/>
          <w:szCs w:val="20"/>
          <w:color w:val="auto"/>
        </w:rPr>
      </w:pPr>
      <w:r>
        <w:rPr>
          <w:rFonts w:ascii="Times New Roman" w:cs="Times New Roman" w:eastAsia="Times New Roman" w:hAnsi="Times New Roman"/>
          <w:sz w:val="17"/>
          <w:szCs w:val="17"/>
          <w:color w:val="auto"/>
        </w:rPr>
        <w:t>We are the largest IT infrastructure services provider in the world. We are a recognized leader in many of the services we provide. We are known for our technology integration and modernization expertise – advising, designing, building and managing complex technology environments. Our global, high-quality service delivery is underpinned by experienced and highly-trained practitioners who deliver our capabilities to our customers on a daily basis. Importantly, our culture of customer service excellence – especially in times of crisis, from pandemics to natural disasters, cyber-attacks and power outages – carries on from our heritage through our people. Given our unique capabilities, scale, intellectual property and engineering talent, we are positioned to partner with enterprises for their future across a range of technologies, use cases and business strategies to help them maximize the return on their technology investments and digital transformations.</w:t>
      </w:r>
    </w:p>
    <w:p>
      <w:pPr>
        <w:spacing w:after="0" w:line="131" w:lineRule="exact"/>
        <w:rPr>
          <w:sz w:val="20"/>
          <w:szCs w:val="20"/>
          <w:color w:val="auto"/>
        </w:rPr>
      </w:pPr>
    </w:p>
    <w:p>
      <w:pPr>
        <w:ind w:left="60" w:right="659" w:firstLine="648"/>
        <w:spacing w:after="0" w:line="282" w:lineRule="auto"/>
        <w:rPr>
          <w:sz w:val="20"/>
          <w:szCs w:val="20"/>
          <w:color w:val="auto"/>
        </w:rPr>
      </w:pPr>
      <w:r>
        <w:rPr>
          <w:rFonts w:ascii="Times New Roman" w:cs="Times New Roman" w:eastAsia="Times New Roman" w:hAnsi="Times New Roman"/>
          <w:sz w:val="18"/>
          <w:szCs w:val="18"/>
          <w:color w:val="auto"/>
        </w:rPr>
        <w:t>Our competitive strengths stem from our intellectual property and data around IT patterns, our employees’ experience and knowledge, our mission-critical expertise and our broad ecosystem of partners:</w:t>
      </w:r>
    </w:p>
    <w:p>
      <w:pPr>
        <w:spacing w:after="0" w:line="131" w:lineRule="exact"/>
        <w:rPr>
          <w:sz w:val="20"/>
          <w:szCs w:val="20"/>
          <w:color w:val="auto"/>
        </w:rPr>
      </w:pPr>
    </w:p>
    <w:p>
      <w:pPr>
        <w:ind w:left="720" w:right="99" w:hanging="319"/>
        <w:spacing w:after="0" w:line="254"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are a leader in technology services</w:t>
      </w:r>
      <w:r>
        <w:rPr>
          <w:rFonts w:ascii="Times New Roman" w:cs="Times New Roman" w:eastAsia="Times New Roman" w:hAnsi="Times New Roman"/>
          <w:sz w:val="18"/>
          <w:szCs w:val="18"/>
          <w:color w:val="auto"/>
        </w:rPr>
        <w:t>. We are the largest provider of IT infrastructure services and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recognized by research analysts as a leader in key service areas. Through our delivery capabilities, AI that augments our people and underpins our Kyndryl Bridge operating platform, and scale, we provide mission-critical services to a diversified customer base. We possess significant experience in virtually all industries, gained through collaboration with customers over 30 years designing, building and managing operating environments for their IT systems. Our highly skilled workforce provides the expertise (e.g., approximately 41,000 hyperscale cloud provider certifications) to securely and reliably handle many of the most complex issues. We also have unique intellectual property applicable to IT environments, as reflected by our portfolio of more than 3,300 patents.</w:t>
      </w:r>
    </w:p>
    <w:p>
      <w:pPr>
        <w:spacing w:after="0" w:line="147" w:lineRule="exact"/>
        <w:rPr>
          <w:rFonts w:ascii="Times New Roman" w:cs="Times New Roman" w:eastAsia="Times New Roman" w:hAnsi="Times New Roman"/>
          <w:sz w:val="18"/>
          <w:szCs w:val="18"/>
          <w:color w:val="auto"/>
        </w:rPr>
      </w:pPr>
    </w:p>
    <w:p>
      <w:pPr>
        <w:ind w:left="720" w:right="99" w:hanging="319"/>
        <w:spacing w:after="0" w:line="254"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consistently deliver performance and reliability for complex environments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expert practitioners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talented engineers provide services through modern ways of working, such as Agile and DevSecOps. Together with our customers and partners, we co-create solutions to complex real-world business problems, leveraging Kyndryl Vital, our design-led co-creation experience. Additionally, our unique intellectual property and industry-leading technology platforms utilize contemporary approaches to IT operations to provide reliable and efficient solutions for each customer’s operating model. These capabilities allow us to execute with secure and compliant operating and delivery models at scale, driving high-quality performance and customer satisfaction. We realize high-quality performance across thousands of service-level agreements and consistently achieve top-tier customer satisfaction and advocacy.</w:t>
      </w:r>
    </w:p>
    <w:p>
      <w:pPr>
        <w:spacing w:after="0" w:line="147" w:lineRule="exact"/>
        <w:rPr>
          <w:rFonts w:ascii="Times New Roman" w:cs="Times New Roman" w:eastAsia="Times New Roman" w:hAnsi="Times New Roman"/>
          <w:sz w:val="18"/>
          <w:szCs w:val="18"/>
          <w:color w:val="auto"/>
        </w:rPr>
      </w:pPr>
    </w:p>
    <w:p>
      <w:pPr>
        <w:ind w:left="720" w:right="99" w:hanging="319"/>
        <w:spacing w:after="0" w:line="254"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deliver insights at scale, supported by unique automation capabilities, end-to-end orchestration of processes and application of AI</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ability to deliver superior outcomes for customers is driven by our capacity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leverage our data around IT patterns and insights, derived from multiple technology environments across customer engagements. We apply machine learning, combined with our practitioner expertise, to derive unique insights used to service customers, enhance our offerings and produce our next-generation services. For example, we are recognized leaders in the use of automation and operational AI in the delivery of our services, executing more than 100 million automated actions per month in the IT environments we manage, which enables greater quality and efficiency for us and our customers. We leverage our operational AI approach and set of technologies, along with intellectual property that we apply and continually evolve to develop predictive actions to prevent issues before they arise.</w:t>
      </w:r>
    </w:p>
    <w:p>
      <w:pPr>
        <w:spacing w:after="0" w:line="158" w:lineRule="exact"/>
        <w:rPr>
          <w:rFonts w:ascii="Times New Roman" w:cs="Times New Roman" w:eastAsia="Times New Roman" w:hAnsi="Times New Roman"/>
          <w:sz w:val="18"/>
          <w:szCs w:val="18"/>
          <w:color w:val="auto"/>
        </w:rPr>
      </w:pPr>
    </w:p>
    <w:p>
      <w:pPr>
        <w:ind w:left="720" w:right="159" w:hanging="319"/>
        <w:spacing w:after="0" w:line="268"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We are a recognized leader in managed services for cloud and on-premises environments and services such as security and resiliency. </w:t>
      </w:r>
      <w:r>
        <w:rPr>
          <w:rFonts w:ascii="Times New Roman" w:cs="Times New Roman" w:eastAsia="Times New Roman" w:hAnsi="Times New Roman"/>
          <w:sz w:val="18"/>
          <w:szCs w:val="18"/>
          <w:color w:val="auto"/>
        </w:rPr>
        <w:t>We offer a range of high-value capabilities including cloud services and security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resiliency services, providing us with a sustainable competitive advantage when helping customers transform</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19"/>
        <w:spacing w:after="0" w:line="261" w:lineRule="auto"/>
        <w:rPr>
          <w:sz w:val="20"/>
          <w:szCs w:val="20"/>
          <w:color w:val="auto"/>
        </w:rPr>
      </w:pPr>
      <w:r>
        <w:rPr>
          <w:rFonts w:ascii="Times New Roman" w:cs="Times New Roman" w:eastAsia="Times New Roman" w:hAnsi="Times New Roman"/>
          <w:sz w:val="18"/>
          <w:szCs w:val="18"/>
          <w:color w:val="auto"/>
        </w:rPr>
        <w:t>their technology environments. Our multi-cloud management capabilities are differentiated by our ability to deliver an integrated view of our customers’ diverse technology environments and to provide our services and solutions digitally. We offer integrated services between the cloud and on-premises environments and manage the world’s largest mainframe estate.</w:t>
      </w:r>
    </w:p>
    <w:p>
      <w:pPr>
        <w:spacing w:after="0" w:line="149" w:lineRule="exact"/>
        <w:rPr>
          <w:sz w:val="20"/>
          <w:szCs w:val="20"/>
          <w:color w:val="auto"/>
        </w:rPr>
      </w:pPr>
    </w:p>
    <w:p>
      <w:pPr>
        <w:ind w:left="720" w:right="139" w:hanging="319"/>
        <w:spacing w:after="0" w:line="255"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We offer an integrated ecosystem to help customers adopt and run increasingly heterogeneous sets of technologies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customers pursue multiple cloud-based technology partners, applications and capabilities,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integration is increasingly critical for customers to manage and orchestrate the technology environments required to run their businesses and achieve their broader objectives. We provide holistic services across thousands of diverse technologies, delivering end-to-end integration across public and private / on-premises cloud platforms and other full-stack technology solutions. Our robust ecosystem of strategic global alliances and technology partners, including large public cloud providers, independent software vendors and other players in the technology stack, allows us to provide industry-leading technologies and capabilities for our customers.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Strategies</w:t>
      </w:r>
    </w:p>
    <w:p>
      <w:pPr>
        <w:spacing w:after="0" w:line="18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Our strategy is centered on our ability to build and enrich trusted relationships with customers and technology partners, differentiating Kyndryl through our proven ability to create and deploy scale-derived intellectual property, provide mission-critical expertise across industries and partner with a broad ecosystem for contemporary capabilities that best suit customers’ needs. We have a strong and long-standing foundation developed by governing and managing complex technology environments, including a range of third-party technologies (e.g., SAP, VMware, Red Hat, Dell and ServiceNow). We regularly introduce new capabilities with a highly curated ecosystem of technology providers, including strategic relationships with Microsoft, Google Cloud and Amazon Web Services announced since our Spin-off. Through these alliances, we are developing more services to expand the role we play with existing customers and to access new customers and markets.</w:t>
      </w:r>
    </w:p>
    <w:p>
      <w:pPr>
        <w:spacing w:after="0" w:line="161"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We have a long track record of running customers’ technology environments, enabling them to focus on the core aspects of their businesses. Given the nature of the work we do, we have a unique perspective on the operating paradigms that enable the high-quality technology environments which our customers have come to rely on for their most critical systems. This position enables us to meet customers where they are in their unique digital transformations, work alongside our customers to take them where they want to be and in turn enable them to realize the full, at-scale value of that journey. Underpinning all of this are our intellectual property, mission-critical expertise across industries and a broad ecosystem of technology alliances.</w:t>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focus is centered on the following strategic tenets:</w:t>
      </w:r>
    </w:p>
    <w:p>
      <w:pPr>
        <w:spacing w:after="0" w:line="181" w:lineRule="exact"/>
        <w:rPr>
          <w:sz w:val="20"/>
          <w:szCs w:val="20"/>
          <w:color w:val="auto"/>
        </w:rPr>
      </w:pPr>
    </w:p>
    <w:p>
      <w:pPr>
        <w:ind w:left="720" w:right="99" w:hanging="319"/>
        <w:spacing w:after="0" w:line="254"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Scale insights and intellectual property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are investing to position ourselves at the forefront of developing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innovating the services and operating paradigms for the evolution and integration of mission-critical technology, further expanding our existing intellectual property in differentiated areas. Our depth of experience implementing and operating complex architectures across technology sets has yielded valuable experience and intellectual property. We have more than 3,300 patents that relate to various areas of running complex technology environments, including patents related to multi-cloud management, orchestration, integrated monitoring, issue triage and resolution and other areas that enable quality of service. Our mission-critical expertise across all industries, augmented by our automation platforms that draw on our IP and data, is a key differentiator in managing complex technology environments.</w:t>
      </w:r>
    </w:p>
    <w:p>
      <w:pPr>
        <w:spacing w:after="0" w:line="161" w:lineRule="exact"/>
        <w:rPr>
          <w:rFonts w:ascii="Times New Roman" w:cs="Times New Roman" w:eastAsia="Times New Roman" w:hAnsi="Times New Roman"/>
          <w:sz w:val="18"/>
          <w:szCs w:val="18"/>
          <w:color w:val="auto"/>
        </w:rPr>
      </w:pPr>
    </w:p>
    <w:p>
      <w:pPr>
        <w:ind w:left="720" w:right="139" w:hanging="319"/>
        <w:spacing w:after="0" w:line="257"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Diverse ecosystem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an independent entity, we have embraced a broad ecosystem of strategic partnerships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wider set of technology and services companies. We are investing in an ecosystem of technology providers and corresponding skill-sets that are increasingly relevant as enterprises digitize and transform their business models, building on our existing base of certifications across many market-leading technologies. In parallel, we are extending our operating, governance and compliance models to this broader set of technologies to integrate and provide end-to-end capabilities for our customers as they digitize and evolve their environments.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20" w:right="159" w:hanging="319"/>
        <w:spacing w:after="0" w:line="257"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Digitally consumable services models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Looking ahead, we see opportunity to further expand in areas where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 serve customers through consumption models that allow them to experience our services digitally. These models will combine our Kyndryl Bridge platform – an open integration platform that delivers IT solutions by leveraging Kyndryl’s core strengths, data-driven insights and expertise, to create an uninterrupted path between a digital business and the technology that delivers it – with our technology governance and capabilities from our ecosystem partners for ease-of-use and scalability, tailored to the needs of specific customer segments.</w:t>
      </w:r>
    </w:p>
    <w:p>
      <w:pPr>
        <w:spacing w:after="0" w:line="159"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To execute these strategies, our operating model increasingly reflects that of a flat, fast and focused services company, centered around our customers’ success. We are pursuing an investment and co-investment strategy focused on building and maintaining world-class teams, developing aligned intellectual property and automation, and leveraging our ecosystem of technology alliance partners.</w:t>
      </w:r>
    </w:p>
    <w:p>
      <w:pPr>
        <w:spacing w:after="0" w:line="139"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To accelerate our return to profitable growth, we are aggressively executing on our “three-A” initiatives – Alliances, Advanced Delivery and Accounts. We believe our implementation of these strategic priorities will enhance the services we provide to our customers and will make significant positive contributions to our financial performance, both in the near term and over the next several years. Our global teams are leveraging our partnerships with leading technology vendors, further strengthening the automation we deploy in delivering our services, and addressing elements of our business with substandard margins as follows:</w:t>
      </w:r>
    </w:p>
    <w:p>
      <w:pPr>
        <w:spacing w:after="0" w:line="143" w:lineRule="exact"/>
        <w:rPr>
          <w:sz w:val="20"/>
          <w:szCs w:val="20"/>
          <w:color w:val="auto"/>
        </w:rPr>
      </w:pPr>
    </w:p>
    <w:p>
      <w:pPr>
        <w:ind w:left="720" w:right="99" w:hanging="319"/>
        <w:spacing w:after="0" w:line="256"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Alliances initiative </w:t>
      </w:r>
      <w:r>
        <w:rPr>
          <w:rFonts w:ascii="Times New Roman" w:cs="Times New Roman" w:eastAsia="Times New Roman" w:hAnsi="Times New Roman"/>
          <w:sz w:val="18"/>
          <w:szCs w:val="18"/>
          <w:color w:val="auto"/>
        </w:rPr>
        <w:t>– Driving signings, certifications and revenues with our new ecosystem partners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capabilities. We leverage our relationships with key hyperscale cloud providers and other leading technology vendors to expand our cloud and other offerings in the market, and the range of technology solutions we can offer to, and implement for, our customers. Since our Spin-off, we have announced business alliances with Microsoft, Amazon Web Services, Google Cloud, SAP, Dell, Cisco, Cloudflare and ServiceNow among others. We continue to expand the cloud-related capabilities we offer to customers and are growing the number of our hyperscale cloud provider certifications.</w:t>
      </w:r>
    </w:p>
    <w:p>
      <w:pPr>
        <w:spacing w:after="0" w:line="155" w:lineRule="exact"/>
        <w:rPr>
          <w:rFonts w:ascii="Times New Roman" w:cs="Times New Roman" w:eastAsia="Times New Roman" w:hAnsi="Times New Roman"/>
          <w:sz w:val="18"/>
          <w:szCs w:val="18"/>
          <w:color w:val="auto"/>
        </w:rPr>
      </w:pPr>
    </w:p>
    <w:p>
      <w:pPr>
        <w:ind w:left="720" w:right="199" w:hanging="319"/>
        <w:spacing w:after="0" w:line="259"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Advanced Delivery initiative </w:t>
      </w:r>
      <w:r>
        <w:rPr>
          <w:rFonts w:ascii="Times New Roman" w:cs="Times New Roman" w:eastAsia="Times New Roman" w:hAnsi="Times New Roman"/>
          <w:sz w:val="18"/>
          <w:szCs w:val="18"/>
          <w:color w:val="auto"/>
        </w:rPr>
        <w:t>– Transforming service delivery through upskilling and automation. Our expanded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use of automation and other technology tools allows us to further strengthen the quality of services we deliver to our customers, drive efficiency in our operations, and redeploy professionals in our organization to serve new revenue streams and backfill attrition as they arise. Our increased use of automation and AI within our delivery operations helps to reduce costs across the entire organization.</w:t>
      </w:r>
    </w:p>
    <w:p>
      <w:pPr>
        <w:spacing w:after="0" w:line="138" w:lineRule="exact"/>
        <w:rPr>
          <w:rFonts w:ascii="Times New Roman" w:cs="Times New Roman" w:eastAsia="Times New Roman" w:hAnsi="Times New Roman"/>
          <w:sz w:val="18"/>
          <w:szCs w:val="18"/>
          <w:color w:val="auto"/>
        </w:rPr>
      </w:pPr>
    </w:p>
    <w:p>
      <w:pPr>
        <w:ind w:left="720" w:right="79" w:hanging="319"/>
        <w:spacing w:after="0" w:line="254"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Accounts initiative </w:t>
      </w:r>
      <w:r>
        <w:rPr>
          <w:rFonts w:ascii="Times New Roman" w:cs="Times New Roman" w:eastAsia="Times New Roman" w:hAnsi="Times New Roman"/>
          <w:sz w:val="18"/>
          <w:szCs w:val="18"/>
          <w:color w:val="auto"/>
        </w:rPr>
        <w:t>– Addressing elements of our business with substandard margins. We are working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transform the profitability of certain revenue streams that represent a meaningful portion of our business. For instance, we frequently expand the scope of customer relationships by adding higher-value services and leveraging our new ecosystem partners’ capabilities. When necessary, we reduce scope by removing, or not renewing, unprofitable elements of a contract. We reduce costs by applying our Advanced Delivery tools and processes to replace labor-intensive and/or customized services with automated and/or more standardized solutions. When managed-services contracts are renegotiated and renewed, we adjust pricing and other terms to enhance our margins. Given the mission-critical nature of our services and our long-standing relationships, we are experiencing an openness among our customers to find solutions. On the rare occasion when no other resolution is available for a situation with an unsustainable margin profile, we will allow a contract to end without renewing it, and we will optimize the cost to serve until expiration.</w:t>
      </w:r>
    </w:p>
    <w:p>
      <w:pPr>
        <w:spacing w:after="0" w:line="146"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In fiscal 2025, we intend to continue accelerating our transformation through our three-A’s initiatives, continue growing Kyndryl Consult and optimize our costs and expenses in all areas of our business, from service delivery to corporate functions. Kyndryl Consult, which represented approximately 15 percent of our revenue for the year ended March 31, 2024, represents a range of advisory and implementation services that we provide to customers, across all six of our practices and all of our geographic segments. We expect these initiatives to propel us toward profitable growth and enable us to deliver more value to customers and stockholders.</w:t>
      </w:r>
    </w:p>
    <w:p>
      <w:pPr>
        <w:spacing w:after="0" w:line="187"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Our corporate citizenship strategy is at the heart of Kyndryl’s purpose to power human progress. We aim to create a sustainable and inclusive future by driving sustainable business practices, and positive social impact at scale. As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an independent company, Kyndryl is embracing environmental stewardship, fostering social inclusivity and promoting good governance practices.</w:t>
      </w:r>
    </w:p>
    <w:p>
      <w:pPr>
        <w:spacing w:after="0" w:line="1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 September 2023, Kyndryl published its inaugural Corporate Citizenship Report outlining our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commitments. This includes achieving net zero greenhouse gas emissions by 2040 and a 50% reduction in global emissions</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including our value chain by 2030 aligned with the Science Based Targets initiative. The commitment reinforces Kyndryl’s</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dedication to operating responsibly as it built the foundation of the program globally.</w:t>
      </w:r>
    </w:p>
    <w:p>
      <w:pPr>
        <w:spacing w:after="0" w:line="166"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Beyond our environmental commitments, Kyndryl is focused on building a diverse workforce and an inclusive and equitable culture. Our approach to our workplace consists of empowering employees to advance their careers through ongoing training and upskilling. Kyndryl has published its human rights and modern slavery statement and launched the Kyndryl Foundation, which delivers philanthropic grants for community development programs.</w:t>
      </w:r>
    </w:p>
    <w:p>
      <w:pPr>
        <w:spacing w:after="0" w:line="180"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With respect to governance matters, Kyndryl also leverages industry best practices to govern its quality management system, processes and tools to enable operations to meet the standards of compliance and responsible business practices that clients and partners expect. We also maintain a Code of Conduct for directors, executive officers and employees which summarizes our policies addressing anti-harassment, anti-discrimination, retaliation prevention, physical security and cybersecurity, confidentiality and data privacy, and prevention of fraud, waste and abuse.</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202"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Our customer relationships across a broad range of industries demonstrate the deep level of trust that we have earned and the role we play as a partner that provides technical expertise, insight and intellectual property to solve customer challenges. We are the trusted advisor and partner to thousands of customers worldwide, in technology-intensive and often highly regulated environments, managing mission-critical technology environments across a wide range of industries.</w:t>
      </w:r>
    </w:p>
    <w:p>
      <w:pPr>
        <w:spacing w:after="0" w:line="183" w:lineRule="exact"/>
        <w:rPr>
          <w:sz w:val="20"/>
          <w:szCs w:val="20"/>
          <w:color w:val="auto"/>
        </w:rPr>
      </w:pPr>
    </w:p>
    <w:p>
      <w:pPr>
        <w:ind w:left="760" w:right="239" w:hanging="332"/>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Nearly 50 percent of our revenue is derived from companies in the financial services industry, where we serve hundreds of global, multinational and regional banks, insurance companies, mutual fund complexes, credit card and transaction processors and providers of other financial services.</w:t>
      </w:r>
    </w:p>
    <w:p>
      <w:pPr>
        <w:spacing w:after="0" w:line="135"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20 percent of our revenue is generated from technology, media and telecom companies.</w:t>
      </w:r>
    </w:p>
    <w:p>
      <w:pPr>
        <w:spacing w:after="0" w:line="184"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Nearly 15 percent of our revenue is from retail and travel companies.</w:t>
      </w:r>
    </w:p>
    <w:p>
      <w:pPr>
        <w:spacing w:after="0" w:line="198" w:lineRule="exact"/>
        <w:rPr>
          <w:rFonts w:ascii="Times New Roman" w:cs="Times New Roman" w:eastAsia="Times New Roman" w:hAnsi="Times New Roman"/>
          <w:sz w:val="18"/>
          <w:szCs w:val="18"/>
          <w:color w:val="auto"/>
        </w:rPr>
      </w:pPr>
    </w:p>
    <w:p>
      <w:pPr>
        <w:ind w:left="760" w:right="279" w:hanging="332"/>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10 percent of our revenue is generated from the industrial sector, which includes some of the largest automotive manufacturers in the world.</w:t>
      </w:r>
    </w:p>
    <w:p>
      <w:pPr>
        <w:spacing w:after="0" w:line="121"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Our revenues are concentrated in the industries mentioned above, but our revenues are diversified across a broad set of customers. In fiscal year 2024, our top five customers accounted for approximately 10% of our revenue.</w:t>
      </w:r>
    </w:p>
    <w:p>
      <w:pPr>
        <w:spacing w:after="0" w:line="121"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As companies engage in their digital journeys, they often face a key impediment because of the skills and expertise needed to realize their transformations. This, in part, is brought on by the increasing complexity of enterprise environments, the incorporation of new technologies and the deployment of different operating models. While many companies have strengthened their technology teams, they have also encountered difficulties in sourcing the breadth of expertise needed for their environments and leveraged service providers to address their needs. Companies will benefit from selecting service providers that have greater insight into their environments and needs, which advantages partners like Kyndryl who have industry-leading scale and long-standing customer relationships.</w:t>
      </w:r>
    </w:p>
    <w:p>
      <w:pPr>
        <w:spacing w:after="0" w:line="189" w:lineRule="exact"/>
        <w:rPr>
          <w:sz w:val="20"/>
          <w:szCs w:val="20"/>
          <w:color w:val="auto"/>
        </w:rPr>
      </w:pPr>
    </w:p>
    <w:p>
      <w:pPr>
        <w:ind w:left="60" w:right="479" w:firstLine="648"/>
        <w:spacing w:after="0" w:line="282" w:lineRule="auto"/>
        <w:rPr>
          <w:sz w:val="20"/>
          <w:szCs w:val="20"/>
          <w:color w:val="auto"/>
        </w:rPr>
      </w:pPr>
      <w:r>
        <w:rPr>
          <w:rFonts w:ascii="Times New Roman" w:cs="Times New Roman" w:eastAsia="Times New Roman" w:hAnsi="Times New Roman"/>
          <w:sz w:val="18"/>
          <w:szCs w:val="18"/>
          <w:color w:val="auto"/>
        </w:rPr>
        <w:t>Through decades of collaboration with customers, we have developed deep relationships as we supported the technology environments that advanced their business agendas. Examples include:</w:t>
      </w:r>
    </w:p>
    <w:p>
      <w:pPr>
        <w:spacing w:after="0" w:line="158" w:lineRule="exact"/>
        <w:rPr>
          <w:sz w:val="20"/>
          <w:szCs w:val="20"/>
          <w:color w:val="auto"/>
        </w:rPr>
      </w:pPr>
    </w:p>
    <w:p>
      <w:pPr>
        <w:ind w:left="60" w:right="159"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Implementation of hybrid cloud and automation tools</w:t>
      </w:r>
      <w:r>
        <w:rPr>
          <w:rFonts w:ascii="Times New Roman" w:cs="Times New Roman" w:eastAsia="Times New Roman" w:hAnsi="Times New Roman"/>
          <w:sz w:val="18"/>
          <w:szCs w:val="18"/>
          <w:color w:val="auto"/>
        </w:rPr>
        <w:t>: Kyndryl executed a five-year contract with a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healthcare services company to provide mission-critical IT managed services and accelerate its digital transformation with the aim of enhancing the patient and caregiver experience. Under this agreement, our customer will use Kyndryl</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Bridge to integrate AIOps and automation capabilities. As part of this collaboration, Kyndryl will deliver and support evolving IT capabilities via a built-for-purpose dedicated command center. Enabled by Kyndryl-managed services experts, the command center will focus on providing the highest levels of quality and reliability to support our customer in delivering the highest levels of safe patient care. Our customer will also tap into Kyndryl’s broad set of technologies and skills, including Kyndryl Consult and its global strategic partnership with Microsoft, to migrate critical workloads, resulting in a more modern and resilient hybrid cloud infrastructure.</w:t>
      </w:r>
    </w:p>
    <w:p>
      <w:pPr>
        <w:spacing w:after="0" w:line="183"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Complex mainframe transformation, moving applications to the cloud</w:t>
      </w:r>
      <w:r>
        <w:rPr>
          <w:rFonts w:ascii="Times New Roman" w:cs="Times New Roman" w:eastAsia="Times New Roman" w:hAnsi="Times New Roman"/>
          <w:sz w:val="18"/>
          <w:szCs w:val="18"/>
          <w:color w:val="auto"/>
        </w:rPr>
        <w:t>: We extended our partnership with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leading telecommunications provider in the UK to collaborate on a cutting-edge program to move a number of its critical mainframe applications to the cloud. The ten-year partnership, which draws on our hyperscale cloud provider capabilities and partner ecosystem, will allow the customer to reduce mainframe operating costs and energy consumption. In moving to the cloud, our customer’s mainframe applications will become more digital with application programming interfaces and micro-services capabilities, to help integrate the value of data across its systems and drive innovation through automation. Migrating from mainframes to cloud extends the usefulness and lifespan of these applications in a modern, micro-services led, cloud-centric way and helps to unlock intelligent data insights within these key applications.</w:t>
      </w:r>
    </w:p>
    <w:p>
      <w:pPr>
        <w:spacing w:after="0" w:line="185"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Large-scale transformation to cloud</w:t>
      </w:r>
      <w:r>
        <w:rPr>
          <w:rFonts w:ascii="Times New Roman" w:cs="Times New Roman" w:eastAsia="Times New Roman" w:hAnsi="Times New Roman"/>
          <w:sz w:val="18"/>
          <w:szCs w:val="18"/>
          <w:color w:val="auto"/>
        </w:rPr>
        <w:t>: We partnered with a large, European financial institution to help it migrate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a predominantly on-premises, classic infrastructure environment to a cloud-based infrastructure, utilizing both private and public clouds. We provided the expertise and support to navigate this digital transformation while maintaining and improving quality of service as we moved over 1,000 applications. We also deployed a new Kubernetes container-based environment and management capabilities to increase workload portability and flexibility. This work enabled the customer’s platform to run with increased digital agility and efficiency, embedding strong data security within the new cloud-based infrastructure and providing alignment to the existing infrastructure environment. The customer’s transformation has produced clear business benefits, from new products and services that are brought to market faster, to an increase in sales through online channels.</w:t>
      </w:r>
    </w:p>
    <w:p>
      <w:pPr>
        <w:spacing w:after="0" w:line="188"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Modernization of the technology environment</w:t>
      </w:r>
      <w:r>
        <w:rPr>
          <w:rFonts w:ascii="Times New Roman" w:cs="Times New Roman" w:eastAsia="Times New Roman" w:hAnsi="Times New Roman"/>
          <w:sz w:val="18"/>
          <w:szCs w:val="18"/>
          <w:color w:val="auto"/>
        </w:rPr>
        <w:t>: Based on a relationship spanning almost two decades,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partnered with a large European bank to help launch a ten-year transformational program to increase operational agility and efficiency by optimizing the customer’s critical infrastructure, reducing complexity, migrating to hybrid cloud and reducing operational costs. We reduced IT infrastructure complexity by redesigning critical infrastructure architecture, including networks, storage, virtualization and data backup for improved efficiency, enabled ‘scalable’ hybrid cloud by implementing and updating existing systems to a hybrid cloud solution supported by Red Hat and transformed legacy IT services by modernizing tools and the operating model for deployment of IT services. The customer will benefit from modern IT infrastructure including cloud and mainframes that supports their core banking services and treasury functions.</w:t>
      </w:r>
    </w:p>
    <w:p>
      <w:pPr>
        <w:spacing w:after="0" w:line="185" w:lineRule="exact"/>
        <w:rPr>
          <w:sz w:val="20"/>
          <w:szCs w:val="20"/>
          <w:color w:val="auto"/>
        </w:rPr>
      </w:pPr>
    </w:p>
    <w:p>
      <w:pPr>
        <w:ind w:left="60" w:right="79"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Digital transformation across the enterprise</w:t>
      </w:r>
      <w:r>
        <w:rPr>
          <w:rFonts w:ascii="Times New Roman" w:cs="Times New Roman" w:eastAsia="Times New Roman" w:hAnsi="Times New Roman"/>
          <w:sz w:val="18"/>
          <w:szCs w:val="18"/>
          <w:color w:val="auto"/>
        </w:rPr>
        <w:t>: We collaborated with a large material sciences company in North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America to support their mission-critical IT infrastructure globally, providing integrated management for environments that include hybrid cloud infrastructure, network, security and end-user services. Building on our history of collaboration with this customer, we are working to accelerate their digital transformation. We are helping our customer build foundational capabilities for their digital journey, powered by data, analytics and AI and machine learning integrated into core business processes and connected through a flexible and secure network.</w:t>
      </w:r>
    </w:p>
    <w:p>
      <w:pPr>
        <w:spacing w:after="0" w:line="182"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Digitization for flexibility</w:t>
      </w:r>
      <w:r>
        <w:rPr>
          <w:rFonts w:ascii="Times New Roman" w:cs="Times New Roman" w:eastAsia="Times New Roman" w:hAnsi="Times New Roman"/>
          <w:sz w:val="18"/>
          <w:szCs w:val="18"/>
          <w:color w:val="auto"/>
        </w:rPr>
        <w:t>: Our customer, a large Japanese transportation company, was engaged in a technology-driven transformation to establish a flexible IT environment using hybrid cloud that evolves with changing business needs. We worked with the customer to build an integrated private and public cloud with the same virtualization architecture and a management capability that unifies operations and evolves with the business. Through our collaboration, we created an integrated infrastructure to meet our customer’s current and future needs by modernizing its on-premises, off-premises and network environments as well as its management platform. We deployed software-defined networks across the environment and automation to realize improved quality and business continuity. Our work helps support our customer’s efforts to become one of the most valued and preferred transportation companies in the world.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02" w:lineRule="exact"/>
        <w:rPr>
          <w:sz w:val="20"/>
          <w:szCs w:val="20"/>
          <w:color w:val="auto"/>
        </w:rPr>
      </w:pPr>
    </w:p>
    <w:p>
      <w:pPr>
        <w:ind w:left="60" w:right="319" w:firstLine="648"/>
        <w:spacing w:after="0" w:line="261" w:lineRule="auto"/>
        <w:rPr>
          <w:sz w:val="20"/>
          <w:szCs w:val="20"/>
          <w:color w:val="auto"/>
        </w:rPr>
      </w:pPr>
      <w:r>
        <w:rPr>
          <w:rFonts w:ascii="Times New Roman" w:cs="Times New Roman" w:eastAsia="Times New Roman" w:hAnsi="Times New Roman"/>
          <w:sz w:val="18"/>
          <w:szCs w:val="18"/>
          <w:color w:val="auto"/>
        </w:rPr>
        <w:t>Our customer engagement and brand positioning are focused on deepening our existing customer relationships, attracting and winning new customers and creating an ecosystem built on go-to-market relationships with leading cloud and other technology providers, advisors and integrators to offer best-in-class advisory, implementation and managed services tailored to each existing and new customer’s environment and requirements.</w:t>
      </w:r>
    </w:p>
    <w:p>
      <w:pPr>
        <w:spacing w:after="0" w:line="135"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Customer-centric account approach</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 dedicated account coverage teams within our global operating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structure. The teams leverage our intellectual capital and tools underpinned by insights and proven practices derived from operating at scale. Senior account leaders orchestrate the teams and have end-to-end accountability from sale to delivery for customers. They tailor the full suite of our services to customers’ needs to deliver value and business outcomes across a wide range of technology environments. Account leaders are supported by dedicated, multi-disciplinary technical sales and delivery teams, consulting teams, as well as by shared services teams, to support an effective and efficient engagement. This account coverage model ensures consistent and reliable delivery of services for our existing relationships over the lifetime of current and renewal contracts. In addition, the model supports the potential expansion of existing relationships based on our deep industry perspective and expertise and knowledge of customers’ unique needs. Finally, this account-based model seeks to build and expand existing relationships with line-of-business buyers, as they have become critical decision makers working alongside our customers.</w:t>
      </w:r>
    </w:p>
    <w:p>
      <w:pPr>
        <w:spacing w:after="0" w:line="142"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Customer growth and new customer acquisition. </w:t>
      </w:r>
      <w:r>
        <w:rPr>
          <w:rFonts w:ascii="Times New Roman" w:cs="Times New Roman" w:eastAsia="Times New Roman" w:hAnsi="Times New Roman"/>
          <w:sz w:val="18"/>
          <w:szCs w:val="18"/>
          <w:color w:val="auto"/>
        </w:rPr>
        <w:t>In line with our customer-centric approach, we are focused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co-creating and innovating with customers to advance and deepen our relationships. We leverage our broad base of expertise, capabilities and partners to prototype, test and develop innovative solutions across various approaches and technologies. Additionally, we offer Kyndryl Consult capabilities in advisory, implementation and transformation services to help customers enhance and evolve their technology environments. We deploy our talent, thought leadership, proven practices, intellectual capital and partnership ecosystem as part of our project engagements to mature them into longer-tail managed services opportunities. In addition, we attract and develop new customers across the globe via account-based marketing, insights derived from operating at scale and direct sales teams with years of sector-specific experience and proven practices to generate unique insights for customers. As we gain new customers, we apply our account coverage model to expand our relationships and footprint over time.</w:t>
      </w:r>
    </w:p>
    <w:p>
      <w:pPr>
        <w:spacing w:after="0" w:line="158"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Partnership and alliance ecosystem. </w:t>
      </w:r>
      <w:r>
        <w:rPr>
          <w:rFonts w:ascii="Times New Roman" w:cs="Times New Roman" w:eastAsia="Times New Roman" w:hAnsi="Times New Roman"/>
          <w:sz w:val="18"/>
          <w:szCs w:val="18"/>
          <w:color w:val="auto"/>
        </w:rPr>
        <w:t>We are continuing to enhance and develop strategic partnerships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companies in the ecosystems most relevant to our customers’ digital transformations. This includes building new routes to market across these ecosystems to serve as a multiplier, enabling us to expand business via partners such as public cloud providers, ISVs, technology providers (ranging from established, scaled players to growth-stage start-ups), system integrators, business consulting firms and business services providers. These relationships bring value to our customers through broader access to best-in-class solutions that are tailored for their unique technology environments and digital journeys. We have several key partnerships, including with Microsoft, Google, Amazon Web Services, SAP, VMware, Cisco, Dell Technologies, Oracle, Cloudflare and ServiceNow that accelerate broader market participation, joint solution development and investment in skills and certification enhancements for Kyndryl. We have established dedicated teams to support our key alliance partners and will continue to co-create and co-market with them to deliver value to our mutual customers, driving differentiation in the market with industry-leading technology and Kyndryl services.</w:t>
      </w:r>
    </w:p>
    <w:p>
      <w:pPr>
        <w:spacing w:after="0" w:line="1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Competition</w:t>
      </w:r>
    </w:p>
    <w:p>
      <w:pPr>
        <w:spacing w:after="0" w:line="18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We compete in a market for technology services along with many other providers, ranging from small, highly specialized companies that serve a limited number of customers to large, multi-service enterprises with many clients. These service providers include incumbents that have expanded their offerings to migration and management of cloud-based environments; companies that utilize labor-based models and leverage talent pools primarily in lower-cost countries that have grown to offer a broad range of services with a worldwide presence; and advisory-focused system integrators specializing in bringing together disparate technology environments so that they function as one. Many of these companies offer a mix of advisory, implementation and managed services across infrastructure, application and business processes. Examples include Atos, DXC, Fujitsu, HCL, Infosys, Tata Consultancy Services and Wipro, among others.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basis of competition involves multiple factors, with key elements including quality of service, technical skills and capabilities, industry knowledge and experience, financial value, ability to innovate, intellectual property and methods, contracting flexibility and speed of execution. Long-standing partnerships and knowledge of the customers’ technology environment often enable service providers to better address requirements and future needs. Our decades-long collaboration with customers provides us with the insights to realize distinctive performance that supports their digital transformation. We deliver unique value by providing intellectual property derived from insights at scale, deploying mission-critical expertise and leveraging a broad ecosystem – while building and strengthening partnerships to enhance the customer experience.</w:t>
      </w:r>
    </w:p>
    <w:p>
      <w:pPr>
        <w:spacing w:after="0" w:line="192" w:lineRule="exact"/>
        <w:rPr>
          <w:sz w:val="20"/>
          <w:szCs w:val="20"/>
          <w:color w:val="auto"/>
        </w:rPr>
      </w:pPr>
    </w:p>
    <w:p>
      <w:pPr>
        <w:ind w:left="60" w:right="179" w:firstLine="648"/>
        <w:spacing w:after="0" w:line="277" w:lineRule="auto"/>
        <w:rPr>
          <w:sz w:val="20"/>
          <w:szCs w:val="20"/>
          <w:color w:val="auto"/>
        </w:rPr>
      </w:pPr>
      <w:r>
        <w:rPr>
          <w:rFonts w:ascii="Times New Roman" w:cs="Times New Roman" w:eastAsia="Times New Roman" w:hAnsi="Times New Roman"/>
          <w:sz w:val="17"/>
          <w:szCs w:val="17"/>
          <w:color w:val="auto"/>
        </w:rPr>
        <w:t>We position ourselves uniquely, leveraging a core strength in governance and management of complex IT infrastructure environments, delivered through a global footprint. Our services support customers’ digital transformations, as we help accelerate their journeys by providing instrumented and engineered technology environments. We offer choice with consistency through an operating paradigm and management model built from our experiences with complex technologies. These capabilities uniquely position us as both a leading partner and competitor within the same market.</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0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We are focused on developing leading-edge ideas and technologies and see innovation as a source of competitive advantage. We have more than 3,300 patents that are related to our business model. A key pillar of our strategy is continuing to invest in knowledge and intellectual property to support extending our services to a broader ecosystem of technology providers and customer challenges and solutions. Our decades of experiences working with our customers has generated operational insights, creating intellectual property that we leverage for the benefit of our customers and deploy at scale. We rely on intellectual property protections in the countries in which we operate, along with contractual restrictions, to establish and protect our offerings and services and other applicable rights. In addition, we license third-party software along with other technologies that are used in the provision of or incorporated into some elements of our services. We possess a significant intellectual property portfolio, which we believe is important to our success. However, we believe our business as a whole is not materially dependent on any particular intellectual property right or any particular group of patents, trademarks, copyrights or licenses.</w:t>
      </w:r>
    </w:p>
    <w:p>
      <w:pPr>
        <w:spacing w:after="0" w:line="192"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Additionally, we own or have rights to various trademarks, logos, service marks and trade names that are used in the operation of our business. We also own or have the rights to copyrights that protect the content of our products and other proprietary materials.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Employees</w:t>
      </w:r>
    </w:p>
    <w:p>
      <w:pPr>
        <w:spacing w:after="0" w:line="202" w:lineRule="exact"/>
        <w:rPr>
          <w:sz w:val="20"/>
          <w:szCs w:val="20"/>
          <w:color w:val="auto"/>
        </w:rPr>
      </w:pPr>
    </w:p>
    <w:p>
      <w:pPr>
        <w:ind w:left="60" w:right="259" w:firstLine="648"/>
        <w:spacing w:after="0" w:line="312" w:lineRule="auto"/>
        <w:rPr>
          <w:sz w:val="20"/>
          <w:szCs w:val="20"/>
          <w:color w:val="auto"/>
        </w:rPr>
      </w:pPr>
      <w:r>
        <w:rPr>
          <w:rFonts w:ascii="Times New Roman" w:cs="Times New Roman" w:eastAsia="Times New Roman" w:hAnsi="Times New Roman"/>
          <w:sz w:val="17"/>
          <w:szCs w:val="17"/>
          <w:color w:val="auto"/>
        </w:rPr>
        <w:t>As of March 31, 2024, we had approximately 80,000 employees in more than 60 countries. Approximately 90% of our employees work outside the U.S., with workforce hubs in India, Poland, Brazil, Japan, Czechia and Hungary.</w:t>
      </w:r>
    </w:p>
    <w:p>
      <w:pPr>
        <w:spacing w:after="0" w:line="99"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8"/>
          <w:szCs w:val="18"/>
          <w:color w:val="auto"/>
        </w:rPr>
        <w:t>Our people advance the vital systems that power human progress. Our global workforce is highly skilled, reflective of the work we do for our customers’ digital transformations and in support of their mission-critical operations. Kyndryl professionals bring deep industry and technical expertise along with a passion for continuous learning. Our employees, whom we call Kyndryls, have earned certifications through our learning platform and alliance partners, which provide access to curriculums that span strategic skills, cloud, AI, analytics, design thinking, quantum computing and security. At Kyndryl, we aim to be:</w:t>
      </w:r>
    </w:p>
    <w:p>
      <w:pPr>
        <w:spacing w:after="0" w:line="147" w:lineRule="exact"/>
        <w:rPr>
          <w:sz w:val="20"/>
          <w:szCs w:val="20"/>
          <w:color w:val="auto"/>
        </w:rPr>
      </w:pPr>
    </w:p>
    <w:p>
      <w:pPr>
        <w:ind w:left="760" w:hanging="332"/>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Restless to power the future; eager to learn and innovate</w:t>
      </w:r>
    </w:p>
    <w:p>
      <w:pPr>
        <w:spacing w:after="0" w:line="198"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Empathetic role models; serving with trust and transparency</w:t>
      </w:r>
    </w:p>
    <w:p>
      <w:pPr>
        <w:spacing w:after="0" w:line="184" w:lineRule="exact"/>
        <w:rPr>
          <w:rFonts w:ascii="Times New Roman" w:cs="Times New Roman" w:eastAsia="Times New Roman" w:hAnsi="Times New Roman"/>
          <w:sz w:val="18"/>
          <w:szCs w:val="18"/>
          <w:color w:val="auto"/>
        </w:rPr>
      </w:pPr>
    </w:p>
    <w:p>
      <w:pPr>
        <w:ind w:left="760" w:right="119" w:hanging="332"/>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Focused on shared success to achieve both business results and key human capital goals – driving a deep analytic understanding of people, technology and customer challenges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60" w:hanging="332"/>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Fast, agile change leaders with courage to be bold and judgment to manage risk</w:t>
      </w:r>
    </w:p>
    <w:p>
      <w:pPr>
        <w:spacing w:after="0" w:line="198" w:lineRule="exact"/>
        <w:rPr>
          <w:rFonts w:ascii="Times New Roman" w:cs="Times New Roman" w:eastAsia="Times New Roman" w:hAnsi="Times New Roman"/>
          <w:sz w:val="18"/>
          <w:szCs w:val="18"/>
          <w:color w:val="auto"/>
        </w:rPr>
      </w:pPr>
    </w:p>
    <w:p>
      <w:pPr>
        <w:ind w:left="760" w:right="179" w:hanging="332"/>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Dedicated to building empowered, inclusive and accountable teams; recruiting, retaining and developing diverse talent that enhances performance and capabilities</w:t>
      </w:r>
    </w:p>
    <w:p>
      <w:pPr>
        <w:spacing w:after="0" w:line="121"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We support new ways of working and accelerated career progression promoting innovation throughout our organization. Our Kyndryl Way is founded on our Vision to become an “employer of choice” and is founded on our aim to advance what’s next for ourselves and our customers.</w:t>
      </w:r>
    </w:p>
    <w:p>
      <w:pPr>
        <w:spacing w:after="0" w:line="135" w:lineRule="exact"/>
        <w:rPr>
          <w:sz w:val="20"/>
          <w:szCs w:val="20"/>
          <w:color w:val="auto"/>
        </w:rPr>
      </w:pPr>
    </w:p>
    <w:p>
      <w:pPr>
        <w:ind w:left="60" w:right="139" w:firstLine="648"/>
        <w:spacing w:after="0" w:line="281" w:lineRule="auto"/>
        <w:rPr>
          <w:sz w:val="20"/>
          <w:szCs w:val="20"/>
          <w:color w:val="auto"/>
        </w:rPr>
      </w:pPr>
      <w:r>
        <w:rPr>
          <w:rFonts w:ascii="Times New Roman" w:cs="Times New Roman" w:eastAsia="Times New Roman" w:hAnsi="Times New Roman"/>
          <w:sz w:val="17"/>
          <w:szCs w:val="17"/>
          <w:color w:val="auto"/>
        </w:rPr>
        <w:t>Our people are at the center of designing, building and managing the technology environments that the world depends on every day. We will continue to invest in our teams to be at the heart of technological change for our customers. We offer comprehensive market-competitive rewards and benefits programs including health benefits, mental health support and employee assistance plans, retirement savings benefits, paid time off and recognition programs, among others.</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Talent and Culture; Inclusion, Diversity and Equity</w:t>
      </w:r>
    </w:p>
    <w:p>
      <w:pPr>
        <w:spacing w:after="0" w:line="189" w:lineRule="exact"/>
        <w:rPr>
          <w:sz w:val="20"/>
          <w:szCs w:val="20"/>
          <w:color w:val="auto"/>
        </w:rPr>
      </w:pPr>
    </w:p>
    <w:p>
      <w:pPr>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Our business is centered around our people, and our talent strategy revolves around our ability to best serve our customers through ongoing investment in talent and skill development. We attract, develop and retain talent in a competitive and dynamic environment. We are focused on optimizing the employee experience at Kyndryl through:</w:t>
      </w:r>
    </w:p>
    <w:p>
      <w:pPr>
        <w:spacing w:after="0" w:line="135" w:lineRule="exact"/>
        <w:rPr>
          <w:sz w:val="20"/>
          <w:szCs w:val="20"/>
          <w:color w:val="auto"/>
        </w:rPr>
      </w:pPr>
    </w:p>
    <w:p>
      <w:pPr>
        <w:ind w:left="720" w:right="99" w:hanging="319"/>
        <w:spacing w:after="0" w:line="266"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Elevating the Kyndryl brand and creating a candidate experience where diversity, equity and inclusion are at the forefront of the hiring process. We proactively source talent both internally and externally with advanced capabilities to ensure that we have the right talent, at the right time, in the right place</w:t>
      </w:r>
    </w:p>
    <w:p>
      <w:pPr>
        <w:spacing w:after="0" w:line="148" w:lineRule="exact"/>
        <w:rPr>
          <w:rFonts w:ascii="Times New Roman" w:cs="Times New Roman" w:eastAsia="Times New Roman" w:hAnsi="Times New Roman"/>
          <w:sz w:val="18"/>
          <w:szCs w:val="18"/>
          <w:color w:val="auto"/>
        </w:rPr>
      </w:pPr>
    </w:p>
    <w:p>
      <w:pPr>
        <w:jc w:val="both"/>
        <w:ind w:left="720" w:right="679" w:hanging="319"/>
        <w:spacing w:after="0" w:line="266"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Providing employees with transparency to understand the skills, capabilities and experiences essential to our growth and their progression over their career by ensuring access to resources specifically designed to advance critical skills and competencies</w:t>
      </w:r>
    </w:p>
    <w:p>
      <w:pPr>
        <w:spacing w:after="0" w:line="135" w:lineRule="exact"/>
        <w:rPr>
          <w:rFonts w:ascii="Times New Roman" w:cs="Times New Roman" w:eastAsia="Times New Roman" w:hAnsi="Times New Roman"/>
          <w:sz w:val="18"/>
          <w:szCs w:val="18"/>
          <w:color w:val="auto"/>
        </w:rPr>
      </w:pPr>
    </w:p>
    <w:p>
      <w:pPr>
        <w:ind w:left="720" w:right="159" w:hanging="319"/>
        <w:spacing w:after="0" w:line="266" w:lineRule="auto"/>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Communicating our strategy and building our Kyndryl culture; establishing programs that are focused on rewarding value creation; recognizing performance; and driving accountability balanced with workplace flexibility, well-being, continuous learning and a diverse, inclusive and equitable environment</w:t>
      </w:r>
    </w:p>
    <w:p>
      <w:pPr>
        <w:spacing w:after="0" w:line="135"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We are committed to building the technical careers of the future and have made investments in training and skills to enable our people to be relevant, experienced and technically positioned to serve our customers on their most complex challenges. We continue to expand our certifications and accreditations each year through consistent investment in skill development around emerging technologies and key areas for growth.</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Health, Safety and Well-Being</w:t>
      </w:r>
    </w:p>
    <w:p>
      <w:pPr>
        <w:spacing w:after="0" w:line="18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Protecting the health, safety and well-being of our employees is a top priority. We have an experienced Health and Safety team comprised of medical doctors, nurses, industrial hygiene, safety and workforce health experts. This team has implemented a health and safety management system that monitors our locations for compliance with all local health and safety regulations, minimizes workplace health and safety risks, and provides for safe and healthy workplaces so our employees can do their best work.</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We are required to file annual, quarterly and current reports, proxy statements and other information with the U.S. Securities and Exchange Commission (“SEC”). The SEC maintains a website that contains reports, proxy and information statements and other information regarding issuers that file electronically with the SEC at http://www.sec.gov. The Company’s Annual Reports on Form 10-K, Quarterly Reports on Form 10-Q and Current Reports on Form 8-K, proxy statements and amendments to those documents filed or furnished pursuant to Section 13(a) or 15(d) of the Securities Exchange Act of 1934, as amended (“Exchange Act”), are also available free of charge on the Company’s internet website at www.kyndryl.com as soon as reasonably practicable after those documents are electronically filed with or furnished to the SEC.</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70" w:lineRule="auto"/>
        <w:rPr>
          <w:sz w:val="20"/>
          <w:szCs w:val="20"/>
          <w:color w:val="auto"/>
        </w:rPr>
      </w:pPr>
      <w:r>
        <w:rPr>
          <w:rFonts w:ascii="Times New Roman" w:cs="Times New Roman" w:eastAsia="Times New Roman" w:hAnsi="Times New Roman"/>
          <w:sz w:val="18"/>
          <w:szCs w:val="18"/>
          <w:color w:val="auto"/>
        </w:rPr>
        <w:t>We routinely post on or make accessible through our corporate website at www.kyndryl.com and Investor Relations website at https;//investors.kyndryl.com information that may be material or of interest to our investors, including news and materials regarding our financial performance, business developments, investor events and other important information regarding the Company. You may automatically receive email alerts and other information about the Company when you enroll your email address by visiting the “Investor Email Alerts” section under the “Resources” section at https://investors.kyndryl.com. We encourage investors, media, our customers, consumers, business partners and others interested in our Company to review the information we provide through these channels. The information contained on the websites referenced above is not, and shall not be deemed to be, incorporated into this filing or any of our other filings with the SEC.</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Executive Officers of the Registrant: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executive officers as of the date hereof are as follows:</w:t>
      </w:r>
    </w:p>
    <w:p>
      <w:pPr>
        <w:spacing w:after="0" w:line="221"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Martin Schroeter. </w:t>
      </w:r>
      <w:r>
        <w:rPr>
          <w:rFonts w:ascii="Times New Roman" w:cs="Times New Roman" w:eastAsia="Times New Roman" w:hAnsi="Times New Roman"/>
          <w:sz w:val="18"/>
          <w:szCs w:val="18"/>
          <w:color w:val="auto"/>
        </w:rPr>
        <w:t>Mr. Schroeter, 59, was appointed our Chief Executive Officer in January 2021 and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appointed as Chairman of the Board in October 2021 in connection with the Spin-off. Previously, Mr. Schroeter served in a variety of business line and finance executive positions at IBM, including Senior Vice President of Global Markets from 2018 until 2020, responsible for IBM’s global sales, customer relationships and satisfaction and worldwide geographic operations and overseeing IBM’s marketing and communication functions and building IBM’s brand and reputation globally, and Senior Vice President and Chief Financial Officer from 2014 until 2017, leading IBM’s finance function. Earlier in his career, Mr. Schroeter served as General Manager of IBM global financing, managing a total asset base in excess of $37 billion, and had served numerous roles in Japan, the United States and Australia. Mr. Schroeter received his MBA from Carnegie Mellon University and his undergraduate degree from Temple University.</w:t>
      </w:r>
    </w:p>
    <w:p>
      <w:pPr>
        <w:spacing w:after="0" w:line="188"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David Wyshner. </w:t>
      </w:r>
      <w:r>
        <w:rPr>
          <w:rFonts w:ascii="Times New Roman" w:cs="Times New Roman" w:eastAsia="Times New Roman" w:hAnsi="Times New Roman"/>
          <w:sz w:val="18"/>
          <w:szCs w:val="18"/>
          <w:color w:val="auto"/>
        </w:rPr>
        <w:t>Mr. Wyshner, 57, was appointed our Chief Financial Officer in September 2021. From March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2020 until his appointment as our Chief Financial Officer, Mr. Wyshner served as the Chief Financial Officer at XPO Logistics, Inc., where he led all financial functions for the global transportation and contract logistics company. Prior to that, Mr. Wyshner served as the Chief Financial Officer at Wyndham Hotels &amp; Resorts, Inc. from May 2018 to December 2019, and as its senior advisor from December 2019 to March 2020. He served as Executive Vice President and Chief Financial Officer of Wyndham Worldwide Corporation, from which Wyndham Hotels was spun-off, from August 2017 to May 2018. From August 2006 to June 2017, Mr. Wyshner served as the Chief Financial Officer of Avis Budget Group and also served as Avis Budget Group’s president from January 2016 to June 2017. Mr. Wyshner received his MBA from the Wharton School of the University of Pennsylvania and his BA in applied mathematics from Yale University.</w:t>
      </w:r>
    </w:p>
    <w:p>
      <w:pPr>
        <w:spacing w:after="0" w:line="188" w:lineRule="exact"/>
        <w:rPr>
          <w:sz w:val="20"/>
          <w:szCs w:val="20"/>
          <w:color w:val="auto"/>
        </w:rPr>
      </w:pPr>
    </w:p>
    <w:p>
      <w:pPr>
        <w:ind w:left="60" w:right="99" w:firstLine="648"/>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Elly Keinan. </w:t>
      </w:r>
      <w:r>
        <w:rPr>
          <w:rFonts w:ascii="Times New Roman" w:cs="Times New Roman" w:eastAsia="Times New Roman" w:hAnsi="Times New Roman"/>
          <w:sz w:val="17"/>
          <w:szCs w:val="17"/>
          <w:color w:val="auto"/>
        </w:rPr>
        <w:t>Mr. Keinan, 59, was appointed our Group President in March 2021. Since September 2020, Mr.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Keinan has served as a venture partner at Pitango Venture Capital, focusing on scaling the success of growth stage technology companies, and as an advisor to Sumitomo Corporation. Prior to that, Mr. Keinan served a variety of executive roles at IBM from July 1987 to June 2020, including General Manager of IBM North America and Chairman of IBM Japan, and held top leadership roles in Latin America and Europe. Mr. Keinan currently serves on the boards of Cellebrite, Ottopia and United Way of New York City. Mr. Keinan received his MBA from University of Miami Herbert Business School and his Bachelor of Science in Computer Science and Electrical Engineering from Rensselaer Polytechnic Institute.</w:t>
      </w:r>
    </w:p>
    <w:p>
      <w:pPr>
        <w:spacing w:after="0" w:line="171"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Maryjo Charbonnier. </w:t>
      </w:r>
      <w:r>
        <w:rPr>
          <w:rFonts w:ascii="Times New Roman" w:cs="Times New Roman" w:eastAsia="Times New Roman" w:hAnsi="Times New Roman"/>
          <w:sz w:val="18"/>
          <w:szCs w:val="18"/>
          <w:color w:val="auto"/>
        </w:rPr>
        <w:t>Ms. Charbonnier, 54, was appointed our Chief Human Resources Officer in July 2021.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January 2015 until her appointment, Ms. Charbonnier served as the Chief Human Resources Officer at Wolters Kluwer, where she was responsible for the design and implementation of all human resources strategies, policies and processes. Prior to that, Ms. Charbonnier served as the Chief Human Resources Officer at Broadridge Financial Solutions from August 2008 to December 2014. From August 1995 to August 2008, Ms. Charbonnier was an HR executive in a variety of leadership roles at PepsiCo, including Vice President for Talent Sustainability for PepsiCo Foods Americas. Ms. Charbonnier received her MBA from Southern Methodist University and her undergraduate degree from Catholic University.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379"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Edward Sebold. </w:t>
      </w:r>
      <w:r>
        <w:rPr>
          <w:rFonts w:ascii="Times New Roman" w:cs="Times New Roman" w:eastAsia="Times New Roman" w:hAnsi="Times New Roman"/>
          <w:sz w:val="18"/>
          <w:szCs w:val="18"/>
          <w:color w:val="auto"/>
        </w:rPr>
        <w:t>Mr. Sebold, 59, was appointed our General Counsel and Secretary in October 2021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the Spin-off. From March 2012 until his appointment as our General Counsel, Mr. Sebold served as Assistant General Counsel at IBM, leading several global legal functions at IBM, including teams that worked with services, IBM's Watson Health, litigation and mergers and acquisitions. Prior to joining IBM in 2012, Mr. Sebold was a partner at Jones Day in the firm’s Cleveland and Houston offices. Mr. Sebold serves on the board of the Pro Bono Partnership. Mr. Sebold received his JD from University of Michigan and his Bachelor of Arts in economics from John Carroll University.</w:t>
      </w:r>
    </w:p>
    <w:p>
      <w:pPr>
        <w:spacing w:after="0" w:line="183"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Vineet Khurana. </w:t>
      </w:r>
      <w:r>
        <w:rPr>
          <w:rFonts w:ascii="Times New Roman" w:cs="Times New Roman" w:eastAsia="Times New Roman" w:hAnsi="Times New Roman"/>
          <w:sz w:val="18"/>
          <w:szCs w:val="18"/>
          <w:color w:val="auto"/>
        </w:rPr>
        <w:t>Mr. Khurana, 51, was appointed our Controller in May 2021 and to the additional office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Vice President in November 2021. Since July 2020, Mr. Khurana had been serving as Chief Financial Officer of IBM’s Global Business Services unit. Prior to assuming this role, Mr. Khurana was the Chief Financial Officer of IBM Europe from March 2018 through July 2020 and the Vice President and Chief Financial Officer of IBM United Kingdom and Ireland from July 2016 until March 2018. Earlier in his IBM tenure, Mr. Khurana held roles of increasing responsibility spanning IBM’s financial strategy and IBM’s Global Financing division. Mr. Khurana also serves as an External Governor and a member of the Infrastructure and Finance Committee of the University of Portsmouth, United Kingdom. Mr. Khurana received his MBA from University of Warwick, United Kingdom and his undergraduate degree in Chemical Engineering from Manipal Institute of Technology, India.</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Our operations and financial results are subject to various risks and uncertainties, including but not limited to those described below, that could adversely affect our business, reputation, financial condition, results of operations, cash flows and the trading price of our common stock.</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225"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inability to attract new customers, retain existing customers and sell additional services to customers could adversely impact our revenue and results of operations.</w:t>
      </w:r>
    </w:p>
    <w:p>
      <w:pPr>
        <w:spacing w:after="0" w:line="15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Our ability to maintain or increase our revenues and profit may be impacted by a number of factors, including our ability to attract new customers, retain existing customers and sell additional, comparable or, in the case of accounts with substandard margins, services with greater gross margins to our customers. We may incur higher customer acquisition or retention costs as we seek to grow our customer base and expand our markets. Moreover, to the extent we are unable to retain and sell additional services to existing customers, including as part of our initiative to address existing accounts that have substandard margins, our revenue and results of operations may decrease. Our customer contracts typically have an average duration of over five years and, unless terminated, may be renewed or automatically extended on a month-to-month basis. Our customers have no obligation to renew their services after their initial contract periods expire, and any termination fees associated with an early termination may not be sufficient to recover our costs associated with such contracts. The loss of business from any of our major customers, whether by the cancellation of existing contracts, the failure to obtain new business or lower overall demand for our services, could adversely impact our revenue and results of operations.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meet our growth and productivity objectives.</w:t>
      </w:r>
    </w:p>
    <w:p>
      <w:pPr>
        <w:spacing w:after="0" w:line="229"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Our goals for profitability and growth rely upon a number of assumptions, including our ability to make successful investments to grow and further develop our business and simplify our operations. The risks and challenges we face in connection with our strategies include expanding our professional services capability, expanding in areas where we currently have a small presence and ensuring that our services remain competitive in a rapidly changing technological environment. We may invest significantly in key strategic areas to drive long-term revenue growth and share gains. These investments may adversely affect our near-term revenue growth and results of operations, and we cannot guarantee that they will ultimately be successful or produce any or all of the long-term benefits that we expect. Additionally, emerging business and delivery models may unfavorably impact demand and profitability for our solutions or services. If we are unable to find partners to develop cutting-edge innovations in a highly competitive and rapidly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evolving environment or are unable to implement and integrate such innovations with sufficient speed and versatility, we could fail in our ongoing efforts to maintain and increase our revenue and profit margins.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Competition in the markets in which we operate may adversely impact our results of operations.</w:t>
      </w:r>
    </w:p>
    <w:p>
      <w:pPr>
        <w:spacing w:after="0" w:line="229"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competitors include incumbents that have expanded their offerings to migration and management of cloud-based environments; companies that use labor-based models and leverage talent pools primarily in lower-cost countries that have grown to offer a broad range of services with a worldwide presence; and advisory-focused system integrators specializing in bringing together disparate technology environments. Our competitiveness is based on factors including quality of services, technical skills and capabilities, industry knowledge and experience, financial value, ability to innovate, intellectual property and methods, contracting flexibility, and speed of execution. If we are unable to compete based on such factors, our results of operations and business prospects could be harmed.</w:t>
      </w:r>
    </w:p>
    <w:p>
      <w:pPr>
        <w:spacing w:after="0" w:line="18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This competition may decrease our revenue and place downward pressure on operating margins in our industry, particularly for contract extensions or renewals. As a result, we may not be able to maintain our current revenue and operating margins, or achieve favorable operating margins, for contracts extended or renewed in the future. If we fail to create and sustain an efficient and effective cost structure that scales with revenues during periods with declining revenues, our margins and results of operations may be adversely affected.</w:t>
      </w:r>
    </w:p>
    <w:p>
      <w:pPr>
        <w:spacing w:after="0" w:line="183" w:lineRule="exact"/>
        <w:rPr>
          <w:sz w:val="20"/>
          <w:szCs w:val="20"/>
          <w:color w:val="auto"/>
        </w:rPr>
      </w:pPr>
    </w:p>
    <w:p>
      <w:pPr>
        <w:ind w:left="60" w:right="299" w:firstLine="648"/>
        <w:spacing w:after="0" w:line="261" w:lineRule="auto"/>
        <w:rPr>
          <w:sz w:val="20"/>
          <w:szCs w:val="20"/>
          <w:color w:val="auto"/>
        </w:rPr>
      </w:pPr>
      <w:r>
        <w:rPr>
          <w:rFonts w:ascii="Times New Roman" w:cs="Times New Roman" w:eastAsia="Times New Roman" w:hAnsi="Times New Roman"/>
          <w:sz w:val="18"/>
          <w:szCs w:val="18"/>
          <w:color w:val="auto"/>
        </w:rPr>
        <w:t>Companies with whom we have alliances in certain areas are or may become competitors in other areas. In addition, companies with whom we have alliances also may acquire or form alliances with competitors, which could reduce their business with us. If we are unable to effectively manage these complicated relationships with alliance peers, our business and results of operations could be adversely affected.</w:t>
      </w:r>
    </w:p>
    <w:p>
      <w:pPr>
        <w:spacing w:after="0" w:line="176" w:lineRule="exact"/>
        <w:rPr>
          <w:sz w:val="20"/>
          <w:szCs w:val="20"/>
          <w:color w:val="auto"/>
        </w:rPr>
      </w:pPr>
    </w:p>
    <w:p>
      <w:pPr>
        <w:ind w:left="60" w:right="5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impacted if we do not successfully manage and/or develop our relationships with critical suppliers and partners.</w:t>
      </w:r>
    </w:p>
    <w:p>
      <w:pPr>
        <w:spacing w:after="0" w:line="159"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Our business employs a wide variety of products and services from a number of suppliers and partners around the world. Our relationships with them are critical to our ability to provide many of our services and solutions, and our relationships with alliance partners allow us to enter new markets and take advantage of existing ecosystems built and sustained by our alliance partners. There can be no assurance that we will be able to maintain such relationships or that the financial terms of our relationships will remain affordable. Among other things, such partners may in the future decide to compete with us, form exclusive or more favorable arrangements with our competitors or otherwise reduce our access to their products or services. If we are not able to maintain, or realize the expected benefits from, our relationships for any reason, we may be less competitive, and our ability to offer attractive services and solutions to address the needs and demands of our customers and our results of operations could be adversely affected. Further, changes in the business condition (financial or otherwise) of our suppliers or partners could subject us to losses and affect our ability to bring our offerings to market. Additionally, the failure of our suppliers and partners to deliver products and services in sufficient quantities, in a timely manner, and in compliance with all applicable laws and regulations could adversely affect our business. Any defective products or inadequate services received from suppliers or partners could reduce the reliability of our services and harm our reputation.</w:t>
      </w:r>
    </w:p>
    <w:p>
      <w:pPr>
        <w:spacing w:after="0" w:line="193"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continue addressing and adapting to technological developments and trends that serve customer demands, our growth plans, market share and financial performance could be negatively affected.</w:t>
      </w:r>
    </w:p>
    <w:p>
      <w:pPr>
        <w:spacing w:after="0" w:line="15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Our growth strategy depends in part on our ability to continue to develop and implement services and solutions that anticipate and respond to rapid and continuing changes in technology, offerings and industry standards to serve the evolving demands of our customers. If we fail to respond successfully to technology challenges and customer demands in a timely or cost-effective manner or fail to effectively leverage new technologies into our services and solutions, or if our competitors or other third parties respond to such challenges more quickly or successfully than we do, the demand for our services and solutions may diminish. We have made and expect to continue to make investments in new technologies, including in AI and generative AI. We sometimes dedicate a significant amount of resources to our development efforts before knowing to what extent our investments will result in services and solutions the market will accept. In addition, investments in technology systems may not deliver the benefits or perform as expected, or may be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replaced or become obsolete more quickly than expected, which could result in operational difficulties or additional costs. If we do not sufficiently invest in new technologies and adapt to industry developments, if we are unable to commercialize them in our services and solutions, evolve, expand and scale them with sufficient speed and versatility, or if we do not make the right strategic investments to respond to these developments and successfully drive innovation, our results of operations and our ability to develop and maintain a competitive advantage and to execute on our growth strategy could be negatively affected.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and retain key personnel and other skilled employees, our business could be harmed.</w:t>
      </w:r>
    </w:p>
    <w:p>
      <w:pPr>
        <w:spacing w:after="0" w:line="229"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If any of our key employees were to leave, we could face substantial difficulty in hiring qualified successors and could experience a loss in productivity while any successor obtains the necessary training and experience. Although we have arrangements with some of our executive officers designed to promote retention, our employment relationships are generally at-will, and key employees may leave us. We intend to continue to hire additional highly qualified personnel but may not be able to attract, assimilate or retain similarly qualified personnel in the future.</w:t>
      </w:r>
    </w:p>
    <w:p>
      <w:pPr>
        <w:spacing w:after="0" w:line="183"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addition, much of our future success depends on the continued service, availability and integrity of skilled employees, including technical, sales and staff resources. Skilled and experienced personnel in the areas where we compete often are in high demand, and competition for their talents is often intense. Our inability to retain skilled employees could intensify the adverse impact of a shortage of critical skills. Changing demographics and labor workforce trends also may result in a shortage of or insufficient knowledge and skills. Further, as global opportunities and industry demand shift, realignment, training and scaling of skilled resources may not be sufficiently rapid or successful. Any failure to attract, integrate, motivate and retain these employees could harm our business. Alternatively, from time to time, we may have more people than we need in certain skill sets, geographies or compensation levels. In such cases, we have, and may in the future, rebalance our workforce, including reducing the rate of new hires and increasing involuntary terminations, which actions could negatively impact employee engagement and retention.</w:t>
      </w:r>
    </w:p>
    <w:p>
      <w:pPr>
        <w:spacing w:after="0" w:line="190" w:lineRule="exact"/>
        <w:rPr>
          <w:sz w:val="20"/>
          <w:szCs w:val="20"/>
          <w:color w:val="auto"/>
        </w:rPr>
      </w:pPr>
    </w:p>
    <w:p>
      <w:pPr>
        <w:ind w:left="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our global presence, our business and operations could be adversely impacted by economic, political, public health and other conditions.</w:t>
      </w:r>
    </w:p>
    <w:p>
      <w:pPr>
        <w:spacing w:after="0" w:line="159"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color w:val="auto"/>
        </w:rPr>
        <w:t>We are a globally integrated company and have operations worldwide. Our results of operations could be affected by economic and political changes in those countries and by macroeconomic changes, including recessions, inflation, currency fluctuations between the U.S. dollar and non-U.S. currencies and adverse changes in trade relationships among those countries. Further, international trade disputes could create uncertainty. Tariffs and international trade sanctions resulting from these disputes could affect our ability to move goods and services across borders, or could impose added costs to those activities. Measures taken to date by us to mitigate these impacts could be made less effective should trade sanctions or tariffs change. In addition, any widespread outbreak of an illness, pandemic or other local or global health issue, natural disasters including those that could be related to climate change impacts, or uncertain political climates, international hostilities, geopolitical conflict or any terrorist activities, could adversely affect customer demand, our operations and supply chain, and our ability to source and deliver solutions to our customers. For example, the COVID-19 pandemic created significant volatility, uncertainty and economic disruption. In the current macroeconomic environment, customers continue to balance short-term challenges and opportunities for transformation. While some customers have accelerated their digital transformation and increased their expenditures, the short-term priorities of other customers continue to be focused on operational stability, flexibility and cash preservation, and as such, we may experience some disruptions in transactional performance.</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Damage to our reputation could adversely impact our business.</w:t>
      </w:r>
    </w:p>
    <w:p>
      <w:pPr>
        <w:spacing w:after="0" w:line="22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Our reputation may be susceptible to damage by events such as significant disputes with customers, internal control deficiencies, delivery failures, cybersecurity incidents, government investigations or legal proceedings or actions of current or former customers, directors, employees, competitors, vendors, alliance partners or joint venture partners. If we fail to gain a positive reputation as leader in our field, or if our brand image is tarnished by negative perceptions, our ability to attract and retain customers and talent could be impacted.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accurately estimate the cost of services and the timeline for completion of contracts, the profitability of our contracts may be materially and adversely affected.</w:t>
      </w:r>
    </w:p>
    <w:p>
      <w:pPr>
        <w:spacing w:after="0" w:line="159"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Our commercial contracts are typically awarded on a competitive or “sole-source” basis. Our bids are priced upon, among other items, the expected cost to provide the services. We are dependent on our internal forecasts and predictions about our projects and the marketplace, and, to generate an acceptable return on our investment in these contracts, we must be able to accurately estimate our costs to provide the services required by the contract and to complete the contracts in a timely manner. We face a number of risks when pricing our contracts, as many of our projects entail the coordination of operations and workforces in multiple locations and utilizing workforces with different skill sets and competencies across geographically diverse service locations. In addition, revenues from a small portion of our contracts are recognized using the percentage-of-completion method, which requires estimates of total costs at completion, fees earned on the contract, or both. This estimation process, particularly due to the technical nature of the services being performed and the long-term nature of certain contracts, is complex and involves significant judgment. Adjustments to original estimates are often required as work progresses, experience is gained and additional information becomes known, even though the scope of the work required under the contract may not change. Moreover, as inflation can increase both our labor and non-labor input costs, the profitability of our contracts could be negatively impacted if we are unable to adjust our pricing or costs to take inflation into account. Furthermore, if we fail to accurately estimate the effort, costs or time required to complete a contract, the profitability of our contracts may be materially and adversely affected.</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Service delivery issues could adversely impact our business and operating results.</w:t>
      </w:r>
    </w:p>
    <w:p>
      <w:pPr>
        <w:spacing w:after="0" w:line="22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We have customer agreements in place that include certain service-level commitments. If we are unable to meet such commitments, we may be contractually obligated to pay penalties or provide these customers with service credits for a portion of the service fees paid by our customers. However, we cannot be assured that our customers will accept these penalties or credits in lieu of other legal remedies that may be available to them. Our failure to meet our commitments could also result in customer dissatisfaction or loss and have an adverse effect on our business, reputation, financial condition and results of operations.</w:t>
      </w:r>
    </w:p>
    <w:p>
      <w:pPr>
        <w:spacing w:after="0" w:line="187"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In addition, as we work on projects to advance the digital transformations of our customers’ businesses, the scale and complexity of these IT transformation projects present risks in management and execution. Our profitability depends on the ability of subcontractors, vendors and service providers to deliver their products and services in a timely manner, at the anticipated cost, and in accordance with the project requirements, as well as on our effective oversight of their performance. Certain customer work requires the use of unique and complex structures and alliances, some of which require us to assume responsibility for the performance of third parties whom we do not control. Any of these factors could adversely affect our ability to perform and subject us to additional liabilities, which could have an adverse effect on our relationships with customers and on our results of operations.</w:t>
      </w:r>
    </w:p>
    <w:p>
      <w:pPr>
        <w:spacing w:after="0" w:line="188" w:lineRule="exact"/>
        <w:rPr>
          <w:sz w:val="20"/>
          <w:szCs w:val="20"/>
          <w:color w:val="auto"/>
        </w:rPr>
      </w:pPr>
    </w:p>
    <w:p>
      <w:pPr>
        <w:ind w:left="60" w:right="1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Risks from acquisitions and dispositions include integration challenges, failure to achieve objectives, the assumption of liabilities and higher debt levels.</w:t>
      </w:r>
    </w:p>
    <w:p>
      <w:pPr>
        <w:spacing w:after="0" w:line="15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We may decide to make acquisitions and dispositions in furtherance of our strategy. Such transactions can present significant challenges and risks, and there can be no assurances that we will identify or manage such transactions successfully or that strategic opportunities will be available to us on acceptable terms or at all. The related risks include our failure to achieve strategic objectives, our failure to achieve anticipated revenue improvements and cost savings, our failure to retain key strategic relationships of acquired companies, our failure to retain key personnel and our assumption of liabilities related to litigation or other legal proceedings involving the businesses in such transactions, as well as our failure to close planned transactions. Such transactions may require us to secure financing, and our indebtedness may limit the availability of financing to us or the favorability of the terms of available financing. If we do acquire other companies, we may not realize all the economic benefit from those acquisitions, which could cause an impairment of goodwill or intangible assets.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impacted by our business with government customers.</w:t>
      </w:r>
    </w:p>
    <w:p>
      <w:pPr>
        <w:spacing w:after="0" w:line="229" w:lineRule="exact"/>
        <w:rPr>
          <w:sz w:val="20"/>
          <w:szCs w:val="20"/>
          <w:color w:val="auto"/>
        </w:rPr>
      </w:pPr>
    </w:p>
    <w:p>
      <w:pPr>
        <w:ind w:left="60" w:right="99" w:firstLine="648"/>
        <w:spacing w:after="0" w:line="270" w:lineRule="auto"/>
        <w:rPr>
          <w:sz w:val="20"/>
          <w:szCs w:val="20"/>
          <w:color w:val="auto"/>
        </w:rPr>
      </w:pPr>
      <w:r>
        <w:rPr>
          <w:rFonts w:ascii="Times New Roman" w:cs="Times New Roman" w:eastAsia="Times New Roman" w:hAnsi="Times New Roman"/>
          <w:sz w:val="17"/>
          <w:szCs w:val="17"/>
          <w:color w:val="auto"/>
        </w:rPr>
        <w:t>Our customers include numerous governmental entities within and outside the United States, including foreign governments and U.S. state and local entities. Some of our agreements with these customers are subject to periodic funding approval or other government budgetary issues. Funding reductions or delays could adversely impact public sector demand for our services and can result in payment delays, payment reductions or contract terminations, any of which would have an adverse effect on our business, financial condition, results of operations and/or cash flows. Also, government contracts are generally subject to extensive and evolving procurement regulations and tend to have additional requirements beyond commercial contracts and, for example, may contain provisions providing for higher liability limits for certain losses and non-performance. Also, compliance violations in one state or locality could result in suspension or debarment as a governmental contractor, could incur civil and criminal fines and penalties, or could impact our ability to compete for new contracts, which could negatively impact our competitive position, results of operations, financial results and reputation.</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matters could adversely impact our business.</w:t>
      </w:r>
    </w:p>
    <w:p>
      <w:pPr>
        <w:spacing w:after="0" w:line="22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Our intellectual property rights may not prevent competitors from independently developing services similar to or duplicative of ours, nor can there be any assurance that the resources invested by us to protect our intellectual property will be sufficient or that our intellectual property portfolio will adequately deter misappropriation or improper use of our technology. Our ability to protect our intellectual property could also be impacted by changes to existing laws, legal principles and regulations governing intellectual property. Further, we rely on third-party intellectual property rights, open-source software and other third-party software in providing some of our services and solutions, and there can be no assurances that we will be able to obtain from third parties the licenses we need in the future or retain all of these intellectual property rights upon renewal, expiration or termination of such licenses. If we cannot obtain, renew or extend licenses to third-party intellectual property on commercially reasonable terms, or if we must obtain alternative or substitute technology or redesign services, our business may be adversely affected. Additionally, we cannot be sure that our services and solutions, or the solutions of others that we offer to our customers, do not infringe on the intellectual property rights of third parties (including competitors as well as non-practicing holders of intellectual property assets), and these third parties could claim that we, our customers or parties indemnified by us are infringing upon their intellectual property rights. As we expand our use of AI, there may be uncertainty regarding intellectual property ownership and license rights of AI algorithms and content generated by AI, and we may become subject to similar claims of infringement. In addition, we may be the target of aggressive and opportunistic enforcement of patents by third parties, including patent assertion entities and non-practicing entities. These claims, even if we believe they have no merit, could subject us to a temporary or permanent injunction or damages, harm our reputation, divert management attention and resources and cause us to incur substantial costs or prevent us from offering some services or solutions in the future. Even if we have an agreement providing for third parties to indemnify us for the foregoing claims, the indemnifying parties may be unwilling or unable to fulfill their contractual obligations.</w:t>
      </w:r>
    </w:p>
    <w:p>
      <w:pPr>
        <w:spacing w:after="0" w:line="184" w:lineRule="exact"/>
        <w:rPr>
          <w:sz w:val="20"/>
          <w:szCs w:val="20"/>
          <w:color w:val="auto"/>
        </w:rPr>
      </w:pPr>
    </w:p>
    <w:p>
      <w:pPr>
        <w:ind w:left="60" w:right="6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record impairment charges to future earnings if our goodwill or long-lived assets become impaired.</w:t>
      </w:r>
    </w:p>
    <w:p>
      <w:pPr>
        <w:spacing w:after="0" w:line="15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We are required under accounting principles generally accepted in the United States of America (“GAAP”) to review our goodwill for impairment at least annually, and to review goodwill and long-lived assets when events or changes in circumstances indicate the carrying value may not be recoverable. Some factors that may be considered events or changes in circumstances that would require our long-lived assets and/or goodwill to be reviewed for impairment include a sustained decline in stock price, a substantial decline in business performance or other entity-specific events such as changes in business management and strategy. We may be required to record non-cash impairment charges during any period in which we determine that our goodwill or long-lived assets are impaired, which could adversely affect our results of operations. As of March 31, 2024, our goodwill balance was $805 million, which represented 8% of total consolidated assets. See Note 10 – Intangible Assets Including Goodwill to our financial statements included elsewhere in this report for additional information about our goodwill impairment.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Relating to Cybersecurity, Data Governance and Privacy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Cybersecurity, data governance and privacy considerations could adversely impact our business.</w:t>
      </w:r>
    </w:p>
    <w:p>
      <w:pPr>
        <w:spacing w:after="0" w:line="22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maintain information, including confidential and proprietary information, in digital form regarding our business and the business of our customers, business partners, vendors, employees, contractors and other third parties. We also rely on third-party vendors to provide certain digital services in connection with our business. There are numerous and evolving risks relating to cybersecurity, data governance and privacy, including risks originating from intentional acts of criminal hackers, nation states and hacktivists; from intentional and unintentional acts of customers, business partners, vendors, employees, contractors, competitors and other third parties; and from errors and omissions in processes or technologies, as well as the risks associated with an increase in the number of customers, business partners, vendors, employees, contractors and other third parties working remotely. Computer hackers and others routinely attack the security of technology products, services, systems and networks using a wide variety of methods, including ransomware or other malicious software and attempts to exploit vulnerabilities in hardware, software and infrastructure. Attacks also include social engineering to fraudulently induce customers, business partners, vendors, employees, contractors and other third parties to disclose information, transfer funds or unwittingly provide access to systems or data. We are at risk of security breaches not only of our own services, systems and networks, but also those of customers, business partners, vendors, employees, contractors and other third parties.</w:t>
      </w:r>
    </w:p>
    <w:p>
      <w:pPr>
        <w:spacing w:after="0" w:line="197"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Cyber threats are continually evolving, making it more challenging to defend against certain threats and vulnerabilities that can persist undetected over extended periods of time. Our services, systems and networks, including cloud-based systems and other third-party systems and technologies that we maintain on behalf of our customers, may be used in critical Company, customer or third-party operations, and involve the storage, processing and transmission of sensitive data, including proprietary or confidential data, regulated data, personal information and intellectual property of employees, customers and others. These services, systems and networks are also used by customers in heavily regulated industries, including those in the financial services, healthcare, critical infrastructure and government sectors. Cybersecurity attacks or other security incidents relating to our systems or those of our vendors could result in, for example, one or more of the following: unauthorized access to, disclosure, modification, misuse, loss or destruction of Company, customer or other third-party data or systems; theft or import or export of sensitive, regulated or confidential data including personal information and intellectual property; the loss of access to critical data or systems through ransomware, destructive attacks or other means; and business delays, service or system disruptions or denials of service. In the event of such actions, we, our customers and other third parties could be exposed to liability (whether contractual or otherwise), litigation, and regulatory or other government inquiries, enforcement actions, fines or penalties, as well as the loss of existing or potential customers, negative publicity, damage to brand and reputation, damage to our competitive position and other financial loss.</w:t>
      </w:r>
    </w:p>
    <w:p>
      <w:pPr>
        <w:spacing w:after="0" w:line="195"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cost and operational consequences of responding to cybersecurity incidents and implementing remediation measures could be significant. In our industry, security vulnerabilities are increasingly discovered, publicized and exploited across a broad range of hardware, software or other infrastructure, elevating the risk of attacks and the potential cost of response and remediation for us and our customers. In addition, the fast-paced, evolving, pervasive and sophisticated nature of certain cyber threats and vulnerabilities, including increased risks posed by generative AI, and the scale and complexity of our business and infrastructure, make it possible that certain threats or vulnerabilities will be undetected or unmitigated in time to prevent or minimize the impact of an attack on us or our customers. Cybersecurity risk to us and our customers also depends on factors such as the actions, practices and investments of customers, business partners, vendors, employees, contractors and other third parties. Cybersecurity attacks or other catastrophic events resulting in disruptions to or failures in power, information technology, communication systems or other critical infrastructure could result in interruptions or delays to Company, customer or other third-party operations or services, financial loss, injury or death to persons or property, potential liability, and damage to brand and reputation. Although, to date, we have not experienced a cybersecurity incident that has had a material adverse effect on us and we continuously take steps to mitigate cybersecurity risk across a range of functions, such measures cannot eliminate the risk entirely or provide absolute security. While we continue to monitor for, identify, investigate, respond to, remediate and develop plans to quickly recover from cybersecurity incidents, notwithstanding our efforts, we may experience a cybersecurity incident in the future that may have a material adverse impact on the Company.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As we are a global enterprise, the regulatory environment with regard to cybersecurity, data governance and privacy issues to which we are subject is increasingly complex and will continue to impact our business, including through increased risk, increased compliance costs, and expanded or otherwise altered compliance obligations. As our reliance on data grows, the potential impact of regulations on our business, risks and reputation will grow accordingly. The enactment and expansion of cybersecurity, data governance and privacy laws and regulations around the globe, including an increased focus on international data transfer mechanisms and supply chain management; the lack of harmonization of such laws and regulations; the increase in associated litigation and enforcement activity; the potential for damages, fines and penalties; and the potential regulation of emerging and new technologies, such as AI and generative AI, will continue to result in increased compliance costs and increased risks. Any additional costs and penalties associated with increased compliance, enforcement and risk reduction could make certain offerings less profitable or increase the difficulty of bringing certain offerings to market.</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Relating to Laws and Regulations</w:t>
      </w:r>
    </w:p>
    <w:p>
      <w:pPr>
        <w:spacing w:after="0" w:line="225" w:lineRule="exact"/>
        <w:rPr>
          <w:sz w:val="20"/>
          <w:szCs w:val="20"/>
          <w:color w:val="auto"/>
        </w:rPr>
      </w:pPr>
    </w:p>
    <w:p>
      <w:pPr>
        <w:ind w:left="60" w:right="6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global operations expose us to numerous and sometimes conflicting legal and regulatory requirements, and violation of these regulations could harm our business.</w:t>
      </w:r>
    </w:p>
    <w:p>
      <w:pPr>
        <w:spacing w:after="0" w:line="159"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We are subject to numerous, evolving, and sometimes conflicting, legal regimes on matters as diverse as anticorruption, import/export controls, content requirements, cybersecurity, data governance and privacy, trade restrictions, tariffs, taxation, sanctions, immigration, internal and disclosure control obligations, securities regulation, anti-competition, anti-money-laundering, wage-and-hour standards, employment and labor relations, environmental, human rights, machine learning and AI. Further, we and the services we provide to customers may be impacted directly or indirectly by the development and enforcement of laws and regulations in the U.S. and globally that are specifically targeted at the technology and services sectors. As we expand our customer base and the scope of our offerings, both within the U.S. and globally, we may be further impacted by additional regulatory or other risks, including compliance with laws relating to corporate taxation, import, export and trade restrictions on technology and services. The global nature of our operations, including jurisdictions where legal systems may be less developed or understood by us, business practices and standards which deviate from international standards, and the diverse nature of our operations across a number of regulated industries, further increases the difficulty of compliance. Additionally, certain laws and regulations including the U.S. Foreign Corrupt Practices Act and the U.K. Bribery Act 2010 could make us responsible for acts of our employees, subcontractors, vendors, agents, alliance or joint venture partners, the companies we may acquire and their employees, subcontractors, vendors and agents, and other third parties with which we associate if they take actions that violate applicable anti-corruption laws or regulations (whether or not we participated or knew about the actions leading to the violations).</w:t>
      </w:r>
    </w:p>
    <w:p>
      <w:pPr>
        <w:spacing w:after="0" w:line="193"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Compliance with diverse legal requirements is costly and time-consuming and requires significant resources. New and changing laws can also adversely affect the Company’s business by limiting the Company’s ability to offer a service or feature to customers, imposing changes to the design of the Company’s products and services, impacting customer demand for the Company’s products and services, and requiring changes to the Company’s supply chain and business. New and changing laws and regulations can also create uncertainty about how such laws and regulations will be interpreted and applied. Violations of one or more of these regulations in the conduct of our business could result in significant fines and penalties, disgorgement of profits, enforcement actions or criminal sanctions against us and/or our employees, contractors or agents, prohibitions on doing business, unfavorable publicity and damage to our reputation. Violations of these regulations in connection with the performance of our obligations to our customers also could result in liability for significant monetary damages and restrictions on our ability to effectively carry out our contractual obligations and thereby expose us to potential claims from our customers. Due to the varying degrees of development of the legal systems of the countries in which we operate, local laws may not be well developed or provide sufficiently clear guidance and may be insufficient to protect our rights.</w:t>
      </w:r>
    </w:p>
    <w:p>
      <w:pPr>
        <w:spacing w:after="0" w:line="187"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Changes in laws and regulations could also mandate significant and costly changes to the way we implement our services or could impose additional taxes on our services. For example, changes in laws and regulations to limit using off-shore resources in connection with our work or to penalize companies that use off-shore resources, which have been proposed from time to time in various jurisdictions, could adversely affect our results of operations. Such changes may result in contracts being terminated or work being transferred on-shore, resulting in greater costs to us.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Additionally, changes in laws and regulations, including expanding export controls and sanctions resulting from geopolitical developments, could impact our business, including imposing limits on where we can conduct operations, parties with whom we can conduct business, and the nature of work that can be performed. Such changes may result in limitations on existing or future business operations in certain markets, and violations of such laws and regulations could result in significant fines, penalties and enforcement actions.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Tax matters could impact our results of operations and financial condition.</w:t>
      </w:r>
    </w:p>
    <w:p>
      <w:pPr>
        <w:spacing w:after="0" w:line="229"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8"/>
          <w:szCs w:val="18"/>
          <w:color w:val="auto"/>
        </w:rPr>
        <w:t>We are subject to income taxes and withholding taxes in both the United States and numerous foreign jurisdictions. We calculate and provide for taxes in each tax jurisdiction in which we operate. Tax accounting often involves complex matters and requires our judgment to determine our worldwide provision for income taxes and other tax liabilities. Our provision for income taxes and cash tax liability in the future could be adversely affected by numerous factors including, but not limited to, income before taxes being lower than anticipated in countries with lower statutory tax rates and higher than anticipated in countries with higher statutory tax rates, changes in the valuation of deferred tax assets and liabilities, and changes in tax laws, regulations, accounting principles or interpretations thereof, which could adversely impact our results of operations and financial condition in future periods. The Organization for Economic Cooperation and Development (the “OECD”) continues to issue guidelines that are different, in some respects, than long-standing international tax principles. As countries unilaterally amend their tax laws to adopt certain parts of the OECD guidelines, this may increase tax uncertainty and may adversely impact our income taxes. Local country, state, provincial or municipal taxation may also be subject to review and potential override by regional, federal, national or similar forms of government, which may also adversely impact our income taxes. In addition, we are subject to periodic examinations of our domestic and foreign tax returns by taxing authorities in the jurisdictions in which we do business. While we regularly assess the likelihood of adverse outcomes resulting from these examinations in order to determine the adequacy of our provision for income taxes, there can be no assurance that the outcomes from these examinations will not have an adverse effect on the Company’s provision for income taxes and cash flows.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legal proceedings and investigatory risks.</w:t>
      </w:r>
    </w:p>
    <w:p>
      <w:pPr>
        <w:spacing w:after="0" w:line="229"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As a multinational company with customers and employees around the world, we are or may become involved as a party and/or may be subject to a variety of claims, demands, suits, investigations, tax matters and other proceedings that arise from time to time in the ordinary course of our business. In addition, our former Parent may obtain, or may seek to obtain, indemnity from us for judgments against it relating to events that occurred prior to the Separation pursuant to agreements put in place in connection with the Separation. The risks associated with such legal proceedings are described in more detail in Note 13 – Commitments and Contingencies in the financial statements elsewhere in this report. We believe that we have adopted appropriate risk management and compliance programs. Legal and compliance risks, however, will continue to exist, and additional legal proceedings and other contingencies, the outcome of which cannot be predicted with certainty, may arise from time to time.</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could incur costs for regulated environmental matters.</w:t>
      </w:r>
    </w:p>
    <w:p>
      <w:pPr>
        <w:spacing w:after="0" w:line="229"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We are subject to various federal, state, local and foreign laws and regulations concerning the discharge of materials into the environment or otherwise related to environmental protection. We could incur costs, including cleanup costs, fines and civil or criminal sanctions, as well as third-party claims for property damage or personal injury, if we were to violate or become liable under environmental laws and regulations. In addition, if we were to violate or become liable under these laws and regulations our reputation could be harmed, which could have a negative impact on demand for our products and services.</w:t>
      </w:r>
    </w:p>
    <w:p>
      <w:pPr>
        <w:spacing w:after="0" w:line="183"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Expectations relating to environmental, social and governance considerations could expose us to potential liabilities, increased costs and reputational harm.</w:t>
      </w:r>
    </w:p>
    <w:p>
      <w:pPr>
        <w:spacing w:after="0" w:line="159"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There has been an increasing focus by governments, regulators, investors, employees, customers and other stakeholders on environmental, social and governance considerations relating to businesses. This includes climate change and carbon emissions, human rights, diversity, equity and inclusion, responsible supply chain management, ethics, cybersecurity and privacy concerns. We have established and publicly announced certain goals, commitments and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initiatives that reflect our current plans and aspirations on corporate citizenship matters, which are based on available data and estimates and are not guarantees that we will be able to achieve them. The implementation of these goals, commitments and initiatives is subject to numerous risks, many of which are beyond our control. Examples of such risks include but are not limited to: the availability and cost of resources and related technologies; the availability of suppliers and partners that can meet our standards; reliance on third-party performance and data; and our ability to manage geopolitical disruptions and natural disasters that could impact our employees, customers and businesses. Our failure, or perceived failure, to achieve our corporate citizenship and other related goals and commitments, maintain our practices, adhere to our public statements, comply with existing and new laws and regulations or meet evolving and varied stakeholder expectations and standards could adversely affect our reputation, our financial condition and our ability to attract and retain customers and talent, and expose us to increased scrutiny from the investment community, enforcement authorities and others.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Relating to Financing and Capital Markets Activities</w:t>
      </w:r>
    </w:p>
    <w:p>
      <w:pPr>
        <w:spacing w:after="0" w:line="225" w:lineRule="exact"/>
        <w:rPr>
          <w:sz w:val="20"/>
          <w:szCs w:val="20"/>
          <w:color w:val="auto"/>
        </w:rPr>
      </w:pPr>
    </w:p>
    <w:p>
      <w:pPr>
        <w:ind w:left="60" w:right="51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A lowering or withdrawal of the ratings, outlook or watch assigned to our debt securities by rating agencies may increase our future borrowing costs, reduce our access to capital and adversely impact our financial performance.</w:t>
      </w:r>
    </w:p>
    <w:p>
      <w:pPr>
        <w:spacing w:after="0" w:line="136"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Any rating, outlook or watch assigned could be lowered or withdrawn entirely by a rating agency if, in that rating agency’s judgment, current or future circumstances relating to the basis of the rating, outlook or watch, such as adverse changes to our business, so warrant. Any future lowering of our ratings, outlook or watch likely would make it more difficult or more expensive for us to refinance or obtain additional debt financing. Moreover, a reduction in our rating to below certain levels could potentially cause certain customers to reduce or cease to do business with us, which would adversely impact our financial performance.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commercial and credit environment may adversely affect our access to capital.</w:t>
      </w:r>
    </w:p>
    <w:p>
      <w:pPr>
        <w:spacing w:after="0" w:line="229" w:lineRule="exact"/>
        <w:rPr>
          <w:sz w:val="20"/>
          <w:szCs w:val="20"/>
          <w:color w:val="auto"/>
        </w:rPr>
      </w:pPr>
    </w:p>
    <w:p>
      <w:pPr>
        <w:ind w:left="60" w:right="299" w:firstLine="648"/>
        <w:spacing w:after="0" w:line="258" w:lineRule="auto"/>
        <w:rPr>
          <w:sz w:val="20"/>
          <w:szCs w:val="20"/>
          <w:color w:val="auto"/>
        </w:rPr>
      </w:pPr>
      <w:r>
        <w:rPr>
          <w:rFonts w:ascii="Times New Roman" w:cs="Times New Roman" w:eastAsia="Times New Roman" w:hAnsi="Times New Roman"/>
          <w:sz w:val="18"/>
          <w:szCs w:val="18"/>
          <w:color w:val="auto"/>
        </w:rPr>
        <w:t>Our ability to issue debt or enter into other financing arrangements on acceptable terms could be adversely affected if there is a material decline in the demand for our services or in the solvency of our customers or suppliers or if there are other significantly unfavorable changes in economic conditions. Volatility in the world financial markets could increase borrowing costs or affect our ability to access the capital markets. These conditions may adversely affect our credit ratings.</w:t>
      </w:r>
    </w:p>
    <w:p>
      <w:pPr>
        <w:spacing w:after="0" w:line="179" w:lineRule="exact"/>
        <w:rPr>
          <w:sz w:val="20"/>
          <w:szCs w:val="20"/>
          <w:color w:val="auto"/>
        </w:rPr>
      </w:pPr>
    </w:p>
    <w:p>
      <w:pPr>
        <w:ind w:left="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performance could be adversely impacted by changes in market liquidity conditions and by customer credit risk on receivables.</w:t>
      </w:r>
    </w:p>
    <w:p>
      <w:pPr>
        <w:spacing w:after="0" w:line="159" w:lineRule="exact"/>
        <w:rPr>
          <w:sz w:val="20"/>
          <w:szCs w:val="20"/>
          <w:color w:val="auto"/>
        </w:rPr>
      </w:pPr>
    </w:p>
    <w:p>
      <w:pPr>
        <w:ind w:left="60" w:right="139" w:firstLine="648"/>
        <w:spacing w:after="0" w:line="257" w:lineRule="auto"/>
        <w:rPr>
          <w:sz w:val="20"/>
          <w:szCs w:val="20"/>
          <w:color w:val="auto"/>
        </w:rPr>
      </w:pPr>
      <w:r>
        <w:rPr>
          <w:rFonts w:ascii="Times New Roman" w:cs="Times New Roman" w:eastAsia="Times New Roman" w:hAnsi="Times New Roman"/>
          <w:sz w:val="18"/>
          <w:szCs w:val="18"/>
          <w:color w:val="auto"/>
        </w:rPr>
        <w:t>Our customer base includes many worldwide enterprises, from the world’s largest organizations and governments to smaller businesses, with a significant portion of our revenue coming from global customers across many sectors. As a result, our financial performance is exposed to a wide variety of industry sector dynamics worldwide, including sudden shifts in regional or global economic activity. Our earnings and cash flows, as well as our access to funding, could be negatively impacted by changes in market liquidity conditions. Additionally, if we become aware of information related to the creditworthiness of a major customer, or if future actual default rates on receivables in general differ from those currently anticipated, we may have to adjust our allowance for credit losses, which could affect our net income in the period the adjustments are made.</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and financial condition could be negatively impacted by our pension plans.</w:t>
      </w:r>
    </w:p>
    <w:p>
      <w:pPr>
        <w:spacing w:after="0" w:line="229"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Adverse financial market conditions and volatility in the credit markets may have an unfavorable impact on the value of our pension trust assets and our future estimated pension liabilities. As a result, our financial results in any period could be negatively impacted. In addition, in a period of an extended financial market downturn, we could be required to provide incremental pension plan funding with resulting liquidity risk which could negatively impact our financial flexibility. Further, our results could be negatively impacted by premiums for mandatory pension insolvency insurance coverage outside the United States. Premium increases could be significant due to the level of insolvencies of unrelated companies in the country at issue.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currency risk that can adversely impact our revenue and business.</w:t>
      </w:r>
    </w:p>
    <w:p>
      <w:pPr>
        <w:spacing w:after="0" w:line="229" w:lineRule="exact"/>
        <w:rPr>
          <w:sz w:val="20"/>
          <w:szCs w:val="20"/>
          <w:color w:val="auto"/>
        </w:rPr>
      </w:pPr>
    </w:p>
    <w:p>
      <w:pPr>
        <w:ind w:left="60" w:right="79" w:firstLine="648"/>
        <w:spacing w:after="0" w:line="271" w:lineRule="auto"/>
        <w:rPr>
          <w:sz w:val="20"/>
          <w:szCs w:val="20"/>
          <w:color w:val="auto"/>
        </w:rPr>
      </w:pPr>
      <w:r>
        <w:rPr>
          <w:rFonts w:ascii="Times New Roman" w:cs="Times New Roman" w:eastAsia="Times New Roman" w:hAnsi="Times New Roman"/>
          <w:sz w:val="17"/>
          <w:szCs w:val="17"/>
          <w:color w:val="auto"/>
        </w:rPr>
        <w:t>We derive a significant percentage of our revenues and costs in non-U.S. dollar currency environments, and our results are affected by changes in the relative values of non-U.S. currencies and the U.S. dollar, as well as sudden shifts in regional or global economic activity. Fluctuations in foreign currency exchange rates can have adverse effects on our revenues, income from operations and net income when items denominated in other currencies are translated or remeasured into U.S. dollars for presentation of our consolidated financial statements. In addition, we have labor and product supply agreements where the currency in which our costs are denominated differs from the currency of the customer contract. Our hedging strategies may not fully mitigate our currency risk or may prove disadvantageous. Additionally, large changes in currency exchange rates relative to our functional currencies can increase the costs of our services to customers relative to local competitors, thereby causing us to lose existing or potential customers to these local competitors.</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Relating to our Spin-off from IBM</w:t>
      </w:r>
    </w:p>
    <w:p>
      <w:pPr>
        <w:spacing w:after="0" w:line="225" w:lineRule="exact"/>
        <w:rPr>
          <w:sz w:val="20"/>
          <w:szCs w:val="20"/>
          <w:color w:val="auto"/>
        </w:rPr>
      </w:pPr>
    </w:p>
    <w:p>
      <w:pPr>
        <w:jc w:val="both"/>
        <w:ind w:left="60" w:right="6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Spin-off were determined not to qualify as tax-free for U.S. federal income tax purposes, we could have an indemnification obligation to IBM, which could adversely affect our business, financial condition and results of operations.</w:t>
      </w:r>
    </w:p>
    <w:p>
      <w:pPr>
        <w:spacing w:after="0" w:line="175"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 xml:space="preserve">If the Distribution were determined not to qualify for non-recognition of gain or loss under Section 355 and related provisions of the Internal Revenue Code of 1986 (the “Code”), each stockholder that is subject to U.S. federal income tax who received our common stock in the Distribution would generally be treated as having received a distribution in an amount equal to the fair market value of our common stock received, which would generally result in: (i) a taxable dividend to such stockholder to the extent of that such stockholder’s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IBM’s current or accumulated earnings and profits; (ii) a reduction in such stockholder’s basis (but not below zero) in IBM common stock to the extent the amount received exceeds the stockholder’s share of IBM’s earnings and profits; and (iii) taxable gain from the exchange of IBM common stock to the extent the amount received exceeded the sum of such stockholder’s share of IBM’s earnings and profits and such stockholder’s basis in its IBM common stock.</w:t>
      </w:r>
    </w:p>
    <w:p>
      <w:pPr>
        <w:spacing w:after="0" w:line="188" w:lineRule="exact"/>
        <w:rPr>
          <w:sz w:val="20"/>
          <w:szCs w:val="20"/>
          <w:color w:val="auto"/>
        </w:rPr>
      </w:pPr>
    </w:p>
    <w:p>
      <w:pPr>
        <w:ind w:left="60" w:right="339" w:firstLine="648"/>
        <w:spacing w:after="0" w:line="261" w:lineRule="auto"/>
        <w:rPr>
          <w:sz w:val="20"/>
          <w:szCs w:val="20"/>
          <w:color w:val="auto"/>
        </w:rPr>
      </w:pPr>
      <w:r>
        <w:rPr>
          <w:rFonts w:ascii="Times New Roman" w:cs="Times New Roman" w:eastAsia="Times New Roman" w:hAnsi="Times New Roman"/>
          <w:sz w:val="18"/>
          <w:szCs w:val="18"/>
          <w:color w:val="auto"/>
        </w:rPr>
        <w:t>If, as a result of any of our representations being untrue or our covenants being breached, the Spin-off were determined not to qualify for non-recognition of gain or loss under Section 355 and related provisions of the Code, we could be required to indemnify IBM for the resulting taxes and related expenses. Those amounts could be material. Any such indemnification obligation could adversely affect our business, financial condition and results of operations.</w:t>
      </w:r>
    </w:p>
    <w:p>
      <w:pPr>
        <w:spacing w:after="0" w:line="180"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In addition, if we or our stockholders engaged in transactions that resulted in a 50% or greater change by vote or value in the ownership of our stock during the four-year period beginning on the date that begins two years before the date of the Distribution, the Distribution would generally be taxable to IBM, but not to its stockholders, under Section 355(e) of the Code, unless it were established that such transactions and the Distribution were not part of a plan or series of related transactions. If the Distribution were taxable to IBM due to such a 50% or greater change in ownership of our stock, IBM would recognize a gain equal to the excess of the fair market value on the Distribution Date of our common stock distributed to IBM stockholders over IBM’s tax basis in our common stock, and we generally would be required to indemnify IBM for the tax on such gain and related expenses. Those amounts could be material. Any such indemnification obligation could adversely affect our business, financial condition and results of operations.</w:t>
      </w:r>
    </w:p>
    <w:p>
      <w:pPr>
        <w:spacing w:after="0" w:line="184" w:lineRule="exact"/>
        <w:rPr>
          <w:sz w:val="20"/>
          <w:szCs w:val="20"/>
          <w:color w:val="auto"/>
        </w:rPr>
      </w:pPr>
    </w:p>
    <w:p>
      <w:pPr>
        <w:ind w:left="60" w:right="2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difficulties as we continue to integrate and update our new enterprise resource planning (“ERP”) system, and we have identified deficiencies in our internal control related to the information technology general controls in our new ERP environment, which, if not remediated appropriately or timely, could result in adverse effects to the Company.</w:t>
      </w:r>
    </w:p>
    <w:p>
      <w:pPr>
        <w:spacing w:after="0" w:line="180"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During the fiscal year ended March 31, 2024, we implemented a new enterprise resource planning system (“ERP”), which replaced the financial and administrative systems that were provided by IBM following the Spin-off. As discussed in Part II, Item 9A, in the course of preparing this Annual Report on Form 10-K, management identified certain control deficiencies associated with the Company’s current year implementation of our ERP in the area of our information technology general control (“ITGCs”) related to (i) user access and segregation of duty controls that restrict</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9" w:lineRule="auto"/>
        <w:rPr>
          <w:sz w:val="20"/>
          <w:szCs w:val="20"/>
          <w:color w:val="auto"/>
        </w:rPr>
      </w:pPr>
      <w:r>
        <w:rPr>
          <w:rFonts w:ascii="Times New Roman" w:cs="Times New Roman" w:eastAsia="Times New Roman" w:hAnsi="Times New Roman"/>
          <w:sz w:val="17"/>
          <w:szCs w:val="17"/>
          <w:color w:val="auto"/>
        </w:rPr>
        <w:t>user and privileged access to appropriate personnel; (ii) program development and change management controls; and (iii) certain computer operations controls that, when aggregated, are considered to be a material weakness, as that term is defined in the relevant standards. While the Company has found no evidence that the deficiencies gave rise to systems changes that were improper or impacted our financial statements for the fiscal year ended March 31, 2024, management is implementing remedial measures with additional controls and procedures to address the deficiencies. To the extent management is unable to remediate the identified issue timely, our ability to record, process and report financial information accurately, and to prepare financial statements within required time periods, could be adversely affected, which could subject us to litigation or investigations requiring management resources and other expenses, and could negatively affect investor confidence. As we continue to integrate and update our ERP, we may experience delays, increased costs, the diversion of management’s attention from day-to-day business operations and other difficulties. Extended delays could also introduce operational and business risk, including cybersecurity risks, business operations risks and other complications.</w:t>
      </w:r>
    </w:p>
    <w:p>
      <w:pPr>
        <w:spacing w:after="0" w:line="164"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continue to face a number of risks related to our separation from IBM, which could adversely affect our business, results of operations and financial condition.</w:t>
      </w:r>
    </w:p>
    <w:p>
      <w:pPr>
        <w:spacing w:after="0" w:line="15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Separation, we and IBM entered into various transaction agreements related to the Spin-off. These agreements also govern our relationship with IBM following the Spin-off. We rely on IBM to satisfy its performance obligations under these agreements. Since the Spin-off, certain contractual disputes have arisen between us and IBM. We and IBM have commenced arbitration proceedings related to certain of these matters. If the outcome of those arbitrations is unfavorable to Kyndryl, if a mutually acceptable commercial resolution cannot be found, if the terms of any resolution of these matters are unfavorable to us, or if IBM is unable or unwilling to satisfy its respective obligations under these agreements, including indemnification obligations, our business, results of operations and financial condition could be adversely affected.</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Relating to Our Common Stock and the Securities Market</w:t>
      </w:r>
    </w:p>
    <w:p>
      <w:pPr>
        <w:spacing w:after="0" w:line="225"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in our Amended and Restated Certificate of Incorporation and Amended and Restated By-Laws and Delaware law may discourage takeovers and limit the power of our stockholders.</w:t>
      </w:r>
    </w:p>
    <w:p>
      <w:pPr>
        <w:spacing w:after="0" w:line="159" w:lineRule="exact"/>
        <w:rPr>
          <w:sz w:val="20"/>
          <w:szCs w:val="20"/>
          <w:color w:val="auto"/>
        </w:rPr>
      </w:pPr>
    </w:p>
    <w:p>
      <w:pPr>
        <w:ind w:left="60" w:right="219" w:firstLine="648"/>
        <w:spacing w:after="0" w:line="276" w:lineRule="auto"/>
        <w:rPr>
          <w:sz w:val="20"/>
          <w:szCs w:val="20"/>
          <w:color w:val="auto"/>
        </w:rPr>
      </w:pPr>
      <w:r>
        <w:rPr>
          <w:rFonts w:ascii="Times New Roman" w:cs="Times New Roman" w:eastAsia="Times New Roman" w:hAnsi="Times New Roman"/>
          <w:sz w:val="17"/>
          <w:szCs w:val="17"/>
          <w:color w:val="auto"/>
        </w:rPr>
        <w:t>Several provisions of our Amended and Restated Certificate of Incorporation, Amended and Restated By-Laws and Delaware law may discourage, delay or prevent a merger or acquisition. These include, among others, provisions that</w:t>
      </w:r>
    </w:p>
    <w:p>
      <w:pPr>
        <w:spacing w:after="0" w:line="1" w:lineRule="exact"/>
        <w:rPr>
          <w:sz w:val="20"/>
          <w:szCs w:val="20"/>
          <w:color w:val="auto"/>
        </w:rPr>
      </w:pPr>
    </w:p>
    <w:p>
      <w:pPr>
        <w:ind w:left="60" w:right="99" w:hanging="10"/>
        <w:spacing w:after="0" w:line="252" w:lineRule="auto"/>
        <w:tabs>
          <w:tab w:leader="none" w:pos="2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staggered terms for directors on our Board for a period following the Spin-off; (ii) establish advance notice requirements for stockholder nominations and proposals; (iii) provide for the removal of directors only for cause during the time the Board is classified; (iv) limit the ability of stockholders to call special meetings or act by written consent; and (v) provide the Board the right to issue shares of preferred stock without stockholder approval. In addition, we are subject to Section 203 of the Delaware General Corporation Law (“DGCL”), which could have the effect of delaying or preventing a change of control that some stockholders may favor.</w:t>
      </w:r>
    </w:p>
    <w:p>
      <w:pPr>
        <w:spacing w:after="0" w:line="190"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These and other provisions of our Amended and Restated Certificate of Incorporation, Amended and Restated By-Laws and Delaware law may discourage, delay or prevent certain types of transactions involving an actual or a threatened acquisition or change in control, including unsolicited takeover attempts, even though the transaction may offer our stockholders the opportunity to sell their shares of our common stock at a price above the prevailing market price. Our Board believes these provisions will protect our stockholders from coercive or otherwise unfair takeover tactics by requiring potential acquirers to negotiate with the Board and by providing the Board with more time to assess any acquisition proposal. These provisions will apply even if the offer may be considered beneficial by some stockholders and could delay or prevent an acquisition that the Board determines is not in our and our stockholders’ best interests.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certain courts in the State of Delaware or the federal district courts of the United States will be the sole and exclusive forum for substantially all disputes between us and our stockholders, which could limit our stockholders’ ability to obtain a favorable judicial forum for disputes with us or our directors, officers or employees.</w:t>
      </w:r>
    </w:p>
    <w:p>
      <w:pPr>
        <w:spacing w:after="0" w:line="180"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in all cases to the fullest extent permitted by law, unless we consent in writing to the selection of an alternative forum, the Court of Chancery located within the State of Delaware will be the sole and exclusive forum for any derivative action or proceeding brought on behalf of us, any action asserting a claim of breach of a fiduciary duty owed by any director, officer or other employee or stockholder to us or our stockholders, any action asserting a claim arising pursuant to the DGCL or as to which the DGCL confers jurisdiction on the Court of Chancery located in the State of Delaware or any action asserting a claim governed by the internal affairs doctrine or any other action asserting an “internal corporate claim” as that term is defined in Section 115 of the DGCL, or any action asserting a claim arising under the DGCL, our Amended and Restated Certificate of Incorporation or our Amended and Restated By-Laws. However, if the Court of Chancery within the State of Delaware does not have jurisdiction, the action may be brought in the United States District Court for the District of Delaware. The exclusive forum provision provides that it will not apply to claims arising under the Securities Act, the Exchange Act or other federal securities laws for which there is exclusive federal or concurrent federal and state jurisdiction. Unless we consent in writing to the selection of an alternative forum, the federal district courts of the United States of America shall be the exclusive forum for the resolution of any complaint asserting a cause of action arising under the Securities Act.</w:t>
      </w:r>
    </w:p>
    <w:p>
      <w:pPr>
        <w:spacing w:after="0" w:line="197"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capital stock will be deemed to have notice of and, to the fullest extent permitted by law, to have consented to the provisions of our Amended and Restated Certificate of Incorporation described above. The choice of forum provision may limit a stockholder’s ability to bring a claim in a judicial forum that it finds favorable for disputes with us or our directors, officers, other employees or stockholders, which may discourage such lawsuits against us and our directors, officers, other employees or stockholders. However, the enforceability of similar forum provisions in other companies’ certificates of incorporation has been challenged in legal proceedings. If a court were to find the exclusive choice of forum provision contained in our Amended and Restated Certificate of Incorporation to be inapplicable or unenforceable in an action, we may incur additional costs associated with resolving such action in other jurisdictions.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29" w:lineRule="exact"/>
        <w:rPr>
          <w:sz w:val="20"/>
          <w:szCs w:val="20"/>
          <w:color w:val="auto"/>
        </w:rPr>
      </w:pPr>
    </w:p>
    <w:p>
      <w:pPr>
        <w:ind w:left="40" w:right="79" w:firstLine="666"/>
        <w:spacing w:after="0" w:line="255" w:lineRule="auto"/>
        <w:rPr>
          <w:sz w:val="20"/>
          <w:szCs w:val="20"/>
          <w:color w:val="auto"/>
        </w:rPr>
      </w:pPr>
      <w:r>
        <w:rPr>
          <w:rFonts w:ascii="Times New Roman" w:cs="Times New Roman" w:eastAsia="Times New Roman" w:hAnsi="Times New Roman"/>
          <w:sz w:val="18"/>
          <w:szCs w:val="18"/>
          <w:color w:val="auto"/>
        </w:rPr>
        <w:t>We recognize the critical importance of cybersecurity in upholding the safety and security of our systems, services and data and maintaining the trust of our customers. Cybersecurity risk management is an important part of, and is integrated into, the Company’s overall enterprise risk management program. We maintain a cybersecurity risk management program that is designed to identify, assess, manage and mitigate cybersecurity risks and provides a framework for responding to cybersecurity threats and incidents. We continually assess and enhance our cybersecurity risk management program and our cybersecurity posture to protect the confidentiality, integrity and availability of the Company’s infrastructure, resources and information and the information that our customers entrust to us.</w:t>
      </w:r>
    </w:p>
    <w:p>
      <w:pPr>
        <w:spacing w:after="0" w:line="189" w:lineRule="exact"/>
        <w:rPr>
          <w:sz w:val="20"/>
          <w:szCs w:val="20"/>
          <w:color w:val="auto"/>
        </w:rPr>
      </w:pPr>
    </w:p>
    <w:p>
      <w:pPr>
        <w:ind w:left="40" w:right="159" w:firstLine="666"/>
        <w:spacing w:after="0" w:line="266" w:lineRule="auto"/>
        <w:rPr>
          <w:sz w:val="20"/>
          <w:szCs w:val="20"/>
          <w:color w:val="auto"/>
        </w:rPr>
      </w:pPr>
      <w:r>
        <w:rPr>
          <w:rFonts w:ascii="Times New Roman" w:cs="Times New Roman" w:eastAsia="Times New Roman" w:hAnsi="Times New Roman"/>
          <w:sz w:val="18"/>
          <w:szCs w:val="18"/>
          <w:color w:val="auto"/>
        </w:rPr>
        <w:t>We designed a multi-faceted risk-management approach based on the National Institute of Standards and Technology (NIST) Cybersecurity Framework and informed by other industry standards and industry-recognized practices to identify and address cybersecurity risks. Our key cybersecurity processes include the following:</w:t>
      </w:r>
    </w:p>
    <w:p>
      <w:pPr>
        <w:spacing w:after="0" w:line="172" w:lineRule="exact"/>
        <w:rPr>
          <w:sz w:val="20"/>
          <w:szCs w:val="20"/>
          <w:color w:val="auto"/>
        </w:rPr>
      </w:pPr>
    </w:p>
    <w:p>
      <w:pPr>
        <w:ind w:left="720" w:right="139" w:hanging="319"/>
        <w:spacing w:after="0" w:line="26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Risk-based, layered controls </w:t>
      </w:r>
      <w:r>
        <w:rPr>
          <w:rFonts w:ascii="Times New Roman" w:cs="Times New Roman" w:eastAsia="Times New Roman" w:hAnsi="Times New Roman"/>
          <w:sz w:val="18"/>
          <w:szCs w:val="18"/>
          <w:color w:val="auto"/>
        </w:rPr>
        <w:t>– We regularly assess and adjust our technical controls and methods to identify,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respond to and mitigate emerging cybersecurity risks and use a layered approach with overlapping controls to defend against cybersecurity attacks and threats to our networks, end-user devices, servers, applications, data and cloud solutions and the data that our customers entrust to us.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20" w:right="219" w:hanging="319"/>
        <w:spacing w:after="0" w:line="26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Cybersecurity incident response plan and testing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 a global incident response process and a dedicated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team responsible for monitoring, detecting and responding to cybersecurity threats and attacks, whether external or internal, coordinating across multiple functions, periodically testing our protocols and regularly communicating and providing reports to our CISO.</w:t>
      </w:r>
    </w:p>
    <w:p>
      <w:pPr>
        <w:spacing w:after="0" w:line="162" w:lineRule="exact"/>
        <w:rPr>
          <w:rFonts w:ascii="Times New Roman" w:cs="Times New Roman" w:eastAsia="Times New Roman" w:hAnsi="Times New Roman"/>
          <w:sz w:val="18"/>
          <w:szCs w:val="18"/>
          <w:color w:val="auto"/>
        </w:rPr>
      </w:pPr>
    </w:p>
    <w:p>
      <w:pPr>
        <w:ind w:left="720" w:right="259" w:hanging="319"/>
        <w:spacing w:after="0" w:line="268"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Information sharing and collaboration </w:t>
      </w:r>
      <w:r>
        <w:rPr>
          <w:rFonts w:ascii="Times New Roman" w:cs="Times New Roman" w:eastAsia="Times New Roman" w:hAnsi="Times New Roman"/>
          <w:sz w:val="18"/>
          <w:szCs w:val="18"/>
          <w:color w:val="auto"/>
        </w:rPr>
        <w:t>– We utilize threat intelligence and security information collected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various sources, including but not limited to partners, suppliers, governments and information sharing and analysis centers, to identify, protect against, detect and respond to potential cybersecurity threats and events.</w:t>
      </w:r>
    </w:p>
    <w:p>
      <w:pPr>
        <w:spacing w:after="0" w:line="157" w:lineRule="exact"/>
        <w:rPr>
          <w:rFonts w:ascii="Times New Roman" w:cs="Times New Roman" w:eastAsia="Times New Roman" w:hAnsi="Times New Roman"/>
          <w:sz w:val="18"/>
          <w:szCs w:val="18"/>
          <w:color w:val="auto"/>
        </w:rPr>
      </w:pPr>
    </w:p>
    <w:p>
      <w:pPr>
        <w:ind w:left="720" w:right="279" w:hanging="319"/>
        <w:spacing w:after="0" w:line="26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Training and awareness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use a combination of online training, including mandatory annual cybersecurity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privacy courses, educational tools, videos and other ongoing awareness initiatives, including phishing simulation exercises, throughout the year to foster a culture of security awareness and responsibility among our workforce.</w:t>
      </w:r>
    </w:p>
    <w:p>
      <w:pPr>
        <w:spacing w:after="0" w:line="149" w:lineRule="exact"/>
        <w:rPr>
          <w:rFonts w:ascii="Times New Roman" w:cs="Times New Roman" w:eastAsia="Times New Roman" w:hAnsi="Times New Roman"/>
          <w:sz w:val="18"/>
          <w:szCs w:val="18"/>
          <w:color w:val="auto"/>
        </w:rPr>
      </w:pPr>
    </w:p>
    <w:p>
      <w:pPr>
        <w:ind w:left="720" w:right="79" w:hanging="319"/>
        <w:spacing w:after="0" w:line="259"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Third-party supplier risk assessments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Recognizing that our suppliers can be subject to cybersecurity incidents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may impact us and our customers, our procurement process includes security and risk assessments to identify and evaluate risk associated with certain key suppliers, including reviewing relevant cybersecurity certifications and third-party audit results, assessing technical and organizational controls and evaluating their risk profile.</w:t>
      </w:r>
    </w:p>
    <w:p>
      <w:pPr>
        <w:spacing w:after="0" w:line="183" w:lineRule="exact"/>
        <w:rPr>
          <w:sz w:val="20"/>
          <w:szCs w:val="20"/>
          <w:color w:val="auto"/>
        </w:rPr>
      </w:pPr>
    </w:p>
    <w:p>
      <w:pPr>
        <w:ind w:left="40" w:right="259" w:firstLine="666"/>
        <w:spacing w:after="0" w:line="256" w:lineRule="auto"/>
        <w:rPr>
          <w:sz w:val="20"/>
          <w:szCs w:val="20"/>
          <w:color w:val="auto"/>
        </w:rPr>
      </w:pPr>
      <w:r>
        <w:rPr>
          <w:rFonts w:ascii="Times New Roman" w:cs="Times New Roman" w:eastAsia="Times New Roman" w:hAnsi="Times New Roman"/>
          <w:sz w:val="18"/>
          <w:szCs w:val="18"/>
          <w:color w:val="auto"/>
        </w:rPr>
        <w:t>We periodically engage third-party security consultants to conduct evaluations of our cybersecurity controls and procedures, including through penetration testing, third-party audits or consulting on best practices to address new challenges. These evaluations include testing the design and operational effectiveness of our cybersecurity controls and procedures. Our internal audit function conducts additional reviews and assessments of our cybersecurity controls and procedures. Certain results of such assessments and reviews are reported to the Audit Committee and the Board of Directors as appropriate. We use the findings from these efforts to improve our practices, procedures, and technologies.</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Cybersecurity Risk Oversight and Governance</w:t>
      </w:r>
    </w:p>
    <w:p>
      <w:pPr>
        <w:spacing w:after="0" w:line="229" w:lineRule="exact"/>
        <w:rPr>
          <w:sz w:val="20"/>
          <w:szCs w:val="20"/>
          <w:color w:val="auto"/>
        </w:rPr>
      </w:pPr>
    </w:p>
    <w:p>
      <w:pPr>
        <w:ind w:left="40" w:right="99" w:firstLine="666"/>
        <w:spacing w:after="0" w:line="254" w:lineRule="auto"/>
        <w:rPr>
          <w:sz w:val="20"/>
          <w:szCs w:val="20"/>
          <w:color w:val="auto"/>
        </w:rPr>
      </w:pPr>
      <w:r>
        <w:rPr>
          <w:rFonts w:ascii="Times New Roman" w:cs="Times New Roman" w:eastAsia="Times New Roman" w:hAnsi="Times New Roman"/>
          <w:sz w:val="18"/>
          <w:szCs w:val="18"/>
          <w:color w:val="auto"/>
        </w:rPr>
        <w:t>Our Board of Directors is responsible for the overall oversight of our enterprise risk management. The Audit Committee semi-annually reviews the Company’s enterprise risk management framework, including enterprise risk management processes, and assists the Board of Directors in its oversight over certain key areas of risks, including overseeing cybersecurity, data governance and privacy risk and regularly reporting on such matters to the Board. The Audit Committee and full Board of Directors receive periodic updates from our CISO about Kyndryl’s cybersecurity policies and practices, cybersecurity developments, trends, risks, notable incidents, mitigation strategies, maturity initiatives and other developments throughout the year, as well as periodic updates from our CIO, Security &amp; Resiliency global practice leader and other senior leaders on cybersecurity-related matters.</w:t>
      </w:r>
    </w:p>
    <w:p>
      <w:pPr>
        <w:spacing w:after="0" w:line="178" w:lineRule="exact"/>
        <w:rPr>
          <w:sz w:val="20"/>
          <w:szCs w:val="20"/>
          <w:color w:val="auto"/>
        </w:rPr>
      </w:pPr>
    </w:p>
    <w:p>
      <w:pPr>
        <w:ind w:left="60" w:right="59" w:firstLine="648"/>
        <w:spacing w:after="0" w:line="269" w:lineRule="auto"/>
        <w:rPr>
          <w:sz w:val="20"/>
          <w:szCs w:val="20"/>
          <w:color w:val="auto"/>
        </w:rPr>
      </w:pPr>
      <w:r>
        <w:rPr>
          <w:rFonts w:ascii="Times New Roman" w:cs="Times New Roman" w:eastAsia="Times New Roman" w:hAnsi="Times New Roman"/>
          <w:sz w:val="18"/>
          <w:szCs w:val="18"/>
          <w:color w:val="auto"/>
        </w:rPr>
        <w:t>Our information security program is led by our CISO, who reports to the CIO. Our CISO organization collaborates closely with key stakeholders across the businesses, including our Security &amp; Resiliency and other global practice organizations, in developing and implementing our cybersecurity strategy, policy, operations, threat detection and incident response and remediation. Our information security teams that support these efforts are comprised of cybersecurity professionals with many years of experience in cybersecurity across multiple sectors, including heavily regulated industries such as financial services and defense, and many of them hold relevant industry certifications.</w:t>
      </w:r>
    </w:p>
    <w:p>
      <w:pPr>
        <w:spacing w:after="0" w:line="201" w:lineRule="exact"/>
        <w:rPr>
          <w:sz w:val="20"/>
          <w:szCs w:val="20"/>
          <w:color w:val="auto"/>
        </w:rPr>
      </w:pPr>
    </w:p>
    <w:p>
      <w:pPr>
        <w:ind w:left="40" w:right="79" w:firstLine="666"/>
        <w:spacing w:after="0" w:line="261" w:lineRule="auto"/>
        <w:rPr>
          <w:sz w:val="20"/>
          <w:szCs w:val="20"/>
          <w:color w:val="auto"/>
        </w:rPr>
      </w:pPr>
      <w:r>
        <w:rPr>
          <w:rFonts w:ascii="Times New Roman" w:cs="Times New Roman" w:eastAsia="Times New Roman" w:hAnsi="Times New Roman"/>
          <w:sz w:val="18"/>
          <w:szCs w:val="18"/>
          <w:color w:val="auto"/>
        </w:rPr>
        <w:t>Under our global incident response process, cybersecurity incidents are assessed and classified by severity, and significant incidents are escalated as appropriate to senior executive leadership. In addition, we have a risk-based escalation process outside of our regular reporting process to promptly notify the Board of Directors in the event of any material cybersecurity incident impacting the Company.</w:t>
      </w:r>
    </w:p>
    <w:p>
      <w:pPr>
        <w:spacing w:after="0" w:line="166"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Based on the information we have as of the date of this Form 10-K, we do not believe that any cybersecurity incident experienced by the Company has materially affected or is reasonably likely to materially affect Kyndryl, including our business strategy, results of operations or financial condition. For additional information about cybersecurity risks, see Item 1A. “Risk Factors.”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02" w:lineRule="exact"/>
        <w:rPr>
          <w:sz w:val="20"/>
          <w:szCs w:val="20"/>
          <w:color w:val="auto"/>
        </w:rPr>
      </w:pPr>
    </w:p>
    <w:p>
      <w:pPr>
        <w:ind w:left="60" w:right="99" w:firstLine="648"/>
        <w:spacing w:after="0" w:line="281" w:lineRule="auto"/>
        <w:rPr>
          <w:sz w:val="20"/>
          <w:szCs w:val="20"/>
          <w:color w:val="auto"/>
        </w:rPr>
      </w:pPr>
      <w:r>
        <w:rPr>
          <w:rFonts w:ascii="Times New Roman" w:cs="Times New Roman" w:eastAsia="Times New Roman" w:hAnsi="Times New Roman"/>
          <w:sz w:val="17"/>
          <w:szCs w:val="17"/>
          <w:color w:val="auto"/>
        </w:rPr>
        <w:t>As of March 31, 2024, we owned or leased approximately 13.3 million square feet of space worldwide, which excludes certain under-utilized spaces that we inherited from our former Parent at Separation and exited in fiscal years 2023 and 2024. Refer to Note 9 – Leases for more information. The Company will continue to evaluate space requirements and identify opportunities to improve operating efficiencies. Below is a summary of the Company’s active properties.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060" w:type="dxa"/>
            <w:vAlign w:val="bottom"/>
          </w:tcPr>
          <w:p>
            <w:pPr>
              <w:spacing w:after="0"/>
              <w:rPr>
                <w:sz w:val="15"/>
                <w:szCs w:val="15"/>
                <w:color w:val="auto"/>
              </w:rPr>
            </w:pPr>
          </w:p>
        </w:tc>
        <w:tc>
          <w:tcPr>
            <w:tcW w:w="15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158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Japan</w:t>
            </w:r>
          </w:p>
        </w:tc>
        <w:tc>
          <w:tcPr>
            <w:tcW w:w="158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Principal Markets</w:t>
            </w:r>
          </w:p>
        </w:tc>
        <w:tc>
          <w:tcPr>
            <w:tcW w:w="158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Strategic Markets</w:t>
            </w:r>
          </w:p>
        </w:tc>
        <w:tc>
          <w:tcPr>
            <w:tcW w:w="1540" w:type="dxa"/>
            <w:vAlign w:val="bottom"/>
            <w:gridSpan w:val="3"/>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4"/>
        </w:trPr>
        <w:tc>
          <w:tcPr>
            <w:tcW w:w="1060" w:type="dxa"/>
            <w:vAlign w:val="bottom"/>
          </w:tcPr>
          <w:p>
            <w:pPr>
              <w:spacing w:after="0"/>
              <w:rPr>
                <w:sz w:val="15"/>
                <w:szCs w:val="15"/>
                <w:color w:val="auto"/>
              </w:rPr>
            </w:pPr>
          </w:p>
        </w:tc>
        <w:tc>
          <w:tcPr>
            <w:tcW w:w="15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Square Feet</w:t>
            </w:r>
          </w:p>
        </w:tc>
        <w:tc>
          <w:tcPr>
            <w:tcW w:w="60" w:type="dxa"/>
            <w:vAlign w:val="bottom"/>
          </w:tcPr>
          <w:p>
            <w:pPr>
              <w:spacing w:after="0"/>
              <w:rPr>
                <w:sz w:val="15"/>
                <w:szCs w:val="15"/>
                <w:color w:val="auto"/>
              </w:rPr>
            </w:pPr>
          </w:p>
        </w:tc>
        <w:tc>
          <w:tcPr>
            <w:tcW w:w="760" w:type="dxa"/>
            <w:vAlign w:val="bottom"/>
            <w:tcBorders>
              <w:top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Square Feet</w:t>
            </w:r>
          </w:p>
        </w:tc>
        <w:tc>
          <w:tcPr>
            <w:tcW w:w="60" w:type="dxa"/>
            <w:vAlign w:val="bottom"/>
          </w:tcPr>
          <w:p>
            <w:pPr>
              <w:spacing w:after="0"/>
              <w:rPr>
                <w:sz w:val="15"/>
                <w:szCs w:val="15"/>
                <w:color w:val="auto"/>
              </w:rPr>
            </w:pPr>
          </w:p>
        </w:tc>
        <w:tc>
          <w:tcPr>
            <w:tcW w:w="760" w:type="dxa"/>
            <w:vAlign w:val="bottom"/>
            <w:tcBorders>
              <w:top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Square Feet</w:t>
            </w:r>
          </w:p>
        </w:tc>
        <w:tc>
          <w:tcPr>
            <w:tcW w:w="60" w:type="dxa"/>
            <w:vAlign w:val="bottom"/>
          </w:tcPr>
          <w:p>
            <w:pPr>
              <w:spacing w:after="0"/>
              <w:rPr>
                <w:sz w:val="15"/>
                <w:szCs w:val="15"/>
                <w:color w:val="auto"/>
              </w:rPr>
            </w:pPr>
          </w:p>
        </w:tc>
        <w:tc>
          <w:tcPr>
            <w:tcW w:w="760" w:type="dxa"/>
            <w:vAlign w:val="bottom"/>
            <w:tcBorders>
              <w:top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Square Feet</w:t>
            </w:r>
          </w:p>
        </w:tc>
        <w:tc>
          <w:tcPr>
            <w:tcW w:w="60" w:type="dxa"/>
            <w:vAlign w:val="bottom"/>
          </w:tcPr>
          <w:p>
            <w:pPr>
              <w:spacing w:after="0"/>
              <w:rPr>
                <w:sz w:val="15"/>
                <w:szCs w:val="15"/>
                <w:color w:val="auto"/>
              </w:rPr>
            </w:pPr>
          </w:p>
        </w:tc>
        <w:tc>
          <w:tcPr>
            <w:tcW w:w="760" w:type="dxa"/>
            <w:vAlign w:val="bottom"/>
            <w:tcBorders>
              <w:top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Square Feet</w:t>
            </w:r>
          </w:p>
        </w:tc>
      </w:tr>
      <w:tr>
        <w:trPr>
          <w:trHeight w:val="191"/>
        </w:trPr>
        <w:tc>
          <w:tcPr>
            <w:tcW w:w="1060" w:type="dxa"/>
            <w:vAlign w:val="bottom"/>
          </w:tcPr>
          <w:p>
            <w:pPr>
              <w:spacing w:after="0"/>
              <w:rPr>
                <w:sz w:val="16"/>
                <w:szCs w:val="16"/>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Locations</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Locations</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Locations</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Locations</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Locations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64"/>
        </w:trPr>
        <w:tc>
          <w:tcPr>
            <w:tcW w:w="1060" w:type="dxa"/>
            <w:vAlign w:val="bottom"/>
            <w:tcBorders>
              <w:bottom w:val="single" w:sz="8" w:color="CCEEFF"/>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r>
      <w:tr>
        <w:trPr>
          <w:trHeight w:val="209"/>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Owned</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3"/>
        </w:trPr>
        <w:tc>
          <w:tcPr>
            <w:tcW w:w="1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6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6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6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81"/>
        </w:trPr>
        <w:tc>
          <w:tcPr>
            <w:tcW w:w="10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r>
    </w:tbl>
    <w:p>
      <w:pPr>
        <w:spacing w:after="0" w:line="45" w:lineRule="exact"/>
        <w:rPr>
          <w:sz w:val="20"/>
          <w:szCs w:val="20"/>
          <w:color w:val="auto"/>
        </w:rPr>
      </w:pPr>
    </w:p>
    <w:p>
      <w:pPr>
        <w:ind w:left="380" w:right="219" w:hanging="330"/>
        <w:spacing w:after="0" w:line="261" w:lineRule="auto"/>
        <w:tabs>
          <w:tab w:leader="none" w:pos="3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United States includes our principal executive offices not allocated to the Unites States segment, including our global headquarters located in New York, New York.</w:t>
      </w:r>
    </w:p>
    <w:p>
      <w:pPr>
        <w:spacing w:after="0" w:line="1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02"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Refer to Note 13 – Commitments and Contingencies to the consolidated financial statements included elsewhere in this Form 10-K.</w:t>
      </w:r>
    </w:p>
    <w:p>
      <w:pPr>
        <w:spacing w:after="0" w:line="158" w:lineRule="exact"/>
        <w:rPr>
          <w:sz w:val="20"/>
          <w:szCs w:val="20"/>
          <w:color w:val="auto"/>
        </w:rPr>
      </w:pPr>
    </w:p>
    <w:p>
      <w:pPr>
        <w:jc w:val="center"/>
        <w:ind w:right="6459"/>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the Registrant’s Common Equity, Related Stockholder Matters and Issuer Purchases of Equity Securities.</w:t>
      </w:r>
    </w:p>
    <w:p>
      <w:pPr>
        <w:spacing w:after="0" w:line="15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common stock is listed on the New York Stock Exchange (“NYSE”) under the symbol KD.</w:t>
      </w:r>
    </w:p>
    <w:p>
      <w:pPr>
        <w:spacing w:after="0" w:line="225"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As of May 23, 2024, there were approximately 255,904 stockholders of record of our common stock. This is not the actual number of beneficial owners of the Company’s common stock as some shares are held in “street name” by brokers and others on behalf of individual owners.</w:t>
      </w:r>
    </w:p>
    <w:p>
      <w:pPr>
        <w:spacing w:after="0" w:line="176"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Since the Separation, we have not paid cash dividends on our common stock. Future dividends, if any, and the timing of declaration of any such dividends, will be at the discretion of our Board of Directors and will depend upon many factors including, but not limited to, our results of operations, financial condition, level of indebtedness, capital requirements, contractual restrictions, restrictions in our debt agreements and in any preferred stock, business prospects and other factors that our Board of Directors deems relevant.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The following graphs compare the cumulative total return of holders of our common stock with the cumulative total return of the S&amp;P 400 Midcap Index and S&amp;P IT Sector Index.</w:t>
      </w:r>
    </w:p>
    <w:p>
      <w:pPr>
        <w:spacing w:after="0" w:line="162" w:lineRule="exact"/>
        <w:rPr>
          <w:sz w:val="20"/>
          <w:szCs w:val="20"/>
          <w:color w:val="auto"/>
        </w:rPr>
      </w:pPr>
    </w:p>
    <w:p>
      <w:pPr>
        <w:ind w:left="60" w:right="579" w:firstLine="648"/>
        <w:spacing w:after="0" w:line="282" w:lineRule="auto"/>
        <w:rPr>
          <w:sz w:val="20"/>
          <w:szCs w:val="20"/>
          <w:color w:val="auto"/>
        </w:rPr>
      </w:pPr>
      <w:r>
        <w:rPr>
          <w:rFonts w:ascii="Times New Roman" w:cs="Times New Roman" w:eastAsia="Times New Roman" w:hAnsi="Times New Roman"/>
          <w:sz w:val="18"/>
          <w:szCs w:val="18"/>
          <w:color w:val="auto"/>
        </w:rPr>
        <w:t>The graph below tracks the performance of a $100 investment in our common stock and in each index from November 4, 2021, the date our stock commenced regular-way trading on the NYSE, to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114300</wp:posOffset>
            </wp:positionV>
            <wp:extent cx="5349240" cy="3446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49240" cy="3446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The graph below tracks the performance of a $100 investment in our common stock and in each index from April 1, 2023, the beginning of our fiscal year, to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114300</wp:posOffset>
            </wp:positionV>
            <wp:extent cx="5503545" cy="35490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03545" cy="3549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In January 2022, the Company changed its fiscal year-end to March 31 from December 31. Included below are selected results and year-over-year comparisons for the years ended March 31, 2024 and 2023, and the twelve months ended March 31, 2022 (unaudited). The Company is presenting results of operations for the year ended March 31, 2023 and unaudited results of operations for the twelve months ended March 31, 2022 because management believes this comparison will be helpful to a reader’s understanding of our fiscal year 2024 results. Results for the twelve months ended March 31, 2022 were derived from our quarterly consolidated financial statements as previously reported. The following discussion and analysis of our financial condition and results of operations should be read together with our audited consolidated financial statements and related notes included elsewhere in this report. For further information on (i) the comparisons between the year ended March 31, 2023 and the twelve months ended March 31, 2022 not covered in the “Segment Results” below, (ii) the comparison between the three months ended March 31, 2023 and the three months ended March 31, 2022 (the 2022 transition period) and (iii) the year ended December 31, 2021, refer to “Management’s Discussion and Analysis of Financial Condition and Results of Operations” in the Company’s Annual Report on Form 10-K for the fiscal year ended March 31, 2023 (the “2023 Form 10-K”).</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Twelve</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80" w:type="dxa"/>
            <w:vAlign w:val="bottom"/>
            <w:gridSpan w:val="3"/>
            <w:vMerge w:val="continue"/>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5"/>
        </w:trPr>
        <w:tc>
          <w:tcPr>
            <w:tcW w:w="3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vMerge w:val="restart"/>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142"/>
        </w:trPr>
        <w:tc>
          <w:tcPr>
            <w:tcW w:w="390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2023</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16,052</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17,026</w:t>
            </w:r>
          </w:p>
        </w:tc>
        <w:tc>
          <w:tcPr>
            <w:tcW w:w="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18,317</w:t>
            </w:r>
          </w:p>
        </w:tc>
        <w:tc>
          <w:tcPr>
            <w:tcW w:w="0" w:type="dxa"/>
            <w:vAlign w:val="bottom"/>
          </w:tcPr>
          <w:p>
            <w:pPr>
              <w:spacing w:after="0"/>
              <w:rPr>
                <w:sz w:val="1"/>
                <w:szCs w:val="1"/>
                <w:color w:val="auto"/>
              </w:rPr>
            </w:pPr>
          </w:p>
        </w:tc>
      </w:tr>
      <w:tr>
        <w:trPr>
          <w:trHeight w:val="216"/>
        </w:trPr>
        <w:tc>
          <w:tcPr>
            <w:tcW w:w="3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Revenue growth (GAAP)</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3900" w:type="dxa"/>
            <w:vAlign w:val="bottom"/>
            <w:gridSpan w:val="3"/>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Revenue growth in constant currency</w:t>
            </w:r>
            <w:r>
              <w:rPr>
                <w:rFonts w:ascii="Times New Roman" w:cs="Times New Roman" w:eastAsia="Times New Roman" w:hAnsi="Times New Roman"/>
                <w:sz w:val="25"/>
                <w:szCs w:val="25"/>
                <w:color w:val="auto"/>
                <w:vertAlign w:val="superscript"/>
              </w:rPr>
              <w:t>(1)</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3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(340)</w:t>
            </w:r>
          </w:p>
        </w:tc>
        <w:tc>
          <w:tcPr>
            <w:tcW w:w="160" w:type="dxa"/>
            <w:vAlign w:val="bottom"/>
          </w:tcPr>
          <w:p>
            <w:pPr>
              <w:spacing w:after="0"/>
              <w:rPr>
                <w:sz w:val="18"/>
                <w:szCs w:val="18"/>
                <w:color w:val="auto"/>
              </w:rPr>
            </w:pPr>
          </w:p>
        </w:tc>
        <w:tc>
          <w:tcPr>
            <w:tcW w:w="64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5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(2,039)</w:t>
            </w:r>
          </w:p>
        </w:tc>
        <w:tc>
          <w:tcPr>
            <w:tcW w:w="0" w:type="dxa"/>
            <w:vAlign w:val="bottom"/>
          </w:tcPr>
          <w:p>
            <w:pPr>
              <w:spacing w:after="0"/>
              <w:rPr>
                <w:sz w:val="1"/>
                <w:szCs w:val="1"/>
                <w:color w:val="auto"/>
              </w:rPr>
            </w:pPr>
          </w:p>
        </w:tc>
      </w:tr>
      <w:tr>
        <w:trPr>
          <w:trHeight w:val="216"/>
        </w:trPr>
        <w:tc>
          <w:tcPr>
            <w:tcW w:w="3900" w:type="dxa"/>
            <w:vAlign w:val="bottom"/>
            <w:gridSpan w:val="3"/>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5"/>
                <w:szCs w:val="25"/>
                <w:color w:val="auto"/>
                <w:vertAlign w:val="superscript"/>
              </w:rPr>
              <w:t>(1)</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2,367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58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2,195</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1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400" w:hanging="350"/>
        <w:spacing w:after="0"/>
        <w:tabs>
          <w:tab w:leader="none" w:pos="4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growth in constant currency and adjusted EBITDA are non-GAAP financial metrics. For definitions of these metrics and a reconciliation</w:t>
      </w:r>
    </w:p>
    <w:p>
      <w:pPr>
        <w:spacing w:after="0" w:line="27" w:lineRule="exact"/>
        <w:rPr>
          <w:sz w:val="20"/>
          <w:szCs w:val="20"/>
          <w:color w:val="auto"/>
        </w:rPr>
      </w:pPr>
    </w:p>
    <w:p>
      <w:pPr>
        <w:ind w:left="380" w:right="219"/>
        <w:spacing w:after="0" w:line="282" w:lineRule="auto"/>
        <w:rPr>
          <w:sz w:val="20"/>
          <w:szCs w:val="20"/>
          <w:color w:val="auto"/>
        </w:rPr>
      </w:pPr>
      <w:r>
        <w:rPr>
          <w:rFonts w:ascii="Times New Roman" w:cs="Times New Roman" w:eastAsia="Times New Roman" w:hAnsi="Times New Roman"/>
          <w:sz w:val="14"/>
          <w:szCs w:val="14"/>
          <w:color w:val="auto"/>
        </w:rPr>
        <w:t>of adjusted EBITDA to the most directly comparable financial measure calculated and presented in accordance with U.S. GAAP, see “ Segment Results.”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3"/>
                <w:szCs w:val="13"/>
                <w:color w:val="auto"/>
              </w:rPr>
            </w:pPr>
          </w:p>
        </w:tc>
        <w:tc>
          <w:tcPr>
            <w:tcW w:w="1340" w:type="dxa"/>
            <w:vAlign w:val="bottom"/>
          </w:tcPr>
          <w:p>
            <w:pPr>
              <w:jc w:val="center"/>
              <w:ind w:left="52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0" w:type="dxa"/>
            <w:vAlign w:val="bottom"/>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4540" w:type="dxa"/>
            <w:vAlign w:val="bottom"/>
            <w:vMerge w:val="continue"/>
          </w:tcPr>
          <w:p>
            <w:pPr>
              <w:spacing w:after="0"/>
              <w:rPr>
                <w:sz w:val="15"/>
                <w:szCs w:val="15"/>
                <w:color w:val="auto"/>
              </w:rPr>
            </w:pPr>
          </w:p>
        </w:tc>
        <w:tc>
          <w:tcPr>
            <w:tcW w:w="1560" w:type="dxa"/>
            <w:vAlign w:val="bottom"/>
            <w:gridSpan w:val="2"/>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0" w:type="dxa"/>
            <w:vAlign w:val="bottom"/>
          </w:tcPr>
          <w:p>
            <w:pPr>
              <w:jc w:val="right"/>
              <w:ind w:right="7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4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118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10,590</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11,464</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9,468</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10,002</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Organization of Information</w:t>
      </w:r>
    </w:p>
    <w:p>
      <w:pPr>
        <w:spacing w:after="0" w:line="229" w:lineRule="exact"/>
        <w:rPr>
          <w:sz w:val="20"/>
          <w:szCs w:val="20"/>
          <w:color w:val="auto"/>
        </w:rPr>
      </w:pPr>
    </w:p>
    <w:p>
      <w:pPr>
        <w:ind w:left="60" w:right="219" w:firstLine="648"/>
        <w:spacing w:after="0" w:line="281" w:lineRule="auto"/>
        <w:rPr>
          <w:sz w:val="20"/>
          <w:szCs w:val="20"/>
          <w:color w:val="auto"/>
        </w:rPr>
      </w:pPr>
      <w:r>
        <w:rPr>
          <w:rFonts w:ascii="Times New Roman" w:cs="Times New Roman" w:eastAsia="Times New Roman" w:hAnsi="Times New Roman"/>
          <w:sz w:val="17"/>
          <w:szCs w:val="17"/>
          <w:color w:val="auto"/>
        </w:rPr>
        <w:t>Kyndryl Holdings, Inc. was formed as a wholly-owned subsidiary of IBM in September 2021 to hold the operations of the infrastructure services unit of IBM’s Global Technology Services segment. On November 3, 2021, Kyndryl separated from IBM through a spin-off that was tax-free for U.S. federal tax purposes. Following the Separation, Kyndryl became an independent, publicly-traded company and the world’s leading IT infrastructure services provider.</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Performance Summary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Macro Dynamics</w:t>
      </w:r>
    </w:p>
    <w:p>
      <w:pPr>
        <w:spacing w:after="0" w:line="229"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In fiscal year 2024, we saw continuing demand for information technology services, despite concerns about economic growth, increased geopolitical tensions, inflationary pressures and government efforts to stem inflation. Although government efforts to stem inflation are expected to suppress economic growth, most economists, including the International Monetary Fund, continue to expect positive global macroeconomic growth in calendar year 2024.</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Fiscal 2024 Financial Performance</w:t>
      </w:r>
    </w:p>
    <w:p>
      <w:pPr>
        <w:spacing w:after="0" w:line="229" w:lineRule="exact"/>
        <w:rPr>
          <w:sz w:val="20"/>
          <w:szCs w:val="20"/>
          <w:color w:val="auto"/>
        </w:rPr>
      </w:pPr>
    </w:p>
    <w:p>
      <w:pPr>
        <w:ind w:left="60" w:right="239" w:firstLine="648"/>
        <w:spacing w:after="0" w:line="255" w:lineRule="auto"/>
        <w:rPr>
          <w:sz w:val="20"/>
          <w:szCs w:val="20"/>
          <w:color w:val="auto"/>
        </w:rPr>
      </w:pPr>
      <w:r>
        <w:rPr>
          <w:rFonts w:ascii="Times New Roman" w:cs="Times New Roman" w:eastAsia="Times New Roman" w:hAnsi="Times New Roman"/>
          <w:sz w:val="18"/>
          <w:szCs w:val="18"/>
          <w:color w:val="auto"/>
        </w:rPr>
        <w:t>For the year ended March 31, 2024, we reported $16.1 billion in revenue, a decline of 6 percent compared to the year ended March 31, 2023. The revenue decline was largely attributable to actions the Company has taken to reduce unprofitable and low-margin components of its customer relationships. United States revenue declined 9 percent, Japan revenue declined 6 percent, Principal Markets revenue declined 2 percent and Strategic Markets revenue decreased 7 percent, compared to the year ended March 31, 2023. Net loss of $340 million improved by $1.0 billion versus the prior-year period driven by progress on our key initiatives to drive operating efficiencies, increased margins and reduced transaction-related costs tied to our Separation.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Fiscal 2023 Financial Performance</w:t>
      </w:r>
    </w:p>
    <w:p>
      <w:pPr>
        <w:spacing w:after="0" w:line="229"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For the year ended March 31, 2023, we reported $17.0 billion in revenue, a decline of 7 percent when compared to the twelve months ended March 31, 2022, primarily driven by a seven-point negative impact from currency. Among our segments, United States revenue was unchanged, Japan revenue declined 13 percent, Principal Markets revenue declined 13 percent, and Strategic Markets revenue decreased 1 percent compared to the prior twelve-month period, with the declines primarily due to currency movements. Net loss of $1.4 billion improved by $665 million versus the prior twelve-month period, primarily driven by lower impairment expense, lower transaction-related costs, and lower cost of services as a percentage of revenue, reflecting our progress on our key initiatives.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02"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U.S. GAAP, which requires us to make estimates and assumptions that impact the amounts reported and disclosed in our consolidated financial statements and the accompanying notes. We prepared these estimates based on the most current and best available information, but actual results could differ materially from these estimates and assumptions.</w:t>
      </w:r>
    </w:p>
    <w:p>
      <w:pPr>
        <w:spacing w:after="0" w:line="13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Prior to November 3, 2021, the accompanying financial statements of Kyndryl were derived from the consolidated financial statements and accounting records of the former Parent as if the Company operated on a standalone basis during this period and reflect allocations of certain IBM corporate, infrastructure and shared services expenses, including centralized research, legal, human resources, payroll, finance and accounting, employee benefits, real estate, insurance, information technology, telecommunications, treasury and other expenses. Where possible, these charges were allocated based on direct usage, with the remainder allocated on a pro rata basis of headcount, gross profit, asset or other allocation methodologies that are considered to be a reasonable reflection of the utilization of services provided or the benefit received by Kyndryl during the periods presented. The accompanying financial statements through the Separation date may not be indicative of the Company’s future performance and do not necessarily reflect what the financial position, results of operations and cash flows would have been had it operated as an independent company during the periods presented. All significant intercompany transactions between IBM and Kyndryl prior to the Separation were included within Net Parent investment on the accompanying Consolidated Financial Statements.</w:t>
      </w:r>
    </w:p>
    <w:p>
      <w:pPr>
        <w:spacing w:after="0" w:line="149"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After the Separation on November 3, 2021, the Company’s financial statements for the periods from November 4, 2021, through March 31, 2024, are consolidated financial statements based on our reported results as a standalone company. All significant transactions and accounts between Kyndryl entities were eliminated.</w:t>
      </w:r>
    </w:p>
    <w:p>
      <w:pPr>
        <w:spacing w:after="0" w:line="149"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Prior to the Separation, our operations were included in the consolidated U.S. federal and certain state and local and foreign income tax returns filed by IBM, where applicable. Income tax liabilities, including amounts for unrecognized tax benefits related to our activities included in IBM’s income tax returns, were deemed to be immediately settled with IBM through the Net Parent investment account in the Consolidated Balance Sheet and reflected in Net transfers from Parent in the financing activities section in the Consolidated Statement of Cash Flows. The Company also filed certain separate foreign income tax returns. For purposes of the historical periods presented on a “carve-out” basis, the income tax provisions have been calculated using the separate return basis, as if we filed separate tax returns.</w:t>
      </w:r>
    </w:p>
    <w:p>
      <w:pPr>
        <w:spacing w:after="0" w:line="148" w:lineRule="exact"/>
        <w:rPr>
          <w:sz w:val="20"/>
          <w:szCs w:val="20"/>
          <w:color w:val="auto"/>
        </w:rPr>
      </w:pPr>
    </w:p>
    <w:p>
      <w:pPr>
        <w:ind w:left="60" w:right="279" w:firstLine="648"/>
        <w:spacing w:after="0" w:line="282" w:lineRule="auto"/>
        <w:rPr>
          <w:sz w:val="20"/>
          <w:szCs w:val="20"/>
          <w:color w:val="auto"/>
        </w:rPr>
      </w:pPr>
      <w:r>
        <w:rPr>
          <w:rFonts w:ascii="Times New Roman" w:cs="Times New Roman" w:eastAsia="Times New Roman" w:hAnsi="Times New Roman"/>
          <w:sz w:val="18"/>
          <w:szCs w:val="18"/>
          <w:color w:val="auto"/>
        </w:rPr>
        <w:t>Post-Separation, the income tax provisions are calculated based on Kyndryl’s operating footprint, as well as our tax return elections and assertions.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312" w:lineRule="auto"/>
        <w:rPr>
          <w:sz w:val="20"/>
          <w:szCs w:val="20"/>
          <w:color w:val="auto"/>
        </w:rPr>
      </w:pPr>
      <w:r>
        <w:rPr>
          <w:rFonts w:ascii="Times New Roman" w:cs="Times New Roman" w:eastAsia="Times New Roman" w:hAnsi="Times New Roman"/>
          <w:sz w:val="17"/>
          <w:szCs w:val="17"/>
          <w:color w:val="auto"/>
        </w:rPr>
        <w:t>Within the financial statements and tables presented, certain columns and rows may not add due to the use of rounded numbers for disclosure purposes. Percentages presented are calculated from the underlying whole-dollar amounts.</w:t>
      </w:r>
    </w:p>
    <w:p>
      <w:pPr>
        <w:spacing w:after="0" w:line="1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229"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our reportable segments’ revenue and adjusted EBITDA for the years ended March 31, 2024 and 2023, and the twelve months ended March 31, 2022. Segment revenue and revenue growth in constant currency exclude any transactions between the segments.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Twelve</w:t>
            </w: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80" w:type="dxa"/>
            <w:vAlign w:val="bottom"/>
            <w:gridSpan w:val="5"/>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120" w:type="dxa"/>
            <w:vAlign w:val="bottom"/>
          </w:tcPr>
          <w:p>
            <w:pPr>
              <w:spacing w:after="0"/>
              <w:rPr>
                <w:sz w:val="15"/>
                <w:szCs w:val="15"/>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2280" w:type="dxa"/>
            <w:vAlign w:val="bottom"/>
            <w:gridSpan w:val="3"/>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Year-over-Year Change</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8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5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2022 (unaudited)</w:t>
            </w:r>
          </w:p>
        </w:tc>
        <w:tc>
          <w:tcPr>
            <w:tcW w:w="124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5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24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2024 vs. 2023</w:t>
            </w:r>
          </w:p>
        </w:tc>
        <w:tc>
          <w:tcPr>
            <w:tcW w:w="1040" w:type="dxa"/>
            <w:vAlign w:val="bottom"/>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2023 vs. 2022</w:t>
            </w:r>
          </w:p>
        </w:tc>
        <w:tc>
          <w:tcPr>
            <w:tcW w:w="0" w:type="dxa"/>
            <w:vAlign w:val="bottom"/>
          </w:tcPr>
          <w:p>
            <w:pPr>
              <w:spacing w:after="0"/>
              <w:rPr>
                <w:sz w:val="1"/>
                <w:szCs w:val="1"/>
                <w:color w:val="auto"/>
              </w:rPr>
            </w:pPr>
          </w:p>
        </w:tc>
      </w:tr>
      <w:tr>
        <w:trPr>
          <w:trHeight w:val="210"/>
        </w:trPr>
        <w:tc>
          <w:tcPr>
            <w:tcW w:w="23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4,295</w:t>
            </w:r>
          </w:p>
        </w:tc>
        <w:tc>
          <w:tcPr>
            <w:tcW w:w="20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4,726</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4,745</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5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2,344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2,502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2,866</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Markets</w:t>
            </w:r>
          </w:p>
        </w:tc>
        <w:tc>
          <w:tcPr>
            <w:tcW w:w="240" w:type="dxa"/>
            <w:vAlign w:val="bottom"/>
          </w:tcPr>
          <w:p>
            <w:pPr>
              <w:spacing w:after="0"/>
              <w:rPr>
                <w:sz w:val="18"/>
                <w:szCs w:val="18"/>
                <w:color w:val="auto"/>
              </w:rPr>
            </w:pPr>
          </w:p>
        </w:tc>
        <w:tc>
          <w:tcPr>
            <w:tcW w:w="92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5,823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5,957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6,838</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5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Strategic Markets</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3,590</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3,840</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3,867</w:t>
            </w:r>
          </w:p>
        </w:tc>
        <w:tc>
          <w:tcPr>
            <w:tcW w:w="2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254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16,052</w:t>
            </w:r>
          </w:p>
        </w:tc>
        <w:tc>
          <w:tcPr>
            <w:tcW w:w="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17,026</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8"/>
                <w:szCs w:val="18"/>
                <w:color w:val="auto"/>
              </w:rPr>
              <w:t>18,317</w:t>
            </w:r>
          </w:p>
        </w:tc>
        <w:tc>
          <w:tcPr>
            <w:tcW w:w="2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39"/>
        </w:trPr>
        <w:tc>
          <w:tcPr>
            <w:tcW w:w="2540" w:type="dxa"/>
            <w:vAlign w:val="bottom"/>
            <w:gridSpan w:val="3"/>
            <w:shd w:val="clear" w:color="auto" w:fill="CCEEFF"/>
          </w:tcPr>
          <w:p>
            <w:pPr>
              <w:ind w:left="220"/>
              <w:spacing w:after="0" w:line="139" w:lineRule="exact"/>
              <w:rPr>
                <w:sz w:val="20"/>
                <w:szCs w:val="20"/>
                <w:color w:val="auto"/>
              </w:rPr>
            </w:pPr>
            <w:r>
              <w:rPr>
                <w:rFonts w:ascii="Times New Roman" w:cs="Times New Roman" w:eastAsia="Times New Roman" w:hAnsi="Times New Roman"/>
                <w:sz w:val="16"/>
                <w:szCs w:val="16"/>
                <w:b w:val="1"/>
                <w:bCs w:val="1"/>
                <w:color w:val="auto"/>
              </w:rPr>
              <w:t>Revenue growth in</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540" w:type="dxa"/>
            <w:vAlign w:val="bottom"/>
            <w:gridSpan w:val="3"/>
            <w:shd w:val="clear" w:color="auto" w:fill="CCEEFF"/>
          </w:tcPr>
          <w:p>
            <w:pPr>
              <w:ind w:left="220"/>
              <w:spacing w:after="0" w:line="246" w:lineRule="exact"/>
              <w:rPr>
                <w:sz w:val="20"/>
                <w:szCs w:val="20"/>
                <w:color w:val="auto"/>
              </w:rPr>
            </w:pPr>
            <w:r>
              <w:rPr>
                <w:rFonts w:ascii="Times New Roman" w:cs="Times New Roman" w:eastAsia="Times New Roman" w:hAnsi="Times New Roman"/>
                <w:sz w:val="18"/>
                <w:szCs w:val="18"/>
                <w:b w:val="1"/>
                <w:bCs w:val="1"/>
                <w:color w:val="auto"/>
              </w:rPr>
              <w:t>constant currency</w:t>
            </w:r>
            <w:r>
              <w:rPr>
                <w:rFonts w:ascii="Times New Roman" w:cs="Times New Roman" w:eastAsia="Times New Roman" w:hAnsi="Times New Roman"/>
                <w:sz w:val="26"/>
                <w:szCs w:val="26"/>
                <w:b w:val="1"/>
                <w:bCs w:val="1"/>
                <w:color w:val="auto"/>
                <w:vertAlign w:val="superscript"/>
              </w:rPr>
              <w:t>(1)</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4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6"/>
                <w:szCs w:val="26"/>
                <w:b w:val="1"/>
                <w:bCs w:val="1"/>
                <w:color w:val="auto"/>
                <w:vertAlign w:val="superscript"/>
              </w:rPr>
              <w:t>(1)</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5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781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839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910</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tcPr>
          <w:p>
            <w:pPr>
              <w:spacing w:after="0"/>
              <w:rPr>
                <w:sz w:val="18"/>
                <w:szCs w:val="18"/>
                <w:color w:val="auto"/>
              </w:rPr>
            </w:pPr>
          </w:p>
        </w:tc>
        <w:tc>
          <w:tcPr>
            <w:tcW w:w="92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361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407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532</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5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Principal Markets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740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371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387</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5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Strategic Markets</w:t>
            </w:r>
          </w:p>
        </w:tc>
        <w:tc>
          <w:tcPr>
            <w:tcW w:w="240" w:type="dxa"/>
            <w:vAlign w:val="bottom"/>
          </w:tcPr>
          <w:p>
            <w:pPr>
              <w:spacing w:after="0"/>
              <w:rPr>
                <w:sz w:val="18"/>
                <w:szCs w:val="18"/>
                <w:color w:val="auto"/>
              </w:rPr>
            </w:pPr>
          </w:p>
        </w:tc>
        <w:tc>
          <w:tcPr>
            <w:tcW w:w="92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579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436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535</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540" w:type="dxa"/>
            <w:vAlign w:val="bottom"/>
            <w:gridSpan w:val="3"/>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Corporate and other</w:t>
            </w:r>
            <w:r>
              <w:rPr>
                <w:rFonts w:ascii="Times New Roman" w:cs="Times New Roman" w:eastAsia="Times New Roman" w:hAnsi="Times New Roman"/>
                <w:sz w:val="25"/>
                <w:szCs w:val="25"/>
                <w:color w:val="auto"/>
                <w:vertAlign w:val="superscript"/>
              </w:rPr>
              <w:t>(2)</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(170)</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NM</w:t>
            </w:r>
          </w:p>
        </w:tc>
        <w:tc>
          <w:tcPr>
            <w:tcW w:w="10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9"/>
        </w:trPr>
        <w:tc>
          <w:tcPr>
            <w:tcW w:w="2540" w:type="dxa"/>
            <w:vAlign w:val="bottom"/>
            <w:gridSpan w:val="3"/>
          </w:tcPr>
          <w:p>
            <w:pPr>
              <w:ind w:left="220"/>
              <w:spacing w:after="0" w:line="210" w:lineRule="exact"/>
              <w:rPr>
                <w:sz w:val="20"/>
                <w:szCs w:val="20"/>
                <w:color w:val="auto"/>
              </w:rPr>
            </w:pPr>
            <w:r>
              <w:rPr>
                <w:rFonts w:ascii="Times New Roman" w:cs="Times New Roman" w:eastAsia="Times New Roman" w:hAnsi="Times New Roman"/>
                <w:sz w:val="17"/>
                <w:szCs w:val="17"/>
                <w:b w:val="1"/>
                <w:bCs w:val="1"/>
                <w:color w:val="auto"/>
              </w:rPr>
              <w:t>Total adjusted EBITDA</w:t>
            </w:r>
            <w:r>
              <w:rPr>
                <w:rFonts w:ascii="Times New Roman" w:cs="Times New Roman" w:eastAsia="Times New Roman" w:hAnsi="Times New Roman"/>
                <w:sz w:val="24"/>
                <w:szCs w:val="24"/>
                <w:b w:val="1"/>
                <w:bCs w:val="1"/>
                <w:color w:val="auto"/>
                <w:vertAlign w:val="superscript"/>
              </w:rPr>
              <w:t>(1)</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rPr>
              <w:t>2,367</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1,975</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8"/>
                <w:szCs w:val="18"/>
                <w:color w:val="auto"/>
              </w:rPr>
              <w:t>2,195</w:t>
            </w:r>
          </w:p>
        </w:tc>
        <w:tc>
          <w:tcPr>
            <w:tcW w:w="20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2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4" w:lineRule="exact"/>
        <w:rPr>
          <w:sz w:val="20"/>
          <w:szCs w:val="20"/>
          <w:color w:val="auto"/>
        </w:rPr>
      </w:pPr>
    </w:p>
    <w:p>
      <w:pPr>
        <w:ind w:left="380" w:right="339" w:hanging="330"/>
        <w:spacing w:after="0" w:line="221" w:lineRule="auto"/>
        <w:tabs>
          <w:tab w:leader="none" w:pos="368"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growth in constant currency and adjusted EBITDA are non-GAAP financial metrics. See the information below for definitions of these metrics and a reconciliation of adjusted EBITDA to net income (loss).</w:t>
      </w:r>
    </w:p>
    <w:p>
      <w:pPr>
        <w:ind w:left="360" w:hanging="310"/>
        <w:spacing w:after="0"/>
        <w:tabs>
          <w:tab w:leader="none" w:pos="3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net amounts not allocated to segments</w:t>
      </w:r>
    </w:p>
    <w:p>
      <w:pPr>
        <w:spacing w:after="0" w:line="192"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We report our financial results in accordance with U.S. GAAP. We also present certain non-GAAP financial measures to provide useful supplemental information to investors. We provide these non-GAAP financial measures as we believe they enhance visibility to underlying results and the impact of management decisions on operational performance, enables better comparison to peer companies and allows us to provide a long-term strategic view of the business going forward.</w:t>
      </w:r>
    </w:p>
    <w:p>
      <w:pPr>
        <w:spacing w:after="0" w:line="183"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Revenue growth in constant currency is a non-GAAP measure that eliminates the effects of exchange rate fluctuations when translating from foreign currencies to the United States dollar. It is calculated by using the average exchange rates that existed for the same period of the prior year. Constant-currency measures are provided so that revenue can be viewed without the effect of fluctuations in currency exchange rates, which is consistent with how management evaluates our revenue results and trends.</w:t>
      </w:r>
    </w:p>
    <w:p>
      <w:pPr>
        <w:spacing w:after="0" w:line="183"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Additionally, management uses adjusted EBITDA to evaluate our performance. Adjusted EBITDA is a non-GAAP measure and defined as net income (loss) excluding income taxes, interest expense, depreciation and amortization (excluding depreciation of right-of-use assets and amortization of capitalized contract costs), charges related to ceasing to use leased/fixed assets, charges related to lease terminations, transaction-related costs and benefits, pension expenses other than pension servicing costs and multi-employer plan costs, stock-based compensation expense, workforce rebalancing charges incurred prior to March 31, 2024, impairment expense, significant litigation costs and currency impacts of highly inflationary countries. We believe that adjusted EBITDA is a helpful supplemental measure to assist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investors in evaluating our operating results as it excludes certain items whose fluctuation from period to period does not necessarily correspond to changes in the operations of our business.</w:t>
      </w:r>
    </w:p>
    <w:p>
      <w:pPr>
        <w:spacing w:after="0" w:line="162" w:lineRule="exact"/>
        <w:rPr>
          <w:sz w:val="20"/>
          <w:szCs w:val="20"/>
          <w:color w:val="auto"/>
        </w:rPr>
      </w:pPr>
    </w:p>
    <w:p>
      <w:pPr>
        <w:ind w:left="60" w:right="399" w:firstLine="648"/>
        <w:spacing w:after="0" w:line="261" w:lineRule="auto"/>
        <w:rPr>
          <w:sz w:val="20"/>
          <w:szCs w:val="20"/>
          <w:color w:val="auto"/>
        </w:rPr>
      </w:pPr>
      <w:r>
        <w:rPr>
          <w:rFonts w:ascii="Times New Roman" w:cs="Times New Roman" w:eastAsia="Times New Roman" w:hAnsi="Times New Roman"/>
          <w:sz w:val="18"/>
          <w:szCs w:val="18"/>
          <w:color w:val="auto"/>
        </w:rPr>
        <w:t>These disclosures are provided in addition to and not as a substitute for the percentage change in revenue and profit or loss measures on a U.S. GAAP basis compared to the corresponding period in the prior year. Other companies may calculate and define similarly labeled items differently, which may limit the usefulness of this measure for comparative purposes.</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provides a reconciliation of U.S. GAAP net income (loss) to adjusted EBITDA:</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w w:val="98"/>
              </w:rPr>
              <w:t>Twelve</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60" w:type="dxa"/>
            <w:vAlign w:val="bottom"/>
            <w:gridSpan w:val="5"/>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60" w:type="dxa"/>
            <w:vAlign w:val="bottom"/>
            <w:gridSpan w:val="5"/>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546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10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2022 (unaudited)</w:t>
            </w:r>
          </w:p>
        </w:tc>
        <w:tc>
          <w:tcPr>
            <w:tcW w:w="0" w:type="dxa"/>
            <w:vAlign w:val="bottom"/>
          </w:tcPr>
          <w:p>
            <w:pPr>
              <w:spacing w:after="0"/>
              <w:rPr>
                <w:sz w:val="1"/>
                <w:szCs w:val="1"/>
                <w:color w:val="auto"/>
              </w:rPr>
            </w:pPr>
          </w:p>
        </w:tc>
      </w:tr>
      <w:tr>
        <w:trPr>
          <w:trHeight w:val="209"/>
        </w:trPr>
        <w:tc>
          <w:tcPr>
            <w:tcW w:w="52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0" w:type="dxa"/>
            <w:vAlign w:val="bottom"/>
          </w:tcPr>
          <w:p>
            <w:pPr>
              <w:spacing w:after="0"/>
              <w:rPr>
                <w:sz w:val="1"/>
                <w:szCs w:val="1"/>
                <w:color w:val="auto"/>
              </w:rPr>
            </w:pPr>
          </w:p>
        </w:tc>
      </w:tr>
      <w:tr>
        <w:trPr>
          <w:trHeight w:val="216"/>
        </w:trPr>
        <w:tc>
          <w:tcPr>
            <w:tcW w:w="5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6"/>
        </w:trPr>
        <w:tc>
          <w:tcPr>
            <w:tcW w:w="54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5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Depreciation of property, equipment and capitalized software</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0" w:type="dxa"/>
            <w:vAlign w:val="bottom"/>
          </w:tcPr>
          <w:p>
            <w:pPr>
              <w:spacing w:after="0"/>
              <w:rPr>
                <w:sz w:val="1"/>
                <w:szCs w:val="1"/>
                <w:color w:val="auto"/>
              </w:rPr>
            </w:pPr>
          </w:p>
        </w:tc>
      </w:tr>
      <w:tr>
        <w:trPr>
          <w:trHeight w:val="216"/>
        </w:trPr>
        <w:tc>
          <w:tcPr>
            <w:tcW w:w="54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expense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0" w:type="dxa"/>
            <w:vAlign w:val="bottom"/>
          </w:tcPr>
          <w:p>
            <w:pPr>
              <w:spacing w:after="0"/>
              <w:rPr>
                <w:sz w:val="1"/>
                <w:szCs w:val="1"/>
                <w:color w:val="auto"/>
              </w:rPr>
            </w:pPr>
          </w:p>
        </w:tc>
      </w:tr>
      <w:tr>
        <w:trPr>
          <w:trHeight w:val="216"/>
        </w:trPr>
        <w:tc>
          <w:tcPr>
            <w:tcW w:w="5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Workforce rebalancing charges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8"/>
        </w:trPr>
        <w:tc>
          <w:tcPr>
            <w:tcW w:w="5460" w:type="dxa"/>
            <w:vAlign w:val="bottom"/>
            <w:gridSpan w:val="3"/>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Charges related to ceasing to use leased/fixed assets and lease</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terminations</w:t>
            </w: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Transaction-related costs (benefits)</w:t>
            </w:r>
          </w:p>
        </w:tc>
        <w:tc>
          <w:tcPr>
            <w:tcW w:w="2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16"/>
        </w:trPr>
        <w:tc>
          <w:tcPr>
            <w:tcW w:w="54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5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Impairment expense</w:t>
            </w:r>
          </w:p>
        </w:tc>
        <w:tc>
          <w:tcPr>
            <w:tcW w:w="2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16"/>
        </w:trPr>
        <w:tc>
          <w:tcPr>
            <w:tcW w:w="54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adjustments*</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0"/>
        </w:trPr>
        <w:tc>
          <w:tcPr>
            <w:tcW w:w="5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26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9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right="99" w:hanging="330"/>
        <w:spacing w:after="0" w:line="241" w:lineRule="auto"/>
        <w:tabs>
          <w:tab w:leader="none" w:pos="3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adjustments represent pension expenses other than pension servicing costs and multi-employer plan costs, significant litigation costs, currency impacts of highly inflationary countries, and an adjustment to reduce amortization expense for the amount already included in transaction-related costs (benefits) above.</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jc w:val="right"/>
              <w:ind w:right="5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40" w:type="dxa"/>
            <w:vAlign w:val="bottom"/>
          </w:tcPr>
          <w:p>
            <w:pPr>
              <w:jc w:val="right"/>
              <w:ind w:right="5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5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4,295</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4,726</w:t>
            </w:r>
          </w:p>
        </w:tc>
        <w:tc>
          <w:tcPr>
            <w:tcW w:w="0" w:type="dxa"/>
            <w:vAlign w:val="bottom"/>
          </w:tcPr>
          <w:p>
            <w:pPr>
              <w:spacing w:after="0"/>
              <w:rPr>
                <w:sz w:val="1"/>
                <w:szCs w:val="1"/>
                <w:color w:val="auto"/>
              </w:rPr>
            </w:pPr>
          </w:p>
        </w:tc>
      </w:tr>
      <w:tr>
        <w:trPr>
          <w:trHeight w:val="216"/>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year-over-year change</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781</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839</w:t>
            </w:r>
          </w:p>
        </w:tc>
        <w:tc>
          <w:tcPr>
            <w:tcW w:w="0" w:type="dxa"/>
            <w:vAlign w:val="bottom"/>
          </w:tcPr>
          <w:p>
            <w:pPr>
              <w:spacing w:after="0"/>
              <w:rPr>
                <w:sz w:val="1"/>
                <w:szCs w:val="1"/>
                <w:color w:val="auto"/>
              </w:rPr>
            </w:pPr>
          </w:p>
        </w:tc>
      </w:tr>
      <w:tr>
        <w:trPr>
          <w:trHeight w:val="234"/>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 year-over-year change</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For the year ended March 31, 2024, United States revenue of $4.3 billion decreased 9 percent compared to the year ended March 31, 2023, driven by the Company’s efforts to reduce certain low-margin revenues. Adjusted EBITDA decreased $58 million from the prior year, primarily driven by an increase in software costs of $67 million resulting from an amendment of the contract with a software provider that re-allocated costs among our segments, partially offset by increased operating efficiencies and higher margins on recent signings.</w:t>
      </w:r>
    </w:p>
    <w:p>
      <w:pPr>
        <w:spacing w:after="0" w:line="183" w:lineRule="exact"/>
        <w:rPr>
          <w:sz w:val="20"/>
          <w:szCs w:val="20"/>
          <w:color w:val="auto"/>
        </w:rPr>
      </w:pPr>
    </w:p>
    <w:p>
      <w:pPr>
        <w:ind w:left="60" w:right="99" w:firstLine="648"/>
        <w:spacing w:after="0" w:line="281" w:lineRule="auto"/>
        <w:rPr>
          <w:sz w:val="20"/>
          <w:szCs w:val="20"/>
          <w:color w:val="auto"/>
        </w:rPr>
      </w:pPr>
      <w:r>
        <w:rPr>
          <w:rFonts w:ascii="Times New Roman" w:cs="Times New Roman" w:eastAsia="Times New Roman" w:hAnsi="Times New Roman"/>
          <w:sz w:val="17"/>
          <w:szCs w:val="17"/>
          <w:color w:val="auto"/>
        </w:rPr>
        <w:t>For the year ended March 31, 2023, United States revenue of $4.7 billion was unchanged compared to the twelve months ended March 31, 2022. Adjusted EBITDA decreased $71 million from the prior twelve-month period, primarily driven by certain software agreements moving from prepaid and amortized agreements to monthly subscription agreements as well as investments made to support being an independent company, partially offset by progress on our key initiatives.</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7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2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year-over-year change</w:t>
            </w:r>
          </w:p>
        </w:tc>
        <w:tc>
          <w:tcPr>
            <w:tcW w:w="3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growth in constant currency</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year-over-year change</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For the year ended March 31, 2024, Japan revenue of $2.3 billion decreased 6 percent compared to the year ended March 31, 2023, driven primarily by an unfavorable currency exchange rate impact of six points. Adjusted EBITDA decreased $46 million from the prior year, primarily driven by unfavorable currency movements that impacted both non-yen-denominated costs and the translation of earnings into U.S. dollars.</w:t>
      </w:r>
    </w:p>
    <w:p>
      <w:pPr>
        <w:spacing w:after="0" w:line="180" w:lineRule="exact"/>
        <w:rPr>
          <w:sz w:val="20"/>
          <w:szCs w:val="20"/>
          <w:color w:val="auto"/>
        </w:rPr>
      </w:pPr>
    </w:p>
    <w:p>
      <w:pPr>
        <w:ind w:left="60" w:right="259" w:firstLine="648"/>
        <w:spacing w:after="0" w:line="256" w:lineRule="auto"/>
        <w:rPr>
          <w:sz w:val="20"/>
          <w:szCs w:val="20"/>
          <w:color w:val="auto"/>
        </w:rPr>
      </w:pPr>
      <w:r>
        <w:rPr>
          <w:rFonts w:ascii="Times New Roman" w:cs="Times New Roman" w:eastAsia="Times New Roman" w:hAnsi="Times New Roman"/>
          <w:sz w:val="18"/>
          <w:szCs w:val="18"/>
          <w:color w:val="auto"/>
        </w:rPr>
        <w:t>For the year ended March 31, 2023, Japan revenue of $2.5 billion decreased 13 percent compared to the twelve months ended March 31, 2022. Revenue decreased due to an unfavorable currency exchange rate impact of 18 points, partially offset by recent signings of incremental business, including increased Kyndryl Consult revenues. Adjusted EBITDA decreased $125 million from the prior twelve-month period, primarily driven by unfavorable currency impacts, partially offset by lower costs from our post-Separation commercial agreements with IBM and progress on our key initiatives.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Principal Markets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40" w:type="dxa"/>
            <w:vAlign w:val="bottom"/>
          </w:tcPr>
          <w:p>
            <w:pPr>
              <w:jc w:val="right"/>
              <w:ind w:right="5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5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5,823</w:t>
            </w:r>
          </w:p>
        </w:tc>
        <w:tc>
          <w:tcPr>
            <w:tcW w:w="2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5,957</w:t>
            </w:r>
          </w:p>
        </w:tc>
        <w:tc>
          <w:tcPr>
            <w:tcW w:w="0" w:type="dxa"/>
            <w:vAlign w:val="bottom"/>
          </w:tcPr>
          <w:p>
            <w:pPr>
              <w:spacing w:after="0"/>
              <w:rPr>
                <w:sz w:val="1"/>
                <w:szCs w:val="1"/>
                <w:color w:val="auto"/>
              </w:rPr>
            </w:pPr>
          </w:p>
        </w:tc>
      </w:tr>
      <w:tr>
        <w:trPr>
          <w:trHeight w:val="216"/>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year-over-year change</w:t>
            </w:r>
          </w:p>
        </w:tc>
        <w:tc>
          <w:tcPr>
            <w:tcW w:w="3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growth in constant currency</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16"/>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year-over-year change</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For the year ended March 31, 2024, Principal Markets revenue of $5.8 billion decreased 2 percent compared to the year ended March 31, 2023, including a favorable currency exchange rate impact of two points. The revenue decline was largely attributable to actions the Company has taken to reduce low-margin components of its customer relationships. Adjusted EBITDA increased $369 million from the prior year, primarily due to increased operating efficiencies, higher margins on recent signings and a decrease in software costs of $80 million resulting from an amendment of the contract with a software provider that re-allocated costs among our segments.</w:t>
      </w:r>
    </w:p>
    <w:p>
      <w:pPr>
        <w:spacing w:after="0" w:line="187" w:lineRule="exact"/>
        <w:rPr>
          <w:sz w:val="20"/>
          <w:szCs w:val="20"/>
          <w:color w:val="auto"/>
        </w:rPr>
      </w:pPr>
    </w:p>
    <w:p>
      <w:pPr>
        <w:ind w:left="60" w:right="99" w:firstLine="648"/>
        <w:spacing w:after="0" w:line="277" w:lineRule="auto"/>
        <w:rPr>
          <w:sz w:val="20"/>
          <w:szCs w:val="20"/>
          <w:color w:val="auto"/>
        </w:rPr>
      </w:pPr>
      <w:r>
        <w:rPr>
          <w:rFonts w:ascii="Times New Roman" w:cs="Times New Roman" w:eastAsia="Times New Roman" w:hAnsi="Times New Roman"/>
          <w:sz w:val="17"/>
          <w:szCs w:val="17"/>
          <w:color w:val="auto"/>
        </w:rPr>
        <w:t>For the year ended March 31, 2023, Principal Markets revenue of $6.0 billion decreased 13 percent compared to the twelve months ended March 31, 2022. Revenue decreased due to certain joint ventures not transferring to us in connection with the Separation as well as an unfavorable currency exchange rate impact of nine points, primarily driven by the strengthening of the U.S. dollar against the Euro and British pound. Adjusted EBITDA decreased $16 million from the prior twelve-month period, due to unfavorable currency exchange rates, partially offset by progress on our key initiatives.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Strategic Markets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8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7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year-over-year change</w:t>
            </w:r>
          </w:p>
        </w:tc>
        <w:tc>
          <w:tcPr>
            <w:tcW w:w="3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growth in constant currency</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year-over-year change</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For the year ended March 31, 2024, Strategic Markets revenue of $3.6 billion decreased 7 percent compared to the year ended March 31, 2023, including a favorable currency exchange rate impact of three points. The revenue decline was largely attributable to actions the Company has taken to reduce low-margin components of its customer relationships. Adjusted EBITDA increased $143 million from the prior year, primarily due to increased operating efficiencies and higher margins on recent signings, partially offset by an increase in software costs of $23 million resulting from an amendment of the contract with a software provider that re-allocated costs among our segments.</w:t>
      </w:r>
    </w:p>
    <w:p>
      <w:pPr>
        <w:spacing w:after="0" w:line="187"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For the year ended March 31, 2023, Strategic Markets revenue of $3.8 billion decreased 1 percent compared to the twelve months ended March 31, 2022 driven by a seven-point headwind from currency exchange rates, primarily the Euro, partially offset by signings of incremental business, including increased Kyndryl Consult revenues. Adjusted EBITDA decreased $99 million from the prior twelve-month period, since the majority of Strategic Markets countries were not charged for IBM software pre-Separation and software cost allocations began post-Separation, partially offset by progress on our key initiatives.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22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Corporate and other generated an adjusted EBITDA loss of $95 million in the year ended March 31, 2024, compared to a loss of $77 million in the year ended March 31, 2023. Corporate and other generated an adjusted EBITDA loss of $77 million in the year ended March 31, 2023, compared to a loss of $170 million in the twelve months ended March 31, 2022, driven by lower executive expenses incurred by Kyndryl post-Separation compared to corporate expenses allocated by the former Parent in the prior-year period.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5"/>
                <w:szCs w:val="15"/>
                <w:color w:val="auto"/>
              </w:rPr>
            </w:pPr>
          </w:p>
        </w:tc>
        <w:tc>
          <w:tcPr>
            <w:tcW w:w="20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210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Percent of Revenue</w:t>
            </w:r>
          </w:p>
        </w:tc>
        <w:tc>
          <w:tcPr>
            <w:tcW w:w="106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480" w:type="dxa"/>
            <w:vAlign w:val="bottom"/>
            <w:gridSpan w:val="2"/>
            <w:vMerge w:val="continue"/>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880" w:type="dxa"/>
            <w:vAlign w:val="bottom"/>
            <w:tcBorders>
              <w:top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1060" w:type="dxa"/>
            <w:vAlign w:val="bottom"/>
            <w:tcBorders>
              <w:top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2024 vs. 2023</w:t>
            </w:r>
          </w:p>
        </w:tc>
        <w:tc>
          <w:tcPr>
            <w:tcW w:w="0" w:type="dxa"/>
            <w:vAlign w:val="bottom"/>
          </w:tcPr>
          <w:p>
            <w:pPr>
              <w:spacing w:after="0"/>
              <w:rPr>
                <w:sz w:val="1"/>
                <w:szCs w:val="1"/>
                <w:color w:val="auto"/>
              </w:rPr>
            </w:pPr>
          </w:p>
        </w:tc>
      </w:tr>
      <w:tr>
        <w:trPr>
          <w:trHeight w:val="209"/>
        </w:trPr>
        <w:tc>
          <w:tcPr>
            <w:tcW w:w="3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16,052</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17,026</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14,498</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82.2 %</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85.2 %</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Workforce rebalancing charges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Transaction-related costs (benefits)</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28"/>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08"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Cost of services was 82.2% of revenue in the year ended March 31, 2024, compared to 85.2% in the year ended March 31, 2023, driven by increased operating efficiencies, higher margins on recent signings and actions the Company has taken to reduce low-margin components of its customer relationships. Selling, general and administrative expenses were 17.3% of revenue in the year ended March 31, 2024 compared to 17.1% in the year ended March 31, 2023, driven by lower revenue, partially offset by reduced expenses. Workforce rebalancing charges were 0.9% of revenue in the year ended March 31, 2024 versus 0.4% of revenue in the prior-year period, due to increased workforce rebalancing actions taken in fiscal 2024. Transaction-related costs (benefits) were (0.3)% of revenue in the year ended March 31, 2024 compared to 1.5% in the prior-year, driven by reduced rebranding and employee-retention costs and the favorable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99"/>
        <w:spacing w:after="0" w:line="312" w:lineRule="auto"/>
        <w:rPr>
          <w:sz w:val="20"/>
          <w:szCs w:val="20"/>
          <w:color w:val="auto"/>
        </w:rPr>
      </w:pPr>
      <w:r>
        <w:rPr>
          <w:rFonts w:ascii="Times New Roman" w:cs="Times New Roman" w:eastAsia="Times New Roman" w:hAnsi="Times New Roman"/>
          <w:sz w:val="17"/>
          <w:szCs w:val="17"/>
          <w:color w:val="auto"/>
        </w:rPr>
        <w:t>resolution of certain pre-Separation and Separation-related matters with our former Parent. Interest expense was 0.8% of revenue in the year ended March 31, 2024 compared to 0.5% in the prior year due to higher interest rates in fiscal 2024.</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60" w:type="dxa"/>
            <w:vAlign w:val="bottom"/>
          </w:tcPr>
          <w:p>
            <w:pPr>
              <w:spacing w:after="0"/>
              <w:rPr>
                <w:sz w:val="13"/>
                <w:szCs w:val="13"/>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Twelve</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2080" w:type="dxa"/>
            <w:vAlign w:val="bottom"/>
            <w:gridSpan w:val="4"/>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Percent of Revenue</w:t>
            </w:r>
          </w:p>
        </w:tc>
        <w:tc>
          <w:tcPr>
            <w:tcW w:w="104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5"/>
                <w:szCs w:val="15"/>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80" w:type="dxa"/>
            <w:vAlign w:val="bottom"/>
            <w:gridSpan w:val="4"/>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12"/>
                <w:szCs w:val="12"/>
                <w:color w:val="auto"/>
              </w:rPr>
            </w:pPr>
          </w:p>
        </w:tc>
        <w:tc>
          <w:tcPr>
            <w:tcW w:w="820" w:type="dxa"/>
            <w:vAlign w:val="bottom"/>
          </w:tcPr>
          <w:p>
            <w:pPr>
              <w:jc w:val="center"/>
              <w:ind w:right="5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2"/>
                <w:szCs w:val="12"/>
                <w:color w:val="auto"/>
              </w:rPr>
            </w:pPr>
          </w:p>
        </w:tc>
        <w:tc>
          <w:tcPr>
            <w:tcW w:w="1220" w:type="dxa"/>
            <w:vAlign w:val="bottom"/>
            <w:gridSpan w:val="3"/>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2022 (unaudited)</w:t>
            </w:r>
          </w:p>
        </w:tc>
        <w:tc>
          <w:tcPr>
            <w:tcW w:w="900" w:type="dxa"/>
            <w:vAlign w:val="bottom"/>
            <w:tcBorders>
              <w:top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1040" w:type="dxa"/>
            <w:vAlign w:val="bottom"/>
            <w:tcBorders>
              <w:top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2023 vs. 2022</w:t>
            </w:r>
          </w:p>
        </w:tc>
        <w:tc>
          <w:tcPr>
            <w:tcW w:w="0" w:type="dxa"/>
            <w:vAlign w:val="bottom"/>
          </w:tcPr>
          <w:p>
            <w:pPr>
              <w:spacing w:after="0"/>
              <w:rPr>
                <w:sz w:val="1"/>
                <w:szCs w:val="1"/>
                <w:color w:val="auto"/>
              </w:rPr>
            </w:pPr>
          </w:p>
        </w:tc>
      </w:tr>
      <w:tr>
        <w:trPr>
          <w:trHeight w:val="209"/>
        </w:trPr>
        <w:tc>
          <w:tcPr>
            <w:tcW w:w="33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18,317</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3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16,057</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85.2 %</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87.7 %</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3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16"/>
        </w:trPr>
        <w:tc>
          <w:tcPr>
            <w:tcW w:w="3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Workforce rebalancing charges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8"/>
                <w:szCs w:val="18"/>
                <w:color w:val="auto"/>
              </w:rPr>
            </w:pP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3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Transaction-related costs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3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Impairment expense</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8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0"/>
        </w:trPr>
        <w:tc>
          <w:tcPr>
            <w:tcW w:w="3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08"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Cost of services was 85.2% of revenue in the year ended March 31, 2023, compared to 87.7% in the twelve months ended March 31, 2022, primarily driven by progress on our key initiatives and lower costs from our post-Separation commercial agreements with IBM, offset in part by certain site-rationalization activities. Selling, general and administrative expenses were 17.1% of revenue in the year ended March 31, 2023 compared to 15.0% in the twelve months ended March 31, 2022, driven by expenses associated with operating as an independent public company, the impact of currency on revenue compared to our U.S. dollar-denominated expenses, and certain site-rationalization activities. Workforce rebalancing charges arise from cost-reduction actions to enhance productivity and cost-competitiveness and to rebalance skills that result in payments to employees terminated in the ongoing course of business. Workforce rebalancing charges were 0.4% of revenue in fiscal 2023 compared to (0.1)% in the twelve months ended March 31, 2022, due to a workforce reduction in the fourth quarter of 2023. Transaction-related costs were 1.5% of revenue in the year ended March 31, 2023 compared to 3.4% in the twelve months ended March 31, 2022, primarily driven by higher employee-retention expense and pre-spin consultancy expense incurred in the prior year. Impairment expense was zero in the year ended March 31, 2023 compared to 2.6% of revenue in the twelve months ended March 31, 2022, driven by an impairment of goodwill in the former EMEA and Americas segments in the quarter ended December 31, 2021. Interest expense was 0.5% of revenue in the year ended March 31, 2023 compared to 0.4% in the twelve months ended March 31, 2022, due to our average debt balance having been lower prior to the Separation. Other expense was 0.2% of revenue in the year ended March 31, 2023 compared to 0.2% in the twelve months ended March 31, 2022.</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Transaction-Related Costs (Benefits)</w:t>
      </w:r>
    </w:p>
    <w:p>
      <w:pPr>
        <w:spacing w:after="0" w:line="22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The Company classifies certain expenses and benefits related to the Separation, acquisitions and divestitures (if any) as “transaction-related costs (benefits)” in the Consolidated Income Statement. Transaction-related costs include employee retention expenses, information technology costs, marketing expenses to establish the Kyndryl brand, legal, accounting, consulting and other professional service costs required, pre-Separation and post-Separation, to prepare for and execute the Separation, costs and benefits resulting from settlements with our former Parent associated with pre-Separation and Separation-related matters, and other costs related to contract and supplier novation and integration.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Workforce Rebalancing and Site-Rationalization Charges</w:t>
      </w:r>
    </w:p>
    <w:p>
      <w:pPr>
        <w:spacing w:after="0" w:line="22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During the year ended March 31, 2023, management initiated certain actions to reduce the Company’s overall cost structure and increase our operating efficiency, which continued through the fiscal year ended March 31, 2024. These actions include workforce rebalancing charges, charges related to ceasing to use leased and owned fixed assets, and charges related to lease terminations. Workforce rebalancing charges arise from cost-reduction actions to enhance productivity and cost-competitiveness and to rebalance skills that result in payments to the terminated employees. In addition, we identified certain leased and owned assets that were inherited from IBM as a result of the Separation that we determined will no longer provide any economic benefit to Kyndryl. As a result, we disposed of these assets through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89" w:lineRule="auto"/>
        <w:rPr>
          <w:sz w:val="20"/>
          <w:szCs w:val="20"/>
          <w:color w:val="auto"/>
        </w:rPr>
      </w:pPr>
      <w:r>
        <w:rPr>
          <w:rFonts w:ascii="Times New Roman" w:cs="Times New Roman" w:eastAsia="Times New Roman" w:hAnsi="Times New Roman"/>
          <w:sz w:val="17"/>
          <w:szCs w:val="17"/>
          <w:color w:val="auto"/>
        </w:rPr>
        <w:t>abandonment or early termination. During the year ended March 31, 2024, the Company recognized $135 million in workforce rebalancing charges (excluding individual terminations outside of this Company-wide workforce rebalancing program) and $39 million in charges related to ceasing to use leased and owned fixed assets and lease termination charges.</w:t>
      </w:r>
    </w:p>
    <w:p>
      <w:pPr>
        <w:spacing w:after="0" w:line="158" w:lineRule="exact"/>
        <w:rPr>
          <w:sz w:val="20"/>
          <w:szCs w:val="20"/>
          <w:color w:val="auto"/>
        </w:rPr>
      </w:pPr>
    </w:p>
    <w:p>
      <w:pPr>
        <w:ind w:left="60" w:right="79" w:firstLine="648"/>
        <w:spacing w:after="0" w:line="272" w:lineRule="auto"/>
        <w:rPr>
          <w:sz w:val="20"/>
          <w:szCs w:val="20"/>
          <w:color w:val="auto"/>
        </w:rPr>
      </w:pPr>
      <w:r>
        <w:rPr>
          <w:rFonts w:ascii="Times New Roman" w:cs="Times New Roman" w:eastAsia="Times New Roman" w:hAnsi="Times New Roman"/>
          <w:sz w:val="17"/>
          <w:szCs w:val="17"/>
          <w:color w:val="auto"/>
        </w:rPr>
        <w:t>Total cash outlays for this program are expected to be approximately $300 million, of which approximately $210 million has been paid through March 31, 2024 (including approximately $40 million of contractual payments toward leased assets we have ceased to use) and approximately $60 million is expected to be paid in fiscal year 2025. Management expects that these workforce rebalancing and site-rationalization activities will reduce payroll costs, rent expenses and depreciation of property and equipment by approximately $400 million in fiscal year 2025. There can be no guarantee that we will achieve our expected cost savings. The Company will continue to seek opportunities to improve operational efficiency and reduce costs, which may result in additional charges in future periods. For additional information, see Note 19 – Workforce Rebalancing and Site-Rationalization Charges in the accompanying Consolidated Financial Statements.</w:t>
      </w:r>
    </w:p>
    <w:p>
      <w:pPr>
        <w:spacing w:after="0" w:line="1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Company’s consolidated provision for income taxes and effective tax rate were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3"/>
                <w:szCs w:val="13"/>
                <w:color w:val="auto"/>
              </w:rPr>
            </w:pPr>
          </w:p>
        </w:tc>
        <w:tc>
          <w:tcPr>
            <w:tcW w:w="11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Twelve Months</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1"/>
              <w:spacing w:after="0" w:line="149" w:lineRule="exact"/>
              <w:rPr>
                <w:sz w:val="20"/>
                <w:szCs w:val="20"/>
                <w:color w:val="auto"/>
              </w:rPr>
            </w:pPr>
            <w:r>
              <w:rPr>
                <w:rFonts w:ascii="Times New Roman" w:cs="Times New Roman" w:eastAsia="Times New Roman" w:hAnsi="Times New Roman"/>
                <w:sz w:val="14"/>
                <w:szCs w:val="14"/>
                <w:b w:val="1"/>
                <w:bCs w:val="1"/>
                <w:color w:val="auto"/>
              </w:rPr>
              <w:t>Ended March</w:t>
            </w:r>
          </w:p>
        </w:tc>
        <w:tc>
          <w:tcPr>
            <w:tcW w:w="0" w:type="dxa"/>
            <w:vAlign w:val="bottom"/>
          </w:tcPr>
          <w:p>
            <w:pPr>
              <w:spacing w:after="0"/>
              <w:rPr>
                <w:sz w:val="1"/>
                <w:szCs w:val="1"/>
                <w:color w:val="auto"/>
              </w:rPr>
            </w:pPr>
          </w:p>
        </w:tc>
      </w:tr>
      <w:tr>
        <w:trPr>
          <w:trHeight w:val="149"/>
        </w:trPr>
        <w:tc>
          <w:tcPr>
            <w:tcW w:w="5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2"/>
                <w:szCs w:val="12"/>
                <w:color w:val="auto"/>
              </w:rPr>
            </w:pPr>
          </w:p>
        </w:tc>
        <w:tc>
          <w:tcPr>
            <w:tcW w:w="980" w:type="dxa"/>
            <w:vAlign w:val="bottom"/>
          </w:tcPr>
          <w:p>
            <w:pPr>
              <w:jc w:val="center"/>
              <w:ind w:right="1"/>
              <w:spacing w:after="0" w:line="149" w:lineRule="exact"/>
              <w:rPr>
                <w:sz w:val="20"/>
                <w:szCs w:val="20"/>
                <w:color w:val="auto"/>
              </w:rPr>
            </w:pPr>
            <w:r>
              <w:rPr>
                <w:rFonts w:ascii="Times New Roman" w:cs="Times New Roman" w:eastAsia="Times New Roman" w:hAnsi="Times New Roman"/>
                <w:sz w:val="14"/>
                <w:szCs w:val="14"/>
                <w:b w:val="1"/>
                <w:bCs w:val="1"/>
                <w:color w:val="auto"/>
              </w:rPr>
              <w:t>31, 2022</w:t>
            </w:r>
          </w:p>
        </w:tc>
        <w:tc>
          <w:tcPr>
            <w:tcW w:w="0" w:type="dxa"/>
            <w:vAlign w:val="bottom"/>
          </w:tcPr>
          <w:p>
            <w:pPr>
              <w:spacing w:after="0"/>
              <w:rPr>
                <w:sz w:val="1"/>
                <w:szCs w:val="1"/>
                <w:color w:val="auto"/>
              </w:rPr>
            </w:pPr>
          </w:p>
        </w:tc>
      </w:tr>
      <w:tr>
        <w:trPr>
          <w:trHeight w:val="173"/>
        </w:trPr>
        <w:tc>
          <w:tcPr>
            <w:tcW w:w="52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09"/>
        </w:trPr>
        <w:tc>
          <w:tcPr>
            <w:tcW w:w="5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524</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34"/>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In the years ended March 31, 2024 and 2023, and the twelve months ended March 31, 2022, we recorded income tax expense of $172 million, $524 million and $350 million, respectively, on pretax losses, which resulted in negative effective tax rates. Our income tax expense for the year ended March 31, 2024 was primarily related to taxes on foreign operations and uncertain tax positions. Our income tax expense for the year ended March 31, 2023 was primarily related to the increases in valuation allowances in certain jurisdictions against deferred tax assets that are not more likely than not to be realized, taxes on foreign operations and uncertain tax positions. Our income tax expense for the twelve months ended March 31, 2022 was primarily related to taxes on foreign operations, uncertain tax positions, tax charges related to the transfer of Kyndryl’s operations from Parent in contemplation of the Company’s separation from IBM and the establishment of valuation allowances in certain jurisdictions against deferred tax assets that are not more likely than not to be realized.</w:t>
      </w:r>
    </w:p>
    <w:p>
      <w:pPr>
        <w:spacing w:after="0" w:line="194"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The effective tax rate for the year ended March 31, 2024 was lower (more negative) compared to the year ended March 31, 2023 primarily due to the Company’s pretax loss being significantly lower in fiscal year 2024. The effective tax rate for the year ended March 31, 2023 was lower compared to the twelve months ended March 31, 2022 primarily due to increases in valuation allowances in certain jurisdictions against deferred tax assets that are not more likely than not to be realized. For more information, see Note 5 – Taxes in the accompanying Consolidated Financial Statements.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Position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Dynamics</w:t>
      </w:r>
    </w:p>
    <w:p>
      <w:pPr>
        <w:spacing w:after="0" w:line="229" w:lineRule="exact"/>
        <w:rPr>
          <w:sz w:val="20"/>
          <w:szCs w:val="20"/>
          <w:color w:val="auto"/>
        </w:rPr>
      </w:pPr>
    </w:p>
    <w:p>
      <w:pPr>
        <w:ind w:left="60" w:right="219" w:firstLine="648"/>
        <w:spacing w:after="0" w:line="281" w:lineRule="auto"/>
        <w:rPr>
          <w:sz w:val="20"/>
          <w:szCs w:val="20"/>
          <w:color w:val="auto"/>
        </w:rPr>
      </w:pPr>
      <w:r>
        <w:rPr>
          <w:rFonts w:ascii="Times New Roman" w:cs="Times New Roman" w:eastAsia="Times New Roman" w:hAnsi="Times New Roman"/>
          <w:sz w:val="17"/>
          <w:szCs w:val="17"/>
          <w:color w:val="auto"/>
        </w:rPr>
        <w:t>Total assets of $10.6 billion at March 31, 2024 decreased by $873 million (and decreased by $737 million adjusted for currency) from March 31, 2023, primarily driven by: a decrease in cash and cash equivalents of $295 million mainly due to our net loss in the period; a decrease in deferred costs of $236 million due to amortization outpacing additions; and a decrease in fixed assets of $105 million due to depreciation outpacing new capital expenditures.</w:t>
      </w:r>
    </w:p>
    <w:p>
      <w:pPr>
        <w:spacing w:after="0" w:line="164" w:lineRule="exact"/>
        <w:rPr>
          <w:sz w:val="20"/>
          <w:szCs w:val="20"/>
          <w:color w:val="auto"/>
        </w:rPr>
      </w:pPr>
    </w:p>
    <w:p>
      <w:pPr>
        <w:ind w:left="60" w:right="299" w:firstLine="648"/>
        <w:spacing w:after="0" w:line="312" w:lineRule="auto"/>
        <w:rPr>
          <w:sz w:val="20"/>
          <w:szCs w:val="20"/>
          <w:color w:val="auto"/>
        </w:rPr>
      </w:pPr>
      <w:r>
        <w:rPr>
          <w:rFonts w:ascii="Times New Roman" w:cs="Times New Roman" w:eastAsia="Times New Roman" w:hAnsi="Times New Roman"/>
          <w:sz w:val="17"/>
          <w:szCs w:val="17"/>
          <w:color w:val="auto"/>
        </w:rPr>
        <w:t>Total liabilities of $9.5 billion at March 31, 2024 decreased by $533 million (and decreased by $384 million adjusted for currency) from March 31, 2023, primarily as a result of: a decrease in accounts payable of $366 million due</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to lower costs and the timing of payments; a decrease in other liabilities (non-current) of $118 million due in part to the decrease of deferred taxes; and a decrease in other accrued expenses and liabilities (current) of $102 million due in part to workforce rebalancing payments and partially offset by an increase in accrued contract costs of $142 million due to the timing of vendors’ billings.</w:t>
      </w:r>
    </w:p>
    <w:p>
      <w:pPr>
        <w:spacing w:after="0" w:line="180"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Total equity of $1.1 billion at March 31, 2024 decreased $340 million from March 31, 2023, principally due to our comprehensive loss in the period.</w:t>
      </w:r>
    </w:p>
    <w:p>
      <w:pPr>
        <w:spacing w:after="0" w:line="162"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Overall pension funded status as of March 31, 2024 was 75% of estimated pension benefit obligation, an increase from 74% at March 31,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cash flows from operating, investing and financing activities are summarized in the table below.</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5"/>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0" w:type="dxa"/>
            <w:vAlign w:val="bottom"/>
          </w:tcPr>
          <w:p>
            <w:pPr>
              <w:spacing w:after="0"/>
              <w:rPr>
                <w:sz w:val="1"/>
                <w:szCs w:val="1"/>
                <w:color w:val="auto"/>
              </w:rPr>
            </w:pPr>
          </w:p>
        </w:tc>
      </w:tr>
      <w:tr>
        <w:trPr>
          <w:trHeight w:val="142"/>
        </w:trPr>
        <w:tc>
          <w:tcPr>
            <w:tcW w:w="614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activities</w:t>
            </w:r>
          </w:p>
        </w:tc>
        <w:tc>
          <w:tcPr>
            <w:tcW w:w="4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40" w:type="dxa"/>
            <w:vAlign w:val="bottom"/>
          </w:tcPr>
          <w:p>
            <w:pPr>
              <w:spacing w:after="0"/>
              <w:rPr>
                <w:sz w:val="18"/>
                <w:szCs w:val="18"/>
                <w:color w:val="auto"/>
              </w:rPr>
            </w:pP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Investing activities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16"/>
        </w:trPr>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activities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9"/>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$454 million for the year ended March 31, 2024, compared to net cash provided by operating activities of $781 million for the year ended March 31, 2023. This change was driven by lower cash from working capital, partially offset by our reduced net loss.</w:t>
      </w:r>
    </w:p>
    <w:p>
      <w:pPr>
        <w:spacing w:after="0" w:line="176"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Net cash used by investing activities was $553 million for the year ended March 31, 2024, compared to a net cash use of $835 million for the year ended March 31, 2023 due to lower capital expenditures and the sale of certain fixed assets. Capital expenditures consist of payments for property and equipment, and purchased and internally-developed software.</w:t>
      </w:r>
    </w:p>
    <w:p>
      <w:pPr>
        <w:spacing w:after="0" w:line="180"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Net cash used by financing activities totaled $170 million for the year ended March 31, 2024, compared to net cash used by financing activities of $141 million for the year ended March 31, 2023 mainly driven by higher repayments of finance lease obligations.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right="619" w:firstLine="648"/>
        <w:spacing w:after="0" w:line="282" w:lineRule="auto"/>
        <w:rPr>
          <w:sz w:val="20"/>
          <w:szCs w:val="20"/>
          <w:color w:val="auto"/>
        </w:rPr>
      </w:pPr>
      <w:r>
        <w:rPr>
          <w:rFonts w:ascii="Times New Roman" w:cs="Times New Roman" w:eastAsia="Times New Roman" w:hAnsi="Times New Roman"/>
          <w:sz w:val="18"/>
          <w:szCs w:val="18"/>
          <w:color w:val="auto"/>
        </w:rPr>
        <w:t>We believe that our existing cash and cash equivalents and the Revolving Credit Agreement entered into in October 2021 will be sufficient to meet our anticipated cash needs for at least the next twelve months.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Senior Unsecured Notes</w:t>
      </w:r>
    </w:p>
    <w:p>
      <w:pPr>
        <w:spacing w:after="0" w:line="229" w:lineRule="exact"/>
        <w:rPr>
          <w:sz w:val="20"/>
          <w:szCs w:val="20"/>
          <w:color w:val="auto"/>
        </w:rPr>
      </w:pPr>
    </w:p>
    <w:p>
      <w:pPr>
        <w:ind w:left="60" w:right="199" w:firstLine="648"/>
        <w:spacing w:after="0" w:line="254" w:lineRule="auto"/>
        <w:rPr>
          <w:sz w:val="20"/>
          <w:szCs w:val="20"/>
          <w:color w:val="auto"/>
        </w:rPr>
      </w:pPr>
      <w:r>
        <w:rPr>
          <w:rFonts w:ascii="Times New Roman" w:cs="Times New Roman" w:eastAsia="Times New Roman" w:hAnsi="Times New Roman"/>
          <w:sz w:val="18"/>
          <w:szCs w:val="18"/>
          <w:color w:val="auto"/>
        </w:rPr>
        <w:t>In October 2021, in preparation for our Spin-off, we completed the offering of $2.4 billion in aggregate principal amount of senior unsecured fixed-rate notes as follows: $700 million aggregate principal amount of 2.05% Senior Notes due 2026, $500 million aggregate principal amount of 2.70% Senior Notes due 2028, $650 million aggregate principal amount of 3.15% Senior Notes due 2031 and $550 million aggregate principal amount of 4.10% Senior Notes due 2041 (the “Initial Notes”). The Initial Notes were offered and sold to qualified institutional buyers in reliance on Rule 144A under the Securities Act and to non-U.S. persons in reliance on Regulation S of the Securities Act. In connection with the issuance of the Initial Notes, we entered into a registration rights agreement with the purchasers of the Initial Notes, pursuant to which we completed a registered offering to exchange each series of Initial Notes for new notes with substantially identical terms during the quarter ended September 30, 2022.</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In February 2024, we completed a registered offering of $500 million in aggregate principal amount of 6.35% senior unsecured notes due 2034 (the “2034 Notes”). We received proceeds of $494 million, net of debt issuance costs and discounts, which were capitalized as a reduction to the carrying value of debt and are being amortized as interest expense over the term of the notes. The 2034 Notes are the Company’s senior unsecured obligations and rank equally in right of payment with all of the Company’s other existing and future senior unsecured indebtedness.</w:t>
      </w:r>
    </w:p>
    <w:p>
      <w:pPr>
        <w:spacing w:after="0" w:line="183" w:lineRule="exact"/>
        <w:rPr>
          <w:sz w:val="20"/>
          <w:szCs w:val="20"/>
          <w:color w:val="auto"/>
        </w:rPr>
      </w:pPr>
    </w:p>
    <w:p>
      <w:pPr>
        <w:ind w:left="60" w:right="499" w:firstLine="648"/>
        <w:spacing w:after="0" w:line="282" w:lineRule="auto"/>
        <w:rPr>
          <w:sz w:val="20"/>
          <w:szCs w:val="20"/>
          <w:color w:val="auto"/>
        </w:rPr>
      </w:pPr>
      <w:r>
        <w:rPr>
          <w:rFonts w:ascii="Times New Roman" w:cs="Times New Roman" w:eastAsia="Times New Roman" w:hAnsi="Times New Roman"/>
          <w:sz w:val="18"/>
          <w:szCs w:val="18"/>
          <w:color w:val="auto"/>
        </w:rPr>
        <w:t>The Initial Notes and the 2034 Notes are subject to customary affirmative covenants, negative covenants and events of default for financings of this type and are redeemable at our option in a customary manner.</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Term Loan and Revolving Credit Facility</w:t>
      </w:r>
    </w:p>
    <w:p>
      <w:pPr>
        <w:spacing w:after="0" w:line="229" w:lineRule="exact"/>
        <w:rPr>
          <w:sz w:val="20"/>
          <w:szCs w:val="20"/>
          <w:color w:val="auto"/>
        </w:rPr>
      </w:pPr>
    </w:p>
    <w:p>
      <w:pPr>
        <w:ind w:left="60" w:right="159" w:firstLine="693"/>
        <w:spacing w:after="0" w:line="254" w:lineRule="auto"/>
        <w:rPr>
          <w:sz w:val="20"/>
          <w:szCs w:val="20"/>
          <w:color w:val="auto"/>
        </w:rPr>
      </w:pPr>
      <w:r>
        <w:rPr>
          <w:rFonts w:ascii="Times New Roman" w:cs="Times New Roman" w:eastAsia="Times New Roman" w:hAnsi="Times New Roman"/>
          <w:sz w:val="18"/>
          <w:szCs w:val="18"/>
          <w:color w:val="auto"/>
        </w:rPr>
        <w:t>In October 2021, we entered into a $500 million three-year variable rate term loan credit agreement (the “Term Loan Credit Agreement”), which was scheduled to mature in November 2024. In November 2021, we drew down the full $500 million available under the Term Loan Credit Agreement. The interest rate on this term loan was equal to one-month U.S. Dollar London Interbank Offered Rate (“LIBOR”) plus a margin of 1.125%. In June 2023, we amended the Term Loan Credit Agreement by replacing LIBOR with the Secured Overnight Financing Rate (“SOFR”). The first repricing date using SOFR was in July 2023. In February 2024, the Company used the net proceeds from the offering of the 2034 Notes, together with cash on hand, to prepay the full amount outstanding under the Term Loan Credit Agreement, at no penalty.</w:t>
      </w:r>
    </w:p>
    <w:p>
      <w:pPr>
        <w:spacing w:after="0" w:line="192"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October 2021, we entered into a $3.15 billion multi-currency revolving credit agreement (the “Revolving Credit Agreement”), which expires, unless extended, in October 2026. The Revolving Credit Agreement was amended in June 2023, replacing LIBOR with SOFR. Interest rates on borrowings under the Revolving Credit Agreement will be based on prevailing market interest rates, plus a margin, as further described in the Revolving Credit Agreement.</w:t>
      </w:r>
    </w:p>
    <w:p>
      <w:pPr>
        <w:spacing w:after="0" w:line="180"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The total facility fees recorded by the Company for the Revolving Credit Agreement were $5 million for the years ended March 31, 2024 and 2023. Facility fees were immaterial for the three months ended March 31, 2022 and the year ended December 31, 2021. As of March 31, 2024, there has been no drawdown on the Revolving Credit Agreement.</w:t>
      </w:r>
    </w:p>
    <w:p>
      <w:pPr>
        <w:spacing w:after="0" w:line="176"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Revolving Credit Agreement includes certain customary mandatory prepayment provisions. In addition, it includes customary events of default and affirmative and negative covenants as well as a maintenance covenant that will require that the ratio of our indebtedness for borrowed money to consolidated EBITDA (as defined in the Revolving Credit Agreement) for any period of four consecutive fiscal quarters be no greater than 3.50 to 1.00. The Company is in compliance with its debt covenants.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Transfers of Financial Assets</w:t>
      </w:r>
    </w:p>
    <w:p>
      <w:pPr>
        <w:spacing w:after="0" w:line="229"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Company has entered into agreements with third-party financial institutions to sell certain financial assets (primarily trade receivables) without recourse. The Company has determined these are true sales. The carrying value of the financial asset sold is derecognized, and a net gain or loss on the sale is recognized, at the time of the transfer. The first agreement, which was executed in November 2021 and subsequently amended, enabled us to sell certain of our trade receivables to the counterparty. The initial term of this agreement was 18 months, and the agreement automatically resets to a term of 18 months after every six months, unless either party elects not to extend. The second agreement was executed in June 2022 with a separate third-party financial institution and renews automatically on its anniversary date.</w:t>
      </w:r>
    </w:p>
    <w:p>
      <w:pPr>
        <w:spacing w:after="0" w:line="189" w:lineRule="exact"/>
        <w:rPr>
          <w:sz w:val="20"/>
          <w:szCs w:val="20"/>
          <w:color w:val="auto"/>
        </w:rPr>
      </w:pPr>
    </w:p>
    <w:p>
      <w:pPr>
        <w:ind w:left="60" w:right="299" w:firstLine="648"/>
        <w:spacing w:after="0" w:line="258" w:lineRule="auto"/>
        <w:rPr>
          <w:sz w:val="20"/>
          <w:szCs w:val="20"/>
          <w:color w:val="auto"/>
        </w:rPr>
      </w:pPr>
      <w:r>
        <w:rPr>
          <w:rFonts w:ascii="Times New Roman" w:cs="Times New Roman" w:eastAsia="Times New Roman" w:hAnsi="Times New Roman"/>
          <w:sz w:val="18"/>
          <w:szCs w:val="18"/>
          <w:color w:val="auto"/>
        </w:rPr>
        <w:t>The net proceeds from these arrangements are reflected as cash provided by operating activities in the Consolidated Statement of Cash Flows. Gross proceeds from receivables sold to third parties under the aforementioned programs were $3.6 billion for the year ended March 31, 2024 and $3.1 billion for the year ended March 31, 2023. The fees associated with the transfers of receivables were $49 million for the year ended March 31, 2024 and $47 million for the year ended March 31, 2023.</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Supplier Financing Program</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In the year ended March 31, 2024, the Company initiated a supplier financing program with a third-party financial institution under which the Company agrees to pay the financial institution the stated amounts of invoices from participating suppliers on the originally invoiced due date, which have an average term of 90 to 120 days. The financial institution offers earlier payment of the invoices at the sole discretion of the supplier for a discounted amount. The Company does not provide secured legal assets or other forms of guarantees under the arrangements. The Company is not a party to the arrangement between its suppliers and the financial institution. The Company or the financial institution may terminate the agreement upon at least 180 days notice. The Company’s obligations under this program continue to be recognized as accounts payable in the Consolidated Balance Sheet. The obligations outstanding under this program at March 31, 2024 were immaterial.</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 and Contractual Obligations</w:t>
      </w:r>
    </w:p>
    <w:p>
      <w:pPr>
        <w:spacing w:after="0" w:line="202"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may enter into (i) off-balance sheet arrangements as defined by SEC Financial Reporting Release 67 (FRR-67), “Disclosure in Management’s Discussion and Analysis about Off-Balance Sheet Arrangements and Aggregate Contractual Obligations” or (ii) purchase commitments, which we expect to use in the ordinary course of business.</w:t>
      </w:r>
    </w:p>
    <w:p>
      <w:pPr>
        <w:spacing w:after="0" w:line="180" w:lineRule="exact"/>
        <w:rPr>
          <w:sz w:val="20"/>
          <w:szCs w:val="20"/>
          <w:color w:val="auto"/>
        </w:rPr>
      </w:pPr>
    </w:p>
    <w:p>
      <w:pPr>
        <w:ind w:left="60" w:right="399" w:firstLine="648"/>
        <w:spacing w:after="0" w:line="281" w:lineRule="auto"/>
        <w:rPr>
          <w:sz w:val="20"/>
          <w:szCs w:val="20"/>
          <w:color w:val="auto"/>
        </w:rPr>
      </w:pPr>
      <w:r>
        <w:rPr>
          <w:rFonts w:ascii="Times New Roman" w:cs="Times New Roman" w:eastAsia="Times New Roman" w:hAnsi="Times New Roman"/>
          <w:sz w:val="17"/>
          <w:szCs w:val="17"/>
          <w:color w:val="auto"/>
        </w:rPr>
        <w:t>At March 31, 2024 and March 31, 2023, we had no such off-balance sheet arrangements that have, or are reasonably likely to have, a material current or future effect on our financial condition, changes in financial condition, revenues or expenses, results of operations, liquidity, capital expenditures or capital resources. We do not have retained interests in assets transferred to unconsolidated entities or other material off-balance sheet interests or instruments.</w:t>
      </w:r>
    </w:p>
    <w:p>
      <w:pPr>
        <w:spacing w:after="0" w:line="164"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At March 31, 2024, the Company’s material future contractual obligations were primarily related to leases, debt and pension liabilities. See Note 9 – Leases, Note 11 – Borrowings, Note 12 – Other Liabilities and Note 16 – Retirement-Related Benefits of Notes to the Company’s consolidated financial statements. Additionally, the Company has contractual commitments that are noncancellable with certain software, hardware and cloud partners used in the delivery of services to customers. Certain of these commitments were allocated to the Company as part of the Separation from its former Parent. The Company has determined that these commitments may exceed the Company’s needs over the next two to three years. If the Company is unable to satisfy, reduce or amend its contractual commitments, it will record the future charges for any payments related to excess commitments as cost of services. At March 31, 2024, we had short-term (April 2024 through March 2025), mid-term (April 2025 through March 2027) and long-term (April 2027 onward) purchase commitments in the amount of $0.6 billion, $0.4 billion and $0.4 billion, respectively.</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Signings</w:t>
      </w:r>
    </w:p>
    <w:p>
      <w:pPr>
        <w:spacing w:after="0" w:line="229" w:lineRule="exact"/>
        <w:rPr>
          <w:sz w:val="20"/>
          <w:szCs w:val="20"/>
          <w:color w:val="auto"/>
        </w:rPr>
      </w:pPr>
    </w:p>
    <w:p>
      <w:pPr>
        <w:ind w:left="60" w:right="5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signings for the years ended March 31, 2024 and 2023, and the twelve months ended March 31, 2022.</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center"/>
              <w:ind w:right="205"/>
              <w:spacing w:after="0"/>
              <w:rPr>
                <w:sz w:val="20"/>
                <w:szCs w:val="20"/>
                <w:color w:val="auto"/>
              </w:rPr>
            </w:pPr>
            <w:r>
              <w:rPr>
                <w:rFonts w:ascii="Times New Roman" w:cs="Times New Roman" w:eastAsia="Times New Roman" w:hAnsi="Times New Roman"/>
                <w:sz w:val="14"/>
                <w:szCs w:val="14"/>
                <w:b w:val="1"/>
                <w:bCs w:val="1"/>
                <w:color w:val="auto"/>
              </w:rPr>
              <w:t>Twelve</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center"/>
              <w:ind w:right="205"/>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center"/>
              <w:ind w:right="205"/>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center"/>
              <w:ind w:right="205"/>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25"/>
        </w:trPr>
        <w:tc>
          <w:tcPr>
            <w:tcW w:w="3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180" w:type="dxa"/>
            <w:vAlign w:val="bottom"/>
            <w:vMerge w:val="restart"/>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vMerge w:val="restart"/>
          </w:tcPr>
          <w:p>
            <w:pPr>
              <w:jc w:val="center"/>
              <w:ind w:right="20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142"/>
        </w:trPr>
        <w:tc>
          <w:tcPr>
            <w:tcW w:w="376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vMerge w:val="continue"/>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5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signings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4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Signings increased by $332 million, or 3%, in the year ended March 31, 2024, compared to the prior year. Signings decreased by $2.0 billion, or 14%, for the year ended March 31, 2023 compared to the twelve months ended March 31, 2022, in part due to a six-point negative currency impact on signings. Signings also declined as a result of an increased focus on higher-margin services, which tend to be shorter in length and therefore smaller in value than historical agreements.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648"/>
        <w:spacing w:after="0" w:line="253" w:lineRule="auto"/>
        <w:rPr>
          <w:sz w:val="20"/>
          <w:szCs w:val="20"/>
          <w:color w:val="auto"/>
        </w:rPr>
      </w:pPr>
      <w:r>
        <w:rPr>
          <w:rFonts w:ascii="Times New Roman" w:cs="Times New Roman" w:eastAsia="Times New Roman" w:hAnsi="Times New Roman"/>
          <w:sz w:val="18"/>
          <w:szCs w:val="18"/>
          <w:color w:val="auto"/>
        </w:rPr>
        <w:t>Management uses signings as a tool to monitor the performance of the business including the business’ ability to attract new customers and sell additional scope into our existing customer base. There are no third-party standards or requirements governing the calculation of signings. We define signings as an initial estimate of the value of a customer’s commitment under a contract. The calculation involves estimates and judgments to gauge the extent of a customer’s commitment, including the type and duration of the agreement and the presence of termination charges or wind-down costs. Contract extensions and increases in scope are treated as signings only to the extent of the incremental new value. Signings can vary over time due to a variety of factors including, but not limited to, the timing of signing a small number of larger outsourcing contracts as well as the length of those contracts. The conversion of signings into revenue may vary based on the types of services and solutions, customer decisions and other factors, which may include, but are not limited to, the macroeconomic environment or external events.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02"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The application of U.S. GAAP requires us to make estimates and assumptions about certain items and future events that directly affect our reported financial condition. The accounting estimates and assumptions discussed in this section are those that we consider to be the most critical to our financial statements. Our significant accounting policies are described in Note 1 – Significant Accounting Policies to our consolidated financial statements.</w:t>
      </w:r>
    </w:p>
    <w:p>
      <w:pPr>
        <w:spacing w:after="0" w:line="180"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A quantitative sensitivity analysis is provided where that information is reasonably available, can be reliably estimated and provides material information to investors. The amounts used to assess sensitivity (e.g., 1 percent, 10 percent, etc.) are included to allow users of this report to understand a general effect of changes in the estimates and do not represent management’s predictions of variability. For all of these estimates, it should be noted that future events rarely develop exactly as forecasted and estimates require regular review and adjustment.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left="60" w:right="199" w:firstLine="648"/>
        <w:spacing w:after="0" w:line="254" w:lineRule="auto"/>
        <w:rPr>
          <w:sz w:val="20"/>
          <w:szCs w:val="20"/>
          <w:color w:val="auto"/>
        </w:rPr>
      </w:pPr>
      <w:r>
        <w:rPr>
          <w:rFonts w:ascii="Times New Roman" w:cs="Times New Roman" w:eastAsia="Times New Roman" w:hAnsi="Times New Roman"/>
          <w:sz w:val="18"/>
          <w:szCs w:val="18"/>
          <w:color w:val="auto"/>
        </w:rPr>
        <w:t>Application of GAAP related to the measurement and recognition of revenue requires us to make judgments and estimates. Specifically, complex arrangements with nonstandard terms and conditions may require significant contract interpretation to determine the appropriate accounting, including whether promised goods and services specified in an arrangement are separate performance obligations. In certain arrangements, revenue is recognized based on progress toward completion of the performance obligation using a cost-to-cost measure of progress. The estimation of future costs, which is updated as the project progresses, is complex and requires us to make judgments. Other significant judgments include determining whether we are acting as the principal in a transaction and whether separate contracts should be combined and considered part of one arrangement.</w:t>
      </w:r>
    </w:p>
    <w:p>
      <w:pPr>
        <w:spacing w:after="0" w:line="192"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Revenue recognition is also impacted by our ability to determine when a contract is probable of collection and to estimate variable consideration, including, for example, rebates, price concessions, service-level penalties and performance bonuses. We consider various factors when making these judgments, including a review of specific transactions, historical experience and market and economic conditions. Evaluations are conducted each quarter to assess the adequacy of the estimates.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Costs to Complete Service Contracts</w:t>
      </w:r>
    </w:p>
    <w:p>
      <w:pPr>
        <w:spacing w:after="0" w:line="22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During the contractual period, revenue, cost and profits may be impacted by estimates of the ultimate profitability of each contract, especially contracts for which we use cost-to-cost method to measure progress. The Company performs ongoing profitability analyses of its design-and-build services contracts accounted for using a cost-to-cost measure of progress to determine whether the latest estimates of revenues, costs and profits require updating. If at any time these estimates indicate that the contract will be unprofitable on a gross-margin basis, the entire estimated loss for the remainder of the contract is recorded immediately. For other types of services contracts, any losses are recorded as incurred. Key factors reviewed to estimate the future costs to complete each contract are future labor costs, product costs and expected productivity efficiencies.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Capitalization of Contract Costs</w:t>
      </w:r>
    </w:p>
    <w:p>
      <w:pPr>
        <w:spacing w:after="0" w:line="229"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services arrangements, we incur and capitalize direct costs for transition and setup activities performed at the inception of these long-term contracts that are necessary to enable us to perform under the terms of the arrangement. These costs are capitalized and are amortized on a straight-line basis over the expected period of benefit. We perform periodic reviews to assess the recoverability of deferred contract transition and setup costs. To assess recoverability, undiscounted estimated cash flows of the contract are projected over its remaining life and compared to the carrying amount of contract-related assets, including the unamortized deferred cost balance. Such estimates require judgment and assumptions, and actual future cash flows could differ from these estimates. A significant change in an estimate or assumption on one or more contracts could have a material effect on our results of operations.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Retirement-related Benefit Plan Assumptions</w:t>
      </w:r>
    </w:p>
    <w:p>
      <w:pPr>
        <w:spacing w:after="0" w:line="229" w:lineRule="exact"/>
        <w:rPr>
          <w:sz w:val="20"/>
          <w:szCs w:val="20"/>
          <w:color w:val="auto"/>
        </w:rPr>
      </w:pPr>
    </w:p>
    <w:p>
      <w:pPr>
        <w:ind w:left="60" w:right="539" w:firstLine="648"/>
        <w:spacing w:after="0" w:line="266" w:lineRule="auto"/>
        <w:rPr>
          <w:sz w:val="20"/>
          <w:szCs w:val="20"/>
          <w:color w:val="auto"/>
        </w:rPr>
      </w:pPr>
      <w:r>
        <w:rPr>
          <w:rFonts w:ascii="Times New Roman" w:cs="Times New Roman" w:eastAsia="Times New Roman" w:hAnsi="Times New Roman"/>
          <w:sz w:val="18"/>
          <w:szCs w:val="18"/>
          <w:color w:val="auto"/>
        </w:rPr>
        <w:t>For Company-sponsored and co-sponsored defined benefit pension plans, the measurement of the benefit obligation to plan participants and net periodic benefit cost requires the use of certain assumptions, including, among others, estimates of discount rates and expected return on plan assets.</w:t>
      </w:r>
    </w:p>
    <w:p>
      <w:pPr>
        <w:spacing w:after="0" w:line="176"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Changes in the discount rate assumptions would impact the actuarial (gain)/loss amortization, service cost and interest cost components of the net periodic benefit cost calculation and the projected benefit obligation (PBO). If the average discount rate assumption for the non-U.S. defined benefit pension plans had increased or decreased by 25-basis-points from 3.30% on March 31, 2024, this would not result in a material change to pretax net periodic benefit cost recognized in fiscal 2025. Further changes in the discount rate assumptions would impact the PBO which, in turn, may impact our funding decisions if the PBO exceeds plan assets. A 25-basis-point increase or decrease in the discount rate would result in an approximate corresponding decrease or increase, respectively, of approximately $42 million in the Plans’ estimated PBO and accumulated postretirement benefit obligation (APBO) based upon March 31, 2024 data.</w:t>
      </w:r>
    </w:p>
    <w:p>
      <w:pPr>
        <w:spacing w:after="0" w:line="192" w:lineRule="exact"/>
        <w:rPr>
          <w:sz w:val="20"/>
          <w:szCs w:val="20"/>
          <w:color w:val="auto"/>
        </w:rPr>
      </w:pPr>
    </w:p>
    <w:p>
      <w:pPr>
        <w:ind w:left="60" w:right="199" w:firstLine="648"/>
        <w:spacing w:after="0" w:line="254" w:lineRule="auto"/>
        <w:rPr>
          <w:sz w:val="20"/>
          <w:szCs w:val="20"/>
          <w:color w:val="auto"/>
        </w:rPr>
      </w:pPr>
      <w:r>
        <w:rPr>
          <w:rFonts w:ascii="Times New Roman" w:cs="Times New Roman" w:eastAsia="Times New Roman" w:hAnsi="Times New Roman"/>
          <w:sz w:val="18"/>
          <w:szCs w:val="18"/>
          <w:color w:val="auto"/>
        </w:rPr>
        <w:t>The expected long-term return on plan assets assumption is used in calculating the net periodic benefit cost. Expected returns on plan assets are calculated based on the market-related value of plan assets, which recognizes changes in the fair value of plan assets systematically over a five-year period in the expected return on plan assets line in net periodic benefit cost. The differences between the actual return on plan assets and the expected long-term return on plan assets are recognized over five years in the expected return on plan assets line in net periodic benefit cost and also as a component of actuarial (gains)/losses, which are recognized over the service lives or life expectancy of the participants, depending on the plan, provided such amounts exceed thresholds which are based upon the benefit obligation or the value of plan assets, as provided by accounting standards.</w:t>
      </w:r>
    </w:p>
    <w:p>
      <w:pPr>
        <w:spacing w:after="0" w:line="192" w:lineRule="exact"/>
        <w:rPr>
          <w:sz w:val="20"/>
          <w:szCs w:val="20"/>
          <w:color w:val="auto"/>
        </w:rPr>
      </w:pPr>
    </w:p>
    <w:p>
      <w:pPr>
        <w:ind w:left="60" w:right="359" w:firstLine="648"/>
        <w:spacing w:after="0" w:line="281" w:lineRule="auto"/>
        <w:rPr>
          <w:sz w:val="20"/>
          <w:szCs w:val="20"/>
          <w:color w:val="auto"/>
        </w:rPr>
      </w:pPr>
      <w:r>
        <w:rPr>
          <w:rFonts w:ascii="Times New Roman" w:cs="Times New Roman" w:eastAsia="Times New Roman" w:hAnsi="Times New Roman"/>
          <w:sz w:val="17"/>
          <w:szCs w:val="17"/>
          <w:color w:val="auto"/>
        </w:rPr>
        <w:t>To the extent the outlook for long-term returns changes such that management changes its expected long-term return on plan assets assumption, a 25-basis-point increase or decrease in the expected long-term return on plan assets assumption would not have a material estimated decrease or increase on the following year’s pretax net periodic benefit cost (based upon plan assets at March 31, 2024 and expected contributions and benefit payments for fiscal 2025).</w:t>
      </w:r>
    </w:p>
    <w:p>
      <w:pPr>
        <w:spacing w:after="0" w:line="164"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We may voluntarily make contributions or be required, by law, to make contributions to our pension plans. Actual results that differ from the estimates may result in more or less future funding into the pension plans than is planned by management. Impacts of these types of changes on our pension plans would vary depending upon the status of each respective plan.</w:t>
      </w:r>
    </w:p>
    <w:p>
      <w:pPr>
        <w:spacing w:after="0" w:line="180" w:lineRule="exact"/>
        <w:rPr>
          <w:sz w:val="20"/>
          <w:szCs w:val="20"/>
          <w:color w:val="auto"/>
        </w:rPr>
      </w:pPr>
    </w:p>
    <w:p>
      <w:pPr>
        <w:ind w:left="60" w:right="419"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above, we evaluate other pension assumptions involving demographic factors, such as retirement age and mortality and update these assumptions to reflect experience and expectations for the future. Actual results in any given year can differ from actuarial assumptions because of economic and other factors.</w:t>
      </w:r>
    </w:p>
    <w:p>
      <w:pPr>
        <w:spacing w:after="0" w:line="176" w:lineRule="exact"/>
        <w:rPr>
          <w:sz w:val="20"/>
          <w:szCs w:val="20"/>
          <w:color w:val="auto"/>
        </w:rPr>
      </w:pPr>
    </w:p>
    <w:p>
      <w:pPr>
        <w:ind w:left="60" w:right="719" w:firstLine="648"/>
        <w:spacing w:after="0" w:line="282" w:lineRule="auto"/>
        <w:rPr>
          <w:sz w:val="20"/>
          <w:szCs w:val="20"/>
          <w:color w:val="auto"/>
        </w:rPr>
      </w:pPr>
      <w:r>
        <w:rPr>
          <w:rFonts w:ascii="Times New Roman" w:cs="Times New Roman" w:eastAsia="Times New Roman" w:hAnsi="Times New Roman"/>
          <w:sz w:val="18"/>
          <w:szCs w:val="18"/>
          <w:color w:val="auto"/>
        </w:rPr>
        <w:t>For additional information on our pension plans and the development of these assumptions, see Note 16 – Retirement-Related Benefits to our consolidated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Prior to the Separation, our operations were included in the consolidated U.S. federal and certain state and local and foreign income tax returns filed by IBM. The Company also filed certain separate foreign income tax returns. Income tax liabilities including amounts for unrecognized tax benefits related to our activities included in IBM’s income tax returns were deemed to be immediately settled with IBM through the Net Parent investment account in the Consolidated Balance Sheet and reflected in Net transfers from Parent in the financing activities section in the Consolidated Statement of Cash Flows. For purposes of the financial statements presented on a “carve-out” basis, the income tax provisions were calculated as if we filed separate tax returns and include transactions related to our Separation attributed to us, even if the related tax liabilities were our former Parent’s responsibility.</w:t>
      </w:r>
    </w:p>
    <w:p>
      <w:pPr>
        <w:spacing w:after="0" w:line="192"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Prior to the Separation, the Company recorded deferred tax assets for stock-based compensation awards that result in tax deductions in the consolidated financial statements calculated using the separate return basis, the amount of compensation cost recognized and the relevant statutory tax rates. Post-Separation, the differences between the deferred tax assets recognized for financial reporting purposes and the actual tax deduction reported on the Company’s income tax return are recorded as a benefit or expense to the provision for income taxes in the Consolidated Income Statement.</w:t>
      </w:r>
    </w:p>
    <w:p>
      <w:pPr>
        <w:spacing w:after="0" w:line="183"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Post-Separation, our income tax provisions are calculated based on Kyndryl’s operating footprint, as well as our tax return elections and assertions. Liabilities related to unrecognized tax benefits for which the Company is liable are reported within the Consolidated Balance Sheet based upon tax authorities’ ability to assert the Company may be the primary obligor for historical taxes, among other factors. Significant judgment is required in determining any valuation allowance recorded against deferred tax assets. In assessing the need for a valuation allowance, management considers all available evidence for each jurisdiction including past operating results, estimates of future taxable income and the feasibility of ongoing tax planning strategies and actions. In the event that we change our determination as to the amount of deferred tax assets that can be realized, we will adjust the valuation allowance with a corresponding impact to income tax expense in the period in which such determination is made.</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Valuation of Assets</w:t>
      </w:r>
    </w:p>
    <w:p>
      <w:pPr>
        <w:spacing w:after="0" w:line="22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application of valuation and impairment accounting requires the use of significant estimates and assumptions. Impairment testing for assets, other than goodwill, requires the allocation of cash flows to those assets or group of assets and if required, an estimate of fair value for the assets or group of assets. Our estimates are based upon assumptions believed to be reasonable, but which are inherently uncertain and unpredictable. These valuations require the use of management’s assumptions, which would not reflect unanticipated events and circumstances that may occur. Assumptions used to perform a recoverability test are consistent with those used for goodwill impairment; see “Valuation of Goodwill” for further detail.</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Valuation of Goodwill</w:t>
      </w:r>
    </w:p>
    <w:p>
      <w:pPr>
        <w:spacing w:after="0" w:line="229"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We review goodwill for impairment annually and whenever events or changes in circumstances indicate the carrying value of goodwill may not be recoverable by first assessing qualitative factors to determine if it is more likely than not that fair value is less than carrying value.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59" w:firstLine="648"/>
        <w:spacing w:after="0" w:line="266" w:lineRule="auto"/>
        <w:rPr>
          <w:sz w:val="20"/>
          <w:szCs w:val="20"/>
          <w:color w:val="auto"/>
        </w:rPr>
      </w:pPr>
      <w:r>
        <w:rPr>
          <w:rFonts w:ascii="Times New Roman" w:cs="Times New Roman" w:eastAsia="Times New Roman" w:hAnsi="Times New Roman"/>
          <w:sz w:val="18"/>
          <w:szCs w:val="18"/>
          <w:color w:val="auto"/>
        </w:rPr>
        <w:t>We assess qualitative factors in each of our reporting units that carry goodwill including relevant events and circumstances that affect the fair value of reporting units. Examples include, but are not limited to, macroeconomic, industry and market conditions, as well as other individual factors such as:</w:t>
      </w:r>
    </w:p>
    <w:p>
      <w:pPr>
        <w:spacing w:after="0" w:line="176" w:lineRule="exact"/>
        <w:rPr>
          <w:sz w:val="20"/>
          <w:szCs w:val="20"/>
          <w:color w:val="auto"/>
        </w:rPr>
      </w:pPr>
    </w:p>
    <w:p>
      <w:pPr>
        <w:ind w:left="760" w:hanging="332"/>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adverse shift in the operating environment of the reporting unit such as unanticipated competition;</w:t>
      </w:r>
    </w:p>
    <w:p>
      <w:pPr>
        <w:spacing w:after="0" w:line="198"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pending litigation;</w:t>
      </w:r>
    </w:p>
    <w:p>
      <w:pPr>
        <w:spacing w:after="0" w:line="184"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loss of key personnel;</w:t>
      </w:r>
    </w:p>
    <w:p>
      <w:pPr>
        <w:spacing w:after="0" w:line="184" w:lineRule="exact"/>
        <w:rPr>
          <w:rFonts w:ascii="Times New Roman" w:cs="Times New Roman" w:eastAsia="Times New Roman" w:hAnsi="Times New Roman"/>
          <w:sz w:val="18"/>
          <w:szCs w:val="18"/>
          <w:color w:val="auto"/>
        </w:rPr>
      </w:pPr>
    </w:p>
    <w:p>
      <w:pPr>
        <w:ind w:left="760" w:right="139" w:hanging="332"/>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more-likely-than-not expectation that a reporting unit or a significant portion of a reporting unit will be sold or otherwise disposed of; and</w:t>
      </w:r>
    </w:p>
    <w:p>
      <w:pPr>
        <w:spacing w:after="0" w:line="134" w:lineRule="exact"/>
        <w:rPr>
          <w:rFonts w:ascii="Times New Roman" w:cs="Times New Roman" w:eastAsia="Times New Roman" w:hAnsi="Times New Roman"/>
          <w:sz w:val="18"/>
          <w:szCs w:val="18"/>
          <w:color w:val="auto"/>
        </w:rPr>
      </w:pPr>
    </w:p>
    <w:p>
      <w:pPr>
        <w:ind w:left="760" w:hanging="332"/>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adverse action or assessment by a regulator.</w:t>
      </w:r>
    </w:p>
    <w:p>
      <w:pPr>
        <w:spacing w:after="0" w:line="185"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We assess these qualitative factors to determine whether it is necessary to perform the quantitative goodwill impairment test. This quantitative test is required only if we conclude that it is more likely than not that a reporting unit’s fair value is less than its carrying amount.</w:t>
      </w:r>
    </w:p>
    <w:p>
      <w:pPr>
        <w:spacing w:after="0" w:line="176"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If a quantitative test is required, we use an income-based approach where fair value is determined using a discounted cash flow model that requires significant judgment with respect to revenue and growth rates, based upon annual budgets and long-term strategic plans. Fair value estimates employed in our annual impairment review of goodwill involve using various assumptions. Assumptions critical to our fair value were discount rates used in determining the fair value of the reporting unit, expected revenue growth and projected EBITDA margins. These and other assumptions are impacted by economic conditions and expectations of management and may change based on different facts and circumstances. We believe the assumptions used to estimate future cash flows are reasonable, but there can be no assurance that the expected cash flows will be realized. The use of different assumptions would increase or decrease discounted cash flows or earnings projections and therefore, could change impairment determinations.</w:t>
      </w:r>
    </w:p>
    <w:p>
      <w:pPr>
        <w:spacing w:after="0" w:line="188" w:lineRule="exact"/>
        <w:rPr>
          <w:sz w:val="20"/>
          <w:szCs w:val="20"/>
          <w:color w:val="auto"/>
        </w:rPr>
      </w:pPr>
    </w:p>
    <w:p>
      <w:pPr>
        <w:ind w:left="60" w:right="159" w:firstLine="648"/>
        <w:spacing w:after="0" w:line="274" w:lineRule="auto"/>
        <w:rPr>
          <w:sz w:val="20"/>
          <w:szCs w:val="20"/>
          <w:color w:val="auto"/>
        </w:rPr>
      </w:pPr>
      <w:r>
        <w:rPr>
          <w:rFonts w:ascii="Times New Roman" w:cs="Times New Roman" w:eastAsia="Times New Roman" w:hAnsi="Times New Roman"/>
          <w:sz w:val="17"/>
          <w:szCs w:val="17"/>
          <w:color w:val="auto"/>
        </w:rPr>
        <w:t>In conjunction with our annual review of goodwill for impairment, we prepared qualitative and quantitative valuation analysis as of January 1, 2024. For the reporting units subject to quantitative tests, we determined that their fair values exceeded their book values by over 100%. We also performed a sensitivity analysis on the calculation of fair value using discounted cash flows. A hypothetical 100-basis-point increase in the discount rate or a hypothetical 100-basis-point decline in revenue growth rate, combined with no other changes to other inputs and assumptions used in the analysis, would not result in a potential impairment. See Note 10 – Intangible Assets Including Goodwill for further discussion.</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Loss Contingencies</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We are currently involved in various claims and legal proceedings. At least quarterly, we review the status of each significant matter and assess our potential financial exposure. If the potential loss from any claim or legal proceeding is considered probable and the amount can be reasonably estimated, we accrue a liability for the estimated loss.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we reassess the potential liability related to our pending claims and litigation and may revise our estimates. These revisions in the estimates of the potential liabilities could have a material impact on our results of operations and financial position.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 in Accounting Estimate</w:t>
      </w:r>
    </w:p>
    <w:p>
      <w:pPr>
        <w:spacing w:after="0" w:line="229" w:lineRule="exact"/>
        <w:rPr>
          <w:sz w:val="20"/>
          <w:szCs w:val="20"/>
          <w:color w:val="auto"/>
        </w:rPr>
      </w:pPr>
    </w:p>
    <w:p>
      <w:pPr>
        <w:ind w:left="60" w:right="259" w:firstLine="648"/>
        <w:spacing w:after="0" w:line="289" w:lineRule="auto"/>
        <w:rPr>
          <w:sz w:val="20"/>
          <w:szCs w:val="20"/>
          <w:color w:val="auto"/>
        </w:rPr>
      </w:pPr>
      <w:r>
        <w:rPr>
          <w:rFonts w:ascii="Times New Roman" w:cs="Times New Roman" w:eastAsia="Times New Roman" w:hAnsi="Times New Roman"/>
          <w:sz w:val="17"/>
          <w:szCs w:val="17"/>
          <w:color w:val="auto"/>
        </w:rPr>
        <w:t>In March 2024, we completed our assessment of the useful lives of our property, plant and equipment. Based on our usage experience and data analysis, we determined we should increase the estimated useful lives of our information technology equipment from five to six years. This change in accounting estimate will be effective beginning April 1,</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2024 and applied on a prospective basis to the assets on our balance sheet as of March 31, 2024, as well as future asset purchases. Based on the carrying value of information technology equipment included in property, plant and equipment, net in our Consolidated Balance Sheet as of March 31, 2024, we estimate this change will decrease non-cash depreciation expense in fiscal year 2025 by approximately $180 million.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All statements other than statements of historical fact included in this report, including statements concerning the Company’s plans, objectives, goals, beliefs, business strategies, future events, business condition, results of operations, financial position, business outlook and business trends and other non-historical statements in this report are forward-looking statements. Such forward-looking statements often contain words such as “aim,” “anticipate,” “believe,” “contemplate,” “could,” “estimate,” “expect,” “forecast,” “intend,” “may,” “opportunity,” “plan,” “position,” “predict,” “project,” “should,” “seek,” “target,” “will,” “would,” and other similar words or expressions or the negative thereof or other variations thereon. Forward-looking statements are based on the Company’s current assumptions and beliefs regarding future business and financial performance. The Company’s actual business, financial condition or results of operations may differ materially from those suggested by forward-looking statements as a result of risks and uncertainties which include, among others:</w:t>
      </w:r>
    </w:p>
    <w:p>
      <w:pPr>
        <w:spacing w:after="0" w:line="192" w:lineRule="exact"/>
        <w:rPr>
          <w:sz w:val="20"/>
          <w:szCs w:val="20"/>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attract new customers, retain existing customers or sell additional services to customers;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growth and productivity objectives;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relationships with critical suppliers and partners;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address and adapt to technological developments and trends;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attract and retain key personnel and other skilled employees;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economic, political, public health and other conditions;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the Company’s reputation;</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accurately estimate the cost of services and the timeline for completion of contracts;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delivery issues;</w:t>
      </w:r>
    </w:p>
    <w:p>
      <w:pPr>
        <w:spacing w:after="0" w:line="9" w:lineRule="exact"/>
        <w:rPr>
          <w:rFonts w:ascii="Times New Roman" w:cs="Times New Roman" w:eastAsia="Times New Roman" w:hAnsi="Times New Roman"/>
          <w:sz w:val="18"/>
          <w:szCs w:val="18"/>
          <w:color w:val="auto"/>
        </w:rPr>
      </w:pPr>
    </w:p>
    <w:p>
      <w:pPr>
        <w:ind w:left="720" w:right="439" w:hanging="319"/>
        <w:spacing w:after="0" w:line="250"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manage acquisitions and dispositions, including integration challenges, failure to achieve objectives, the assumption of liabilities and higher debt levels;</w:t>
      </w: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business with government customers;</w:t>
      </w:r>
    </w:p>
    <w:p>
      <w:pPr>
        <w:spacing w:after="0" w:line="9" w:lineRule="exact"/>
        <w:rPr>
          <w:rFonts w:ascii="Times New Roman" w:cs="Times New Roman" w:eastAsia="Times New Roman" w:hAnsi="Times New Roman"/>
          <w:sz w:val="18"/>
          <w:szCs w:val="18"/>
          <w:color w:val="auto"/>
        </w:rPr>
      </w:pPr>
    </w:p>
    <w:p>
      <w:pPr>
        <w:ind w:left="720" w:right="639" w:hanging="319"/>
        <w:spacing w:after="0" w:line="250"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Company’s intellectual property rights to prevent competitive offerings and the failure of the Company to obtain, retain and extend necessary licenses;</w:t>
      </w: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impairment of our goodwill or long-lived assets;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cybersecurity, data governance and privacy;</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non-compliance with legal and regulatory requirements;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from tax matters and environmental matters;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and investigatory risks and potential indemnification obligations;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changes in market liquidity conditions and customer credit risk on receivables;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pension plans;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currency fluctuations;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Company’s spin-off from IBM;</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deficiencies identified in our information technology general control;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Company’s common stock and the securities market.</w:t>
      </w:r>
    </w:p>
    <w:p>
      <w:pPr>
        <w:spacing w:after="0" w:line="207"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Additional risks and uncertainties include, among others, those risks and uncertainties described in the “Risk Factors” section of this report, as such factors may be updated from time to time in the Company’s subsequent filings with the SEC. Any forward-looking statement in this report speaks only as of the date on which it is made. Except as required by law, the Company assumes no obligation to update or revise any forward-looking statements, whether as a result of new information, future events or otherwise.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Currency Rate Fluctuations</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Changes in the relative values of non-U.S. currencies to the U.S. dollar affect our financial results and financial position. At March 31, 2024, currency changes resulted in assets and liabilities denominated in local currencies being translated into fewer dollars than the prior year. At March 31, 2023, currency changes resulted in assets and liabilities denominated in local currencies being translated into fewer dollars than the prior year. During periods of sustained movements in currency, the marketplace and competition adjust to the changing rates. Large changes in currency exchange rates relative to our functional currencies could increase the costs of our services to customers relative to local competitors, thereby causing us to lose existing or potential customers. Currency movements impacted our year-to-year revenue growth. Based on the currency rate movements in the year ended March 31, 2024, total revenue decreased 6 percent as reported and 6 percent in constant currency versus the year ended March 31, 2023. For non-U.S. subsidiaries and branches that operate in U.S. dollars or whose economic environment is highly inflationary, translation adjustments are reflected in results of operations. Generally, we manage currency risk in these entities by linking prices and contracts to U.S. dollars.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Market Risk</w:t>
      </w:r>
    </w:p>
    <w:p>
      <w:pPr>
        <w:spacing w:after="0" w:line="22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our financial position is routinely subject to a variety of risks. In addition to the market risk associated with non-U.S. dollar denominated assets and liabilities, another example of risk is the collectability of accounts receivable. We regularly assess these risks and have established policies and business practices to protect against the adverse effects of these and other potential exposures. As a result, we do not anticipate any material losses from these risks.</w:t>
      </w:r>
    </w:p>
    <w:p>
      <w:pPr>
        <w:spacing w:after="0" w:line="183"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To meet disclosure requirements, we perform a sensitivity analysis to determine the effects that market risk exposures may have on the fair values of our financial assets. The financial instruments that are included in the sensitivity analysis are comprised of our cash and cash equivalents, debt obligations, and derivative instruments.</w:t>
      </w:r>
    </w:p>
    <w:p>
      <w:pPr>
        <w:spacing w:after="0" w:line="176"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To perform the sensitivity analysis, we assess the risk of loss in fair values from the effect of hypothetical changes in interest rates and currency exchange rates on market-sensitive instruments. The market values for interest and currency exchange risk are computed based on the present value of future cash flows as affected by the changes in rates that are attributable to the market risk being measured. The discount rates used for the present value computations were selected based on market interest and foreign currency exchange rates in effect at March 31, 2024 and 2023. The differences in this comparison are the hypothetical losses associated with each type of risk.</w:t>
      </w:r>
    </w:p>
    <w:p>
      <w:pPr>
        <w:spacing w:after="0" w:line="187"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Information provided by the sensitivity analysis does not necessarily represent the actual changes in fair value that we would incur under normal market conditions because, due to practical limitations, all variables other than the specific market risk factor are held constant. In addition, the results of the model are constrained by the fact that certain items are specifically excluded from the analysis, while the financial instruments relating to the financing or hedging of those items are included by definition.</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results of the sensitivity analysis at March 31, 2024 and 2023 are as follows: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Our exposure to market risk for changes in interest rates relates primarily to our fixed-rate and variable-rate debt obligations (See Note 11 – Borrowings in the accompanying Consolidated Financial Statements). A hypothetical</w:t>
      </w: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10 percent adverse change in the levels of interest rates, with all other variables held constant, would result in a $22 million and a $12 million impact in the fair value of our financial instruments at March 31, 2024 and 2023, respectively. A hypothetical 10 percent adverse change in the levels of interest rates would not be material to our consolidated results of operations or cash flow.</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Currency Exchange Rate Risk</w:t>
      </w:r>
    </w:p>
    <w:p>
      <w:pPr>
        <w:spacing w:after="0" w:line="227" w:lineRule="exact"/>
        <w:rPr>
          <w:sz w:val="20"/>
          <w:szCs w:val="20"/>
          <w:color w:val="auto"/>
        </w:rPr>
      </w:pPr>
    </w:p>
    <w:p>
      <w:pPr>
        <w:jc w:val="both"/>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A hypothetical 10 percent adverse change in the levels of currency exchange rates relative to the U.S. dollar, with all other variables held constant, would result in a $154 million and a $220 million impact in the fair value of our financial instruments, primarily our cash, debt and derivatives, at March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Index to Consolidated Financial Statements</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385"/>
        </w:trPr>
        <w:tc>
          <w:tcPr>
            <w:tcW w:w="85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238)</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12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85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Income Statement for the Years Ended March 31, 2024 and 2023, and December 31, 2021 and the Three</w:t>
            </w:r>
          </w:p>
        </w:tc>
        <w:tc>
          <w:tcPr>
            <w:tcW w:w="280" w:type="dxa"/>
            <w:vAlign w:val="bottom"/>
          </w:tcPr>
          <w:p>
            <w:pPr>
              <w:spacing w:after="0"/>
              <w:rPr>
                <w:sz w:val="17"/>
                <w:szCs w:val="17"/>
                <w:color w:val="auto"/>
              </w:rPr>
            </w:pPr>
          </w:p>
        </w:tc>
      </w:tr>
      <w:tr>
        <w:trPr>
          <w:trHeight w:val="196"/>
        </w:trPr>
        <w:tc>
          <w:tcPr>
            <w:tcW w:w="120" w:type="dxa"/>
            <w:vAlign w:val="bottom"/>
            <w:tcBorders>
              <w:top w:val="single" w:sz="8" w:color="0000EE"/>
            </w:tcBorders>
          </w:tcPr>
          <w:p>
            <w:pPr>
              <w:spacing w:after="0"/>
              <w:rPr>
                <w:sz w:val="17"/>
                <w:szCs w:val="17"/>
                <w:color w:val="auto"/>
              </w:rPr>
            </w:pPr>
          </w:p>
        </w:tc>
        <w:tc>
          <w:tcPr>
            <w:tcW w:w="838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Months Ended March 31, 2022</w:t>
            </w:r>
          </w:p>
        </w:tc>
        <w:tc>
          <w:tcPr>
            <w:tcW w:w="4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20"/>
        </w:trPr>
        <w:tc>
          <w:tcPr>
            <w:tcW w:w="120" w:type="dxa"/>
            <w:vAlign w:val="bottom"/>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85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 of Comprehensive Income (Loss) for the Years Ended March 31, 2024 and 2023, and</w:t>
            </w:r>
          </w:p>
        </w:tc>
        <w:tc>
          <w:tcPr>
            <w:tcW w:w="280" w:type="dxa"/>
            <w:vAlign w:val="bottom"/>
          </w:tcPr>
          <w:p>
            <w:pPr>
              <w:spacing w:after="0"/>
              <w:rPr>
                <w:sz w:val="17"/>
                <w:szCs w:val="17"/>
                <w:color w:val="auto"/>
              </w:rPr>
            </w:pPr>
          </w:p>
        </w:tc>
      </w:tr>
      <w:tr>
        <w:trPr>
          <w:trHeight w:val="196"/>
        </w:trPr>
        <w:tc>
          <w:tcPr>
            <w:tcW w:w="120" w:type="dxa"/>
            <w:vAlign w:val="bottom"/>
            <w:tcBorders>
              <w:top w:val="single" w:sz="8" w:color="0000EE"/>
            </w:tcBorders>
          </w:tcPr>
          <w:p>
            <w:pPr>
              <w:spacing w:after="0"/>
              <w:rPr>
                <w:sz w:val="17"/>
                <w:szCs w:val="17"/>
                <w:color w:val="auto"/>
              </w:rPr>
            </w:pPr>
          </w:p>
        </w:tc>
        <w:tc>
          <w:tcPr>
            <w:tcW w:w="474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December 31, 2021 and the Three Months Ended March 31, 2022</w:t>
            </w:r>
          </w:p>
        </w:tc>
        <w:tc>
          <w:tcPr>
            <w:tcW w:w="3020" w:type="dxa"/>
            <w:vAlign w:val="bottom"/>
            <w:tcBorders>
              <w:top w:val="single" w:sz="8" w:color="0000EE"/>
            </w:tcBorders>
          </w:tcPr>
          <w:p>
            <w:pPr>
              <w:spacing w:after="0"/>
              <w:rPr>
                <w:sz w:val="17"/>
                <w:szCs w:val="17"/>
                <w:color w:val="auto"/>
              </w:rPr>
            </w:pPr>
          </w:p>
        </w:tc>
        <w:tc>
          <w:tcPr>
            <w:tcW w:w="66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196"/>
        </w:trPr>
        <w:tc>
          <w:tcPr>
            <w:tcW w:w="43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Balance Sheet as of March 31, 2024 and 2023</w:t>
            </w:r>
          </w:p>
        </w:tc>
        <w:tc>
          <w:tcPr>
            <w:tcW w:w="424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196"/>
        </w:trPr>
        <w:tc>
          <w:tcPr>
            <w:tcW w:w="82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 of Cash Flows for the Years Ended March 31, 2024 and 2023, and December 31, 2021 and</w:t>
            </w:r>
          </w:p>
        </w:tc>
        <w:tc>
          <w:tcPr>
            <w:tcW w:w="26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29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the Three Months Ended March 31, 2022</w:t>
            </w:r>
          </w:p>
        </w:tc>
        <w:tc>
          <w:tcPr>
            <w:tcW w:w="544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196"/>
        </w:trPr>
        <w:tc>
          <w:tcPr>
            <w:tcW w:w="81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 of Equity for the Years Ended March 31, 2024 and 2023, and December 31, 2021 and the</w:t>
            </w:r>
          </w:p>
        </w:tc>
        <w:tc>
          <w:tcPr>
            <w:tcW w:w="360" w:type="dxa"/>
            <w:vAlign w:val="bottom"/>
            <w:gridSpan w:val="3"/>
          </w:tcPr>
          <w:p>
            <w:pPr>
              <w:spacing w:after="0"/>
              <w:rPr>
                <w:sz w:val="17"/>
                <w:szCs w:val="17"/>
                <w:color w:val="auto"/>
              </w:rPr>
            </w:pPr>
          </w:p>
        </w:tc>
        <w:tc>
          <w:tcPr>
            <w:tcW w:w="28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84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Three Months Ended March 31, 2022</w:t>
            </w: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20"/>
        </w:trPr>
        <w:tc>
          <w:tcPr>
            <w:tcW w:w="12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40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31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540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Board of Directors and Stockholders of Kyndryl Holdings, Inc.</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29"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 of Kyndryl Holdings, Inc. and its subsidiaries (the “Company”) as of March 31, 2024 and 2023, and the related consolidated statements of income, of comprehensive income (loss), of equity and of cash flows for each of the two years in the period ended March 31, 2024, for the three months ended March 31, 2022 and for the year ended December 31, 2021, including the related notes (collectively referred to as the “consolidated financial statements”). We also have audited the Company’s internal control over financial reporting as of March 31, 2024,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18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March 31, 2024 and 2023, and the results of its operations and its cash flows for each of the two years in the period ended March 31, 2024, for the three months ended March 31, 2022 and for the year ended December 31, 2021 in conformity with accounting principles generally accepted in the United States of America. Also in our opinion, the Company did not maintain, in all material respects, effective internal control over financial reporting as of March 31, 2024,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COSO because a material weakness in internal control over financial reporting existed as of that date related to certain information technology general controls, specifically ineffective (i) user access and segregation of duty controls that restrict user and privileged access to appropriate personnel; (ii) program development and change management controls; and (iii) certain computer operations controls.</w:t>
      </w:r>
    </w:p>
    <w:p>
      <w:pPr>
        <w:spacing w:after="0" w:line="194"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 material weakness referred to above is described in Management's Report on Internal Control over Financial Reporting appearing under Item 9A. We considered this material weakness in determining the nature, timing, and extent of audit tests applied in our audit of the 2024 consolidated financial statements, and our opinion regarding the effectiveness of the Company’s internal control over financial reporting does not affect our opinion on those consolidated financial statements.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29"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referred to above.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0"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29" w:lineRule="exact"/>
        <w:rPr>
          <w:sz w:val="20"/>
          <w:szCs w:val="20"/>
          <w:color w:val="auto"/>
        </w:rPr>
      </w:pPr>
    </w:p>
    <w:p>
      <w:pPr>
        <w:ind w:left="60" w:right="99"/>
        <w:spacing w:after="0" w:line="271"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3" w:lineRule="exact"/>
        <w:rPr>
          <w:sz w:val="20"/>
          <w:szCs w:val="20"/>
          <w:color w:val="auto"/>
        </w:rPr>
      </w:pPr>
    </w:p>
    <w:p>
      <w:pPr>
        <w:jc w:val="both"/>
        <w:ind w:left="60" w:right="159"/>
        <w:spacing w:after="0" w:line="289"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 Recognition for Certain Services</w:t>
      </w:r>
    </w:p>
    <w:p>
      <w:pPr>
        <w:spacing w:after="0" w:line="227" w:lineRule="exact"/>
        <w:rPr>
          <w:sz w:val="20"/>
          <w:szCs w:val="20"/>
          <w:color w:val="auto"/>
        </w:rPr>
      </w:pPr>
    </w:p>
    <w:p>
      <w:pPr>
        <w:ind w:left="60" w:right="239"/>
        <w:spacing w:after="0" w:line="254" w:lineRule="auto"/>
        <w:rPr>
          <w:sz w:val="20"/>
          <w:szCs w:val="20"/>
          <w:color w:val="auto"/>
        </w:rPr>
      </w:pPr>
      <w:r>
        <w:rPr>
          <w:rFonts w:ascii="Times New Roman" w:cs="Times New Roman" w:eastAsia="Times New Roman" w:hAnsi="Times New Roman"/>
          <w:sz w:val="18"/>
          <w:szCs w:val="18"/>
          <w:color w:val="auto"/>
        </w:rPr>
        <w:t>As described in Notes 1 and 3 to the consolidated financial statements, the Company recorded total revenues of $16,052 million for the year ended March 31, 2024, of which a majority relates to services that are single performance obligations comprised of a series of distinct services. The Company offers services such as cloud managed services, application hosting and modernization, security and resiliency services, enterprise infrastructure services, digital workplace services, network services and distributed cloud services to support its customers through technological change. Revenue is recognized when, or as, control of a promised service transfers to a client, in an amount that reflects the consideration to which management expects to be entitled in exchange for transferring those services. If the consideration promised in a contract includes a variable amount, management estimates the amount to which it expects to be entitled using either the expected value or most likely amount method.</w:t>
      </w:r>
    </w:p>
    <w:p>
      <w:pPr>
        <w:spacing w:after="0" w:line="188" w:lineRule="exact"/>
        <w:rPr>
          <w:sz w:val="20"/>
          <w:szCs w:val="20"/>
          <w:color w:val="auto"/>
        </w:rPr>
      </w:pPr>
    </w:p>
    <w:p>
      <w:pPr>
        <w:ind w:left="60" w:right="359"/>
        <w:spacing w:after="0" w:line="258" w:lineRule="auto"/>
        <w:rPr>
          <w:sz w:val="20"/>
          <w:szCs w:val="20"/>
          <w:color w:val="auto"/>
        </w:rPr>
      </w:pPr>
      <w:r>
        <w:rPr>
          <w:rFonts w:ascii="Times New Roman" w:cs="Times New Roman" w:eastAsia="Times New Roman" w:hAnsi="Times New Roman"/>
          <w:sz w:val="18"/>
          <w:szCs w:val="18"/>
          <w:color w:val="auto"/>
        </w:rPr>
        <w:t>The principal consideration for our determination that performing procedures relating to revenue recognition for certain services is a critical audit matter is a high degree of auditor effort in performing procedures related to the Company’s revenue recognition. As described in the “Opinions on the Financial Statements and Internal Control over Financial Reporting” section, a material weakness was identified that impacted the procedures performed related to revenue recognition.</w:t>
      </w:r>
    </w:p>
    <w:p>
      <w:pPr>
        <w:spacing w:after="0" w:line="183" w:lineRule="exact"/>
        <w:rPr>
          <w:sz w:val="20"/>
          <w:szCs w:val="20"/>
          <w:color w:val="auto"/>
        </w:rPr>
      </w:pPr>
    </w:p>
    <w:p>
      <w:pPr>
        <w:ind w:left="60" w:right="339"/>
        <w:spacing w:after="0" w:line="281" w:lineRule="auto"/>
        <w:rPr>
          <w:sz w:val="20"/>
          <w:szCs w:val="20"/>
          <w:color w:val="auto"/>
        </w:rPr>
      </w:pPr>
      <w:r>
        <w:rPr>
          <w:rFonts w:ascii="Times New Roman" w:cs="Times New Roman" w:eastAsia="Times New Roman" w:hAnsi="Times New Roman"/>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These procedures also included, among others (i) evaluating the Company’s accounting policies related to the recognition of revenue for services; (ii) testing the completeness, accuracy, and</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occurrence of revenue recognized for a sample of certain services revenue transactions by obtaining and inspecting source documents such as master services agreements, individual statements of work, invoices, and cash receipts; and (iii) confirming, on a sample basis, outstanding customer invoice balances as of year-end and, for confirmations not returned, obtaining and inspecting source documents, such as invoices and subsequent cash receipts, where applicable.</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May 30, 2024</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INCOME STATEMENT</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0" w:type="dxa"/>
            <w:vAlign w:val="bottom"/>
          </w:tcPr>
          <w:p>
            <w:pPr>
              <w:spacing w:after="0"/>
              <w:rPr>
                <w:sz w:val="13"/>
                <w:szCs w:val="13"/>
                <w:color w:val="auto"/>
              </w:rPr>
            </w:pP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00" w:type="dxa"/>
            <w:vAlign w:val="bottom"/>
            <w:gridSpan w:val="5"/>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14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gridSpan w:val="5"/>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Notes</w:t>
            </w: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5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16,052</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 **</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Workforce rebalancing charges</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Transaction-related costs (benefits)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expense</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7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16,221</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17,876</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7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(1.48)</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(6.06)</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basic shares outstanding</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diluted shares outstanding</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319" w:hanging="10"/>
        <w:spacing w:after="0" w:line="261" w:lineRule="auto"/>
        <w:tabs>
          <w:tab w:leader="none" w:pos="3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related-party revenue of $287 for the year ended March 31, 2023, $236 for the three months ended March 31, 2022, and $704 for the year ended December 31, 2021</w:t>
      </w:r>
    </w:p>
    <w:p>
      <w:pPr>
        <w:ind w:left="60" w:right="21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Including related-party cost of service of $1,382 for the year ended March 31, 2023, $924 for the three months ended March 31, 2022, and $3,979 for the year ended December 31, 2021</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 (LOSS)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gridSpan w:val="5"/>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12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74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0" w:type="dxa"/>
            <w:vAlign w:val="bottom"/>
          </w:tcPr>
          <w:p>
            <w:pPr>
              <w:spacing w:after="0"/>
              <w:rPr>
                <w:sz w:val="1"/>
                <w:szCs w:val="1"/>
                <w:color w:val="auto"/>
              </w:rPr>
            </w:pPr>
          </w:p>
        </w:tc>
      </w:tr>
      <w:tr>
        <w:trPr>
          <w:trHeight w:val="209"/>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before tax:</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losses on net investment hedges</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9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Total foreign currency translation adjustments</w:t>
            </w: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09"/>
        </w:trPr>
        <w:tc>
          <w:tcPr>
            <w:tcW w:w="4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gains (losses) on cash flow hedges: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Unrealized gains (losses) arising during the period</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Reclassification of (gains) losses to net income</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49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Total unrealized gains (losses) on cash flow hedges</w:t>
            </w: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4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Retirement-related benefit plans: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Prior service costs (credits)</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gains (losses) arising during the period</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49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Curtailments and settlements</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prior service (credits) costs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Amortization of net (gains) losses</w:t>
            </w: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0"/>
        </w:trPr>
        <w:tc>
          <w:tcPr>
            <w:tcW w:w="4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retirement-related benefit plans</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0"/>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before tax</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194"/>
        </w:trPr>
        <w:tc>
          <w:tcPr>
            <w:tcW w:w="4920" w:type="dxa"/>
            <w:vAlign w:val="bottom"/>
            <w:gridSpan w:val="2"/>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Income tax (expense) benefit related to items of other</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9"/>
        </w:trPr>
        <w:tc>
          <w:tcPr>
            <w:tcW w:w="4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10"/>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51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1,553</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1,847</w:t>
            </w:r>
          </w:p>
        </w:tc>
        <w:tc>
          <w:tcPr>
            <w:tcW w:w="0" w:type="dxa"/>
            <w:vAlign w:val="bottom"/>
          </w:tcPr>
          <w:p>
            <w:pPr>
              <w:spacing w:after="0"/>
              <w:rPr>
                <w:sz w:val="1"/>
                <w:szCs w:val="1"/>
                <w:color w:val="auto"/>
              </w:rPr>
            </w:pPr>
          </w:p>
        </w:tc>
      </w:tr>
      <w:tr>
        <w:trPr>
          <w:trHeight w:val="148"/>
        </w:trPr>
        <w:tc>
          <w:tcPr>
            <w:tcW w:w="54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26"/>
        </w:trPr>
        <w:tc>
          <w:tcPr>
            <w:tcW w:w="5400" w:type="dxa"/>
            <w:vAlign w:val="bottom"/>
            <w:gridSpan w:val="2"/>
            <w:shd w:val="clear" w:color="auto" w:fill="CCEEFF"/>
          </w:tcPr>
          <w:p>
            <w:pPr>
              <w:ind w:left="220"/>
              <w:spacing w:after="0" w:line="126" w:lineRule="exact"/>
              <w:rPr>
                <w:sz w:val="20"/>
                <w:szCs w:val="20"/>
                <w:color w:val="auto"/>
              </w:rPr>
            </w:pPr>
            <w:r>
              <w:rPr>
                <w:rFonts w:ascii="Times New Roman" w:cs="Times New Roman" w:eastAsia="Times New Roman" w:hAnsi="Times New Roman"/>
                <w:sz w:val="14"/>
                <w:szCs w:val="14"/>
                <w:color w:val="auto"/>
              </w:rPr>
              <w:t>Accounts receivable (net of allowances for credit losses of $22 at March 31, 2024</w:t>
            </w:r>
          </w:p>
        </w:tc>
        <w:tc>
          <w:tcPr>
            <w:tcW w:w="7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w:t>
            </w:r>
          </w:p>
        </w:tc>
        <w:tc>
          <w:tcPr>
            <w:tcW w:w="2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1,523</w:t>
            </w:r>
          </w:p>
        </w:tc>
        <w:tc>
          <w:tcPr>
            <w:tcW w:w="0" w:type="dxa"/>
            <w:vAlign w:val="bottom"/>
          </w:tcPr>
          <w:p>
            <w:pPr>
              <w:spacing w:after="0"/>
              <w:rPr>
                <w:sz w:val="1"/>
                <w:szCs w:val="1"/>
                <w:color w:val="auto"/>
              </w:rPr>
            </w:pPr>
          </w:p>
        </w:tc>
      </w:tr>
      <w:tr>
        <w:trPr>
          <w:trHeight w:val="171"/>
        </w:trPr>
        <w:tc>
          <w:tcPr>
            <w:tcW w:w="54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and $32 at March 31, 2023)</w:t>
            </w: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4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Deferred costs (current portion)</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3</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1,081</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1,070</w:t>
            </w:r>
          </w:p>
        </w:tc>
        <w:tc>
          <w:tcPr>
            <w:tcW w:w="0" w:type="dxa"/>
            <w:vAlign w:val="bottom"/>
          </w:tcPr>
          <w:p>
            <w:pPr>
              <w:spacing w:after="0"/>
              <w:rPr>
                <w:sz w:val="1"/>
                <w:szCs w:val="1"/>
                <w:color w:val="auto"/>
              </w:rPr>
            </w:pPr>
          </w:p>
        </w:tc>
      </w:tr>
      <w:tr>
        <w:trPr>
          <w:trHeight w:val="148"/>
        </w:trPr>
        <w:tc>
          <w:tcPr>
            <w:tcW w:w="54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514</w:t>
            </w:r>
          </w:p>
        </w:tc>
        <w:tc>
          <w:tcPr>
            <w:tcW w:w="24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510</w:t>
            </w:r>
          </w:p>
        </w:tc>
        <w:tc>
          <w:tcPr>
            <w:tcW w:w="0" w:type="dxa"/>
            <w:vAlign w:val="bottom"/>
          </w:tcPr>
          <w:p>
            <w:pPr>
              <w:spacing w:after="0"/>
              <w:rPr>
                <w:sz w:val="1"/>
                <w:szCs w:val="1"/>
                <w:color w:val="auto"/>
              </w:rPr>
            </w:pPr>
          </w:p>
        </w:tc>
      </w:tr>
      <w:tr>
        <w:trPr>
          <w:trHeight w:val="142"/>
        </w:trPr>
        <w:tc>
          <w:tcPr>
            <w:tcW w:w="540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4,747</w:t>
            </w:r>
          </w:p>
        </w:tc>
        <w:tc>
          <w:tcPr>
            <w:tcW w:w="240" w:type="dxa"/>
            <w:vAlign w:val="bottom"/>
          </w:tcPr>
          <w:p>
            <w:pPr>
              <w:spacing w:after="0"/>
              <w:rPr>
                <w:sz w:val="12"/>
                <w:szCs w:val="12"/>
                <w:color w:val="auto"/>
              </w:rPr>
            </w:pPr>
          </w:p>
        </w:tc>
        <w:tc>
          <w:tcPr>
            <w:tcW w:w="320" w:type="dxa"/>
            <w:vAlign w:val="bottom"/>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4,963</w:t>
            </w:r>
          </w:p>
        </w:tc>
        <w:tc>
          <w:tcPr>
            <w:tcW w:w="0" w:type="dxa"/>
            <w:vAlign w:val="bottom"/>
          </w:tcPr>
          <w:p>
            <w:pPr>
              <w:spacing w:after="0"/>
              <w:rPr>
                <w:sz w:val="1"/>
                <w:szCs w:val="1"/>
                <w:color w:val="auto"/>
              </w:rPr>
            </w:pPr>
          </w:p>
        </w:tc>
      </w:tr>
      <w:tr>
        <w:trPr>
          <w:trHeight w:val="148"/>
        </w:trPr>
        <w:tc>
          <w:tcPr>
            <w:tcW w:w="5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8</w:t>
            </w:r>
          </w:p>
        </w:tc>
        <w:tc>
          <w:tcPr>
            <w:tcW w:w="240" w:type="dxa"/>
            <w:vAlign w:val="bottom"/>
          </w:tcPr>
          <w:p>
            <w:pPr>
              <w:spacing w:after="0"/>
              <w:rPr>
                <w:sz w:val="12"/>
                <w:szCs w:val="12"/>
                <w:color w:val="auto"/>
              </w:rPr>
            </w:pP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2,674</w:t>
            </w:r>
          </w:p>
        </w:tc>
        <w:tc>
          <w:tcPr>
            <w:tcW w:w="240" w:type="dxa"/>
            <w:vAlign w:val="bottom"/>
          </w:tcPr>
          <w:p>
            <w:pPr>
              <w:spacing w:after="0"/>
              <w:rPr>
                <w:sz w:val="12"/>
                <w:szCs w:val="12"/>
                <w:color w:val="auto"/>
              </w:rPr>
            </w:pPr>
          </w:p>
        </w:tc>
        <w:tc>
          <w:tcPr>
            <w:tcW w:w="3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2,779</w:t>
            </w:r>
          </w:p>
        </w:tc>
        <w:tc>
          <w:tcPr>
            <w:tcW w:w="0" w:type="dxa"/>
            <w:vAlign w:val="bottom"/>
          </w:tcPr>
          <w:p>
            <w:pPr>
              <w:spacing w:after="0"/>
              <w:rPr>
                <w:sz w:val="1"/>
                <w:szCs w:val="1"/>
                <w:color w:val="auto"/>
              </w:rPr>
            </w:pPr>
          </w:p>
        </w:tc>
      </w:tr>
      <w:tr>
        <w:trPr>
          <w:trHeight w:val="148"/>
        </w:trPr>
        <w:tc>
          <w:tcPr>
            <w:tcW w:w="54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Operating right-of-use assets, net</w:t>
            </w:r>
          </w:p>
        </w:tc>
        <w:tc>
          <w:tcPr>
            <w:tcW w:w="7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9</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864</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964</w:t>
            </w:r>
          </w:p>
        </w:tc>
        <w:tc>
          <w:tcPr>
            <w:tcW w:w="0" w:type="dxa"/>
            <w:vAlign w:val="bottom"/>
          </w:tcPr>
          <w:p>
            <w:pPr>
              <w:spacing w:after="0"/>
              <w:rPr>
                <w:sz w:val="1"/>
                <w:szCs w:val="1"/>
                <w:color w:val="auto"/>
              </w:rPr>
            </w:pPr>
          </w:p>
        </w:tc>
      </w:tr>
      <w:tr>
        <w:trPr>
          <w:trHeight w:val="149"/>
        </w:trPr>
        <w:tc>
          <w:tcPr>
            <w:tcW w:w="54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costs (noncurrent portion)</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3</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920</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1,166</w:t>
            </w:r>
          </w:p>
        </w:tc>
        <w:tc>
          <w:tcPr>
            <w:tcW w:w="0" w:type="dxa"/>
            <w:vAlign w:val="bottom"/>
          </w:tcPr>
          <w:p>
            <w:pPr>
              <w:spacing w:after="0"/>
              <w:rPr>
                <w:sz w:val="1"/>
                <w:szCs w:val="1"/>
                <w:color w:val="auto"/>
              </w:rPr>
            </w:pPr>
          </w:p>
        </w:tc>
      </w:tr>
      <w:tr>
        <w:trPr>
          <w:trHeight w:val="148"/>
        </w:trPr>
        <w:tc>
          <w:tcPr>
            <w:tcW w:w="54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taxes</w:t>
            </w:r>
          </w:p>
        </w:tc>
        <w:tc>
          <w:tcPr>
            <w:tcW w:w="7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5</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220</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248</w:t>
            </w:r>
          </w:p>
        </w:tc>
        <w:tc>
          <w:tcPr>
            <w:tcW w:w="0" w:type="dxa"/>
            <w:vAlign w:val="bottom"/>
          </w:tcPr>
          <w:p>
            <w:pPr>
              <w:spacing w:after="0"/>
              <w:rPr>
                <w:sz w:val="1"/>
                <w:szCs w:val="1"/>
                <w:color w:val="auto"/>
              </w:rPr>
            </w:pPr>
          </w:p>
        </w:tc>
      </w:tr>
      <w:tr>
        <w:trPr>
          <w:trHeight w:val="148"/>
        </w:trPr>
        <w:tc>
          <w:tcPr>
            <w:tcW w:w="54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10</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805</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812</w:t>
            </w:r>
          </w:p>
        </w:tc>
        <w:tc>
          <w:tcPr>
            <w:tcW w:w="0" w:type="dxa"/>
            <w:vAlign w:val="bottom"/>
          </w:tcPr>
          <w:p>
            <w:pPr>
              <w:spacing w:after="0"/>
              <w:rPr>
                <w:sz w:val="1"/>
                <w:szCs w:val="1"/>
                <w:color w:val="auto"/>
              </w:rPr>
            </w:pPr>
          </w:p>
        </w:tc>
      </w:tr>
      <w:tr>
        <w:trPr>
          <w:trHeight w:val="148"/>
        </w:trPr>
        <w:tc>
          <w:tcPr>
            <w:tcW w:w="54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7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10</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188</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148"/>
        </w:trPr>
        <w:tc>
          <w:tcPr>
            <w:tcW w:w="54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Pension assets</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16</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49"/>
        </w:trPr>
        <w:tc>
          <w:tcPr>
            <w:tcW w:w="54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24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267</w:t>
            </w:r>
          </w:p>
        </w:tc>
        <w:tc>
          <w:tcPr>
            <w:tcW w:w="0" w:type="dxa"/>
            <w:vAlign w:val="bottom"/>
          </w:tcPr>
          <w:p>
            <w:pPr>
              <w:spacing w:after="0"/>
              <w:rPr>
                <w:sz w:val="1"/>
                <w:szCs w:val="1"/>
                <w:color w:val="auto"/>
              </w:rPr>
            </w:pPr>
          </w:p>
        </w:tc>
      </w:tr>
      <w:tr>
        <w:trPr>
          <w:trHeight w:val="182"/>
        </w:trPr>
        <w:tc>
          <w:tcPr>
            <w:tcW w:w="5400" w:type="dxa"/>
            <w:vAlign w:val="bottom"/>
            <w:tcBorders>
              <w:bottom w:val="single" w:sz="8" w:color="CCEEFF"/>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7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10,590</w:t>
            </w:r>
          </w:p>
        </w:tc>
        <w:tc>
          <w:tcPr>
            <w:tcW w:w="2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11,464</w:t>
            </w:r>
          </w:p>
        </w:tc>
        <w:tc>
          <w:tcPr>
            <w:tcW w:w="0" w:type="dxa"/>
            <w:vAlign w:val="bottom"/>
          </w:tcPr>
          <w:p>
            <w:pPr>
              <w:spacing w:after="0"/>
              <w:rPr>
                <w:sz w:val="1"/>
                <w:szCs w:val="1"/>
                <w:color w:val="auto"/>
              </w:rPr>
            </w:pPr>
          </w:p>
        </w:tc>
      </w:tr>
      <w:tr>
        <w:trPr>
          <w:trHeight w:val="129"/>
        </w:trPr>
        <w:tc>
          <w:tcPr>
            <w:tcW w:w="5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4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1,408</w:t>
            </w:r>
          </w:p>
        </w:tc>
        <w:tc>
          <w:tcPr>
            <w:tcW w:w="240" w:type="dxa"/>
            <w:vAlign w:val="bottom"/>
          </w:tcPr>
          <w:p>
            <w:pPr>
              <w:spacing w:after="0"/>
              <w:rPr>
                <w:sz w:val="12"/>
                <w:szCs w:val="12"/>
                <w:color w:val="auto"/>
              </w:rPr>
            </w:pPr>
          </w:p>
        </w:tc>
        <w:tc>
          <w:tcPr>
            <w:tcW w:w="3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1,774</w:t>
            </w:r>
          </w:p>
        </w:tc>
        <w:tc>
          <w:tcPr>
            <w:tcW w:w="0" w:type="dxa"/>
            <w:vAlign w:val="bottom"/>
          </w:tcPr>
          <w:p>
            <w:pPr>
              <w:spacing w:after="0"/>
              <w:rPr>
                <w:sz w:val="1"/>
                <w:szCs w:val="1"/>
                <w:color w:val="auto"/>
              </w:rPr>
            </w:pPr>
          </w:p>
        </w:tc>
      </w:tr>
      <w:tr>
        <w:trPr>
          <w:trHeight w:val="148"/>
        </w:trPr>
        <w:tc>
          <w:tcPr>
            <w:tcW w:w="54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Value-added tax and income tax liabilities</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327</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347</w:t>
            </w:r>
          </w:p>
        </w:tc>
        <w:tc>
          <w:tcPr>
            <w:tcW w:w="0" w:type="dxa"/>
            <w:vAlign w:val="bottom"/>
          </w:tcPr>
          <w:p>
            <w:pPr>
              <w:spacing w:after="0"/>
              <w:rPr>
                <w:sz w:val="1"/>
                <w:szCs w:val="1"/>
                <w:color w:val="auto"/>
              </w:rPr>
            </w:pPr>
          </w:p>
        </w:tc>
      </w:tr>
      <w:tr>
        <w:trPr>
          <w:trHeight w:val="149"/>
        </w:trPr>
        <w:tc>
          <w:tcPr>
            <w:tcW w:w="54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11</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149"/>
        </w:trPr>
        <w:tc>
          <w:tcPr>
            <w:tcW w:w="54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Accrued compensation and benefits</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609</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533</w:t>
            </w:r>
          </w:p>
        </w:tc>
        <w:tc>
          <w:tcPr>
            <w:tcW w:w="0" w:type="dxa"/>
            <w:vAlign w:val="bottom"/>
          </w:tcPr>
          <w:p>
            <w:pPr>
              <w:spacing w:after="0"/>
              <w:rPr>
                <w:sz w:val="1"/>
                <w:szCs w:val="1"/>
                <w:color w:val="auto"/>
              </w:rPr>
            </w:pPr>
          </w:p>
        </w:tc>
      </w:tr>
      <w:tr>
        <w:trPr>
          <w:trHeight w:val="148"/>
        </w:trPr>
        <w:tc>
          <w:tcPr>
            <w:tcW w:w="54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Deferred income (current portion)</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3</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825</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820</w:t>
            </w:r>
          </w:p>
        </w:tc>
        <w:tc>
          <w:tcPr>
            <w:tcW w:w="0" w:type="dxa"/>
            <w:vAlign w:val="bottom"/>
          </w:tcPr>
          <w:p>
            <w:pPr>
              <w:spacing w:after="0"/>
              <w:rPr>
                <w:sz w:val="1"/>
                <w:szCs w:val="1"/>
                <w:color w:val="auto"/>
              </w:rPr>
            </w:pPr>
          </w:p>
        </w:tc>
      </w:tr>
      <w:tr>
        <w:trPr>
          <w:trHeight w:val="148"/>
        </w:trPr>
        <w:tc>
          <w:tcPr>
            <w:tcW w:w="54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Operating lease liabilities (current portion)</w:t>
            </w:r>
          </w:p>
        </w:tc>
        <w:tc>
          <w:tcPr>
            <w:tcW w:w="7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9</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285</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316</w:t>
            </w:r>
          </w:p>
        </w:tc>
        <w:tc>
          <w:tcPr>
            <w:tcW w:w="0" w:type="dxa"/>
            <w:vAlign w:val="bottom"/>
          </w:tcPr>
          <w:p>
            <w:pPr>
              <w:spacing w:after="0"/>
              <w:rPr>
                <w:sz w:val="1"/>
                <w:szCs w:val="1"/>
                <w:color w:val="auto"/>
              </w:rPr>
            </w:pPr>
          </w:p>
        </w:tc>
      </w:tr>
      <w:tr>
        <w:trPr>
          <w:trHeight w:val="149"/>
        </w:trPr>
        <w:tc>
          <w:tcPr>
            <w:tcW w:w="54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Accrued contract costs</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487</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346</w:t>
            </w:r>
          </w:p>
        </w:tc>
        <w:tc>
          <w:tcPr>
            <w:tcW w:w="0" w:type="dxa"/>
            <w:vAlign w:val="bottom"/>
          </w:tcPr>
          <w:p>
            <w:pPr>
              <w:spacing w:after="0"/>
              <w:rPr>
                <w:sz w:val="1"/>
                <w:szCs w:val="1"/>
                <w:color w:val="auto"/>
              </w:rPr>
            </w:pPr>
          </w:p>
        </w:tc>
      </w:tr>
      <w:tr>
        <w:trPr>
          <w:trHeight w:val="148"/>
        </w:trPr>
        <w:tc>
          <w:tcPr>
            <w:tcW w:w="54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accrued expenses and liabilities</w:t>
            </w:r>
          </w:p>
        </w:tc>
        <w:tc>
          <w:tcPr>
            <w:tcW w:w="7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12</w:t>
            </w:r>
          </w:p>
        </w:tc>
        <w:tc>
          <w:tcPr>
            <w:tcW w:w="2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521</w:t>
            </w:r>
          </w:p>
        </w:tc>
        <w:tc>
          <w:tcPr>
            <w:tcW w:w="24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624</w:t>
            </w:r>
          </w:p>
        </w:tc>
        <w:tc>
          <w:tcPr>
            <w:tcW w:w="0" w:type="dxa"/>
            <w:vAlign w:val="bottom"/>
          </w:tcPr>
          <w:p>
            <w:pPr>
              <w:spacing w:after="0"/>
              <w:rPr>
                <w:sz w:val="1"/>
                <w:szCs w:val="1"/>
                <w:color w:val="auto"/>
              </w:rPr>
            </w:pPr>
          </w:p>
        </w:tc>
      </w:tr>
      <w:tr>
        <w:trPr>
          <w:trHeight w:val="142"/>
        </w:trPr>
        <w:tc>
          <w:tcPr>
            <w:tcW w:w="540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4,589</w:t>
            </w:r>
          </w:p>
        </w:tc>
        <w:tc>
          <w:tcPr>
            <w:tcW w:w="240" w:type="dxa"/>
            <w:vAlign w:val="bottom"/>
          </w:tcPr>
          <w:p>
            <w:pPr>
              <w:spacing w:after="0"/>
              <w:rPr>
                <w:sz w:val="12"/>
                <w:szCs w:val="12"/>
                <w:color w:val="auto"/>
              </w:rPr>
            </w:pPr>
          </w:p>
        </w:tc>
        <w:tc>
          <w:tcPr>
            <w:tcW w:w="320" w:type="dxa"/>
            <w:vAlign w:val="bottom"/>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4,868</w:t>
            </w:r>
          </w:p>
        </w:tc>
        <w:tc>
          <w:tcPr>
            <w:tcW w:w="0" w:type="dxa"/>
            <w:vAlign w:val="bottom"/>
          </w:tcPr>
          <w:p>
            <w:pPr>
              <w:spacing w:after="0"/>
              <w:rPr>
                <w:sz w:val="1"/>
                <w:szCs w:val="1"/>
                <w:color w:val="auto"/>
              </w:rPr>
            </w:pPr>
          </w:p>
        </w:tc>
      </w:tr>
      <w:tr>
        <w:trPr>
          <w:trHeight w:val="148"/>
        </w:trPr>
        <w:tc>
          <w:tcPr>
            <w:tcW w:w="5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Long-term debt</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11</w:t>
            </w:r>
          </w:p>
        </w:tc>
        <w:tc>
          <w:tcPr>
            <w:tcW w:w="240" w:type="dxa"/>
            <w:vAlign w:val="bottom"/>
          </w:tcPr>
          <w:p>
            <w:pPr>
              <w:spacing w:after="0"/>
              <w:rPr>
                <w:sz w:val="12"/>
                <w:szCs w:val="12"/>
                <w:color w:val="auto"/>
              </w:rPr>
            </w:pPr>
          </w:p>
        </w:tc>
        <w:tc>
          <w:tcPr>
            <w:tcW w:w="26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3,112</w:t>
            </w:r>
          </w:p>
        </w:tc>
        <w:tc>
          <w:tcPr>
            <w:tcW w:w="240" w:type="dxa"/>
            <w:vAlign w:val="bottom"/>
          </w:tcPr>
          <w:p>
            <w:pPr>
              <w:spacing w:after="0"/>
              <w:rPr>
                <w:sz w:val="12"/>
                <w:szCs w:val="12"/>
                <w:color w:val="auto"/>
              </w:rPr>
            </w:pPr>
          </w:p>
        </w:tc>
        <w:tc>
          <w:tcPr>
            <w:tcW w:w="3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3,111</w:t>
            </w:r>
          </w:p>
        </w:tc>
        <w:tc>
          <w:tcPr>
            <w:tcW w:w="0" w:type="dxa"/>
            <w:vAlign w:val="bottom"/>
          </w:tcPr>
          <w:p>
            <w:pPr>
              <w:spacing w:after="0"/>
              <w:rPr>
                <w:sz w:val="1"/>
                <w:szCs w:val="1"/>
                <w:color w:val="auto"/>
              </w:rPr>
            </w:pPr>
          </w:p>
        </w:tc>
      </w:tr>
      <w:tr>
        <w:trPr>
          <w:trHeight w:val="148"/>
        </w:trPr>
        <w:tc>
          <w:tcPr>
            <w:tcW w:w="54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Retirement and nonpension postretirement benefit obligations</w:t>
            </w:r>
          </w:p>
        </w:tc>
        <w:tc>
          <w:tcPr>
            <w:tcW w:w="7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16</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504</w:t>
            </w:r>
          </w:p>
        </w:tc>
        <w:tc>
          <w:tcPr>
            <w:tcW w:w="0" w:type="dxa"/>
            <w:vAlign w:val="bottom"/>
          </w:tcPr>
          <w:p>
            <w:pPr>
              <w:spacing w:after="0"/>
              <w:rPr>
                <w:sz w:val="1"/>
                <w:szCs w:val="1"/>
                <w:color w:val="auto"/>
              </w:rPr>
            </w:pPr>
          </w:p>
        </w:tc>
      </w:tr>
      <w:tr>
        <w:trPr>
          <w:trHeight w:val="148"/>
        </w:trPr>
        <w:tc>
          <w:tcPr>
            <w:tcW w:w="54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income (noncurrent portion)</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3</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314</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362</w:t>
            </w:r>
          </w:p>
        </w:tc>
        <w:tc>
          <w:tcPr>
            <w:tcW w:w="0" w:type="dxa"/>
            <w:vAlign w:val="bottom"/>
          </w:tcPr>
          <w:p>
            <w:pPr>
              <w:spacing w:after="0"/>
              <w:rPr>
                <w:sz w:val="1"/>
                <w:szCs w:val="1"/>
                <w:color w:val="auto"/>
              </w:rPr>
            </w:pPr>
          </w:p>
        </w:tc>
      </w:tr>
      <w:tr>
        <w:trPr>
          <w:trHeight w:val="149"/>
        </w:trPr>
        <w:tc>
          <w:tcPr>
            <w:tcW w:w="54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Operating lease liabilities (noncurrent portion)</w:t>
            </w:r>
          </w:p>
        </w:tc>
        <w:tc>
          <w:tcPr>
            <w:tcW w:w="7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85"/>
              </w:rPr>
              <w:t>9</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622</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707</w:t>
            </w:r>
          </w:p>
        </w:tc>
        <w:tc>
          <w:tcPr>
            <w:tcW w:w="0" w:type="dxa"/>
            <w:vAlign w:val="bottom"/>
          </w:tcPr>
          <w:p>
            <w:pPr>
              <w:spacing w:after="0"/>
              <w:rPr>
                <w:sz w:val="1"/>
                <w:szCs w:val="1"/>
                <w:color w:val="auto"/>
              </w:rPr>
            </w:pPr>
          </w:p>
        </w:tc>
      </w:tr>
      <w:tr>
        <w:trPr>
          <w:trHeight w:val="148"/>
        </w:trPr>
        <w:tc>
          <w:tcPr>
            <w:tcW w:w="5400" w:type="dxa"/>
            <w:vAlign w:val="bottom"/>
            <w:tcBorders>
              <w:bottom w:val="single" w:sz="8" w:color="CCEEFF"/>
            </w:tcBorders>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720" w:type="dxa"/>
            <w:vAlign w:val="bottom"/>
            <w:tcBorders>
              <w:bottom w:val="single" w:sz="8" w:color="CCEEFF"/>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12</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332</w:t>
            </w:r>
          </w:p>
        </w:tc>
        <w:tc>
          <w:tcPr>
            <w:tcW w:w="2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450</w:t>
            </w:r>
          </w:p>
        </w:tc>
        <w:tc>
          <w:tcPr>
            <w:tcW w:w="0" w:type="dxa"/>
            <w:vAlign w:val="bottom"/>
          </w:tcPr>
          <w:p>
            <w:pPr>
              <w:spacing w:after="0"/>
              <w:rPr>
                <w:sz w:val="1"/>
                <w:szCs w:val="1"/>
                <w:color w:val="auto"/>
              </w:rPr>
            </w:pPr>
          </w:p>
        </w:tc>
      </w:tr>
      <w:tr>
        <w:trPr>
          <w:trHeight w:val="142"/>
        </w:trPr>
        <w:tc>
          <w:tcPr>
            <w:tcW w:w="540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9,468</w:t>
            </w:r>
          </w:p>
        </w:tc>
        <w:tc>
          <w:tcPr>
            <w:tcW w:w="24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10,002</w:t>
            </w:r>
          </w:p>
        </w:tc>
        <w:tc>
          <w:tcPr>
            <w:tcW w:w="0" w:type="dxa"/>
            <w:vAlign w:val="bottom"/>
          </w:tcPr>
          <w:p>
            <w:pPr>
              <w:spacing w:after="0"/>
              <w:rPr>
                <w:sz w:val="1"/>
                <w:szCs w:val="1"/>
                <w:color w:val="auto"/>
              </w:rPr>
            </w:pPr>
          </w:p>
        </w:tc>
      </w:tr>
      <w:tr>
        <w:trPr>
          <w:trHeight w:val="142"/>
        </w:trPr>
        <w:tc>
          <w:tcPr>
            <w:tcW w:w="54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Commitments and contingencies</w:t>
            </w:r>
          </w:p>
        </w:tc>
        <w:tc>
          <w:tcPr>
            <w:tcW w:w="7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13</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7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14</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400" w:type="dxa"/>
            <w:vAlign w:val="bottom"/>
            <w:gridSpan w:val="2"/>
          </w:tcPr>
          <w:p>
            <w:pPr>
              <w:ind w:left="120"/>
              <w:spacing w:after="0" w:line="126" w:lineRule="exact"/>
              <w:rPr>
                <w:sz w:val="20"/>
                <w:szCs w:val="20"/>
                <w:color w:val="auto"/>
              </w:rPr>
            </w:pPr>
            <w:r>
              <w:rPr>
                <w:rFonts w:ascii="Times New Roman" w:cs="Times New Roman" w:eastAsia="Times New Roman" w:hAnsi="Times New Roman"/>
                <w:sz w:val="14"/>
                <w:szCs w:val="14"/>
                <w:color w:val="auto"/>
              </w:rPr>
              <w:t>Common stock, par value $0.01 per share, and additional paid-in capital</w:t>
            </w: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4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(shares authorized: 1,000.0; shares issued: March 31, 2024 – 233.7, March 31, 2023 –</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4,524</w:t>
            </w:r>
          </w:p>
        </w:tc>
        <w:tc>
          <w:tcPr>
            <w:tcW w:w="240" w:type="dxa"/>
            <w:vAlign w:val="bottom"/>
          </w:tcPr>
          <w:p>
            <w:pPr>
              <w:spacing w:after="0"/>
              <w:rPr>
                <w:sz w:val="12"/>
                <w:szCs w:val="12"/>
                <w:color w:val="auto"/>
              </w:rPr>
            </w:pPr>
          </w:p>
        </w:tc>
        <w:tc>
          <w:tcPr>
            <w:tcW w:w="3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4,428</w:t>
            </w:r>
          </w:p>
        </w:tc>
        <w:tc>
          <w:tcPr>
            <w:tcW w:w="0" w:type="dxa"/>
            <w:vAlign w:val="bottom"/>
          </w:tcPr>
          <w:p>
            <w:pPr>
              <w:spacing w:after="0"/>
              <w:rPr>
                <w:sz w:val="1"/>
                <w:szCs w:val="1"/>
                <w:color w:val="auto"/>
              </w:rPr>
            </w:pPr>
          </w:p>
        </w:tc>
      </w:tr>
      <w:tr>
        <w:trPr>
          <w:trHeight w:val="171"/>
        </w:trPr>
        <w:tc>
          <w:tcPr>
            <w:tcW w:w="51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229.6)</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4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(2,319)</w:t>
            </w: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(1,978)</w:t>
            </w:r>
          </w:p>
        </w:tc>
        <w:tc>
          <w:tcPr>
            <w:tcW w:w="0" w:type="dxa"/>
            <w:vAlign w:val="bottom"/>
          </w:tcPr>
          <w:p>
            <w:pPr>
              <w:spacing w:after="0"/>
              <w:rPr>
                <w:sz w:val="1"/>
                <w:szCs w:val="1"/>
                <w:color w:val="auto"/>
              </w:rPr>
            </w:pPr>
          </w:p>
        </w:tc>
      </w:tr>
      <w:tr>
        <w:trPr>
          <w:trHeight w:val="149"/>
        </w:trPr>
        <w:tc>
          <w:tcPr>
            <w:tcW w:w="54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Treasury stock, at cost (shares: March 31, 2024 – 3.3, March 31, 2023 – 1.9)</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3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48"/>
        </w:trPr>
        <w:tc>
          <w:tcPr>
            <w:tcW w:w="540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(1,145)</w:t>
            </w: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(1,062)</w:t>
            </w:r>
          </w:p>
        </w:tc>
        <w:tc>
          <w:tcPr>
            <w:tcW w:w="0" w:type="dxa"/>
            <w:vAlign w:val="bottom"/>
          </w:tcPr>
          <w:p>
            <w:pPr>
              <w:spacing w:after="0"/>
              <w:rPr>
                <w:sz w:val="1"/>
                <w:szCs w:val="1"/>
                <w:color w:val="auto"/>
              </w:rPr>
            </w:pPr>
          </w:p>
        </w:tc>
      </w:tr>
      <w:tr>
        <w:trPr>
          <w:trHeight w:val="142"/>
        </w:trPr>
        <w:tc>
          <w:tcPr>
            <w:tcW w:w="5400" w:type="dxa"/>
            <w:vAlign w:val="bottom"/>
            <w:tcBorders>
              <w:bottom w:val="single" w:sz="8" w:color="CCEEFF"/>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stockholders’ equity before non-controlling interests</w:t>
            </w:r>
          </w:p>
        </w:tc>
        <w:tc>
          <w:tcPr>
            <w:tcW w:w="7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1,015</w:t>
            </w:r>
          </w:p>
        </w:tc>
        <w:tc>
          <w:tcPr>
            <w:tcW w:w="24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1,365</w:t>
            </w:r>
          </w:p>
        </w:tc>
        <w:tc>
          <w:tcPr>
            <w:tcW w:w="0" w:type="dxa"/>
            <w:vAlign w:val="bottom"/>
          </w:tcPr>
          <w:p>
            <w:pPr>
              <w:spacing w:after="0"/>
              <w:rPr>
                <w:sz w:val="1"/>
                <w:szCs w:val="1"/>
                <w:color w:val="auto"/>
              </w:rPr>
            </w:pPr>
          </w:p>
        </w:tc>
      </w:tr>
      <w:tr>
        <w:trPr>
          <w:trHeight w:val="142"/>
        </w:trPr>
        <w:tc>
          <w:tcPr>
            <w:tcW w:w="5400" w:type="dxa"/>
            <w:vAlign w:val="bottom"/>
            <w:gridSpan w:val="2"/>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Non-controlling interests</w:t>
            </w: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w:t>
            </w:r>
          </w:p>
        </w:tc>
        <w:tc>
          <w:tcPr>
            <w:tcW w:w="24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142"/>
        </w:trPr>
        <w:tc>
          <w:tcPr>
            <w:tcW w:w="5400" w:type="dxa"/>
            <w:vAlign w:val="bottom"/>
            <w:tcBorders>
              <w:bottom w:val="single" w:sz="8" w:color="CCEEFF"/>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equity</w:t>
            </w:r>
          </w:p>
        </w:tc>
        <w:tc>
          <w:tcPr>
            <w:tcW w:w="7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1,122</w:t>
            </w:r>
          </w:p>
        </w:tc>
        <w:tc>
          <w:tcPr>
            <w:tcW w:w="2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1,462</w:t>
            </w:r>
          </w:p>
        </w:tc>
        <w:tc>
          <w:tcPr>
            <w:tcW w:w="0" w:type="dxa"/>
            <w:vAlign w:val="bottom"/>
          </w:tcPr>
          <w:p>
            <w:pPr>
              <w:spacing w:after="0"/>
              <w:rPr>
                <w:sz w:val="1"/>
                <w:szCs w:val="1"/>
                <w:color w:val="auto"/>
              </w:rPr>
            </w:pPr>
          </w:p>
        </w:tc>
      </w:tr>
      <w:tr>
        <w:trPr>
          <w:trHeight w:val="142"/>
        </w:trPr>
        <w:tc>
          <w:tcPr>
            <w:tcW w:w="5400" w:type="dxa"/>
            <w:vAlign w:val="bottom"/>
            <w:tcBorders>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equity</w:t>
            </w:r>
          </w:p>
        </w:tc>
        <w:tc>
          <w:tcPr>
            <w:tcW w:w="7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10,590</w:t>
            </w:r>
          </w:p>
        </w:tc>
        <w:tc>
          <w:tcPr>
            <w:tcW w:w="24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11,464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The accompanying notes are an integral part of the financial statements.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80" w:type="dxa"/>
            <w:vAlign w:val="bottom"/>
          </w:tcPr>
          <w:p>
            <w:pPr>
              <w:spacing w:after="0"/>
              <w:rPr>
                <w:sz w:val="13"/>
                <w:szCs w:val="13"/>
                <w:color w:val="auto"/>
              </w:rPr>
            </w:pP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5"/>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10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90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(340)</w:t>
            </w:r>
          </w:p>
        </w:tc>
        <w:tc>
          <w:tcPr>
            <w:tcW w:w="1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(1,374)</w:t>
            </w: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(229)</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(loss) to cash provided by operating activities:</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Depreciation of property, equipment and capitalized software</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834</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6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Depreciation of right-of-use assets</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319</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Amortization of transition costs and prepaid software</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1,256</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Amortization of capitalized contract costs</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Amortization of acquisition-related intangible assets</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Goodwill impairment</w:t>
            </w:r>
          </w:p>
        </w:tc>
        <w:tc>
          <w:tcPr>
            <w:tcW w:w="14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taxes</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(gain) loss on asset sales and other</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Change in operating assets and liabilities:</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Deferred costs (excluding amortization)</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(1,569)</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(1,592)</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(672)</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Right-of-use assets and liabilities (excluding depreciation)</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(335)</w:t>
            </w:r>
          </w:p>
        </w:tc>
        <w:tc>
          <w:tcPr>
            <w:tcW w:w="18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(361)</w:t>
            </w:r>
          </w:p>
        </w:tc>
        <w:tc>
          <w:tcPr>
            <w:tcW w:w="10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(117)</w:t>
            </w: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6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Workforce rebalancing liabilities</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Receivables</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(305)</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color w:val="auto"/>
              </w:rPr>
              <w:t>Taxes (including items settled with former Parent in 2021 period)</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gridSpan w:val="2"/>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Other assets and other liabilities</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(415)</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60" w:type="dxa"/>
            <w:vAlign w:val="bottom"/>
            <w:tcBorders>
              <w:bottom w:val="single" w:sz="8" w:color="CCEEFF"/>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(used in) operating activities</w:t>
            </w: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454</w:t>
            </w:r>
          </w:p>
        </w:tc>
        <w:tc>
          <w:tcPr>
            <w:tcW w:w="1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781</w:t>
            </w: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189</w:t>
            </w:r>
          </w:p>
        </w:tc>
        <w:tc>
          <w:tcPr>
            <w:tcW w:w="1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Capital expenditures</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(651)</w:t>
            </w:r>
          </w:p>
        </w:tc>
        <w:tc>
          <w:tcPr>
            <w:tcW w:w="1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(865)</w:t>
            </w: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(180)</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disposition of property and equipment</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6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investing activities, net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60" w:type="dxa"/>
            <w:vAlign w:val="bottom"/>
            <w:tcBorders>
              <w:bottom w:val="single" w:sz="8" w:color="CCEEFF"/>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(553)</w:t>
            </w:r>
          </w:p>
        </w:tc>
        <w:tc>
          <w:tcPr>
            <w:tcW w:w="1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(835)</w:t>
            </w: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(225)</w:t>
            </w:r>
          </w:p>
        </w:tc>
        <w:tc>
          <w:tcPr>
            <w:tcW w:w="1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Debt repayments</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(644)</w:t>
            </w:r>
          </w:p>
        </w:tc>
        <w:tc>
          <w:tcPr>
            <w:tcW w:w="1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(118)</w:t>
            </w: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issuance of debt, net of debt issuance costs</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6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transfers (to) from Parent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Common stock repurchases for tax withholdings</w:t>
            </w:r>
          </w:p>
        </w:tc>
        <w:tc>
          <w:tcPr>
            <w:tcW w:w="14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8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financing activities, net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60" w:type="dxa"/>
            <w:vAlign w:val="bottom"/>
            <w:tcBorders>
              <w:bottom w:val="single" w:sz="8" w:color="CCEEFF"/>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(used in) financing activities</w:t>
            </w: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(170)</w:t>
            </w:r>
          </w:p>
        </w:tc>
        <w:tc>
          <w:tcPr>
            <w:tcW w:w="1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(141)</w:t>
            </w: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(43)</w:t>
            </w:r>
          </w:p>
        </w:tc>
        <w:tc>
          <w:tcPr>
            <w:tcW w:w="1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1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6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Net change in cash, cash equivalents and restricted cash</w:t>
            </w: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(306)</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(294)</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(86)</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6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1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1,860</w:t>
            </w:r>
          </w:p>
        </w:tc>
        <w:tc>
          <w:tcPr>
            <w:tcW w:w="1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2,154</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2,240</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60" w:type="dxa"/>
            <w:vAlign w:val="bottom"/>
            <w:tcBorders>
              <w:bottom w:val="single" w:sz="8" w:color="CCEEFF"/>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at end of period</w:t>
            </w:r>
          </w:p>
        </w:tc>
        <w:tc>
          <w:tcPr>
            <w:tcW w:w="1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1,554</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1,860</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2,154</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0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data</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Income taxes paid, net of refunds received</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191</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paid on debt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6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6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EQUITY</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Stock and</w:t>
            </w:r>
          </w:p>
        </w:tc>
        <w:tc>
          <w:tcPr>
            <w:tcW w:w="100" w:type="dxa"/>
            <w:vAlign w:val="bottom"/>
          </w:tcPr>
          <w:p>
            <w:pPr>
              <w:spacing w:after="0"/>
              <w:rPr>
                <w:sz w:val="13"/>
                <w:szCs w:val="13"/>
                <w:color w:val="auto"/>
              </w:rPr>
            </w:pPr>
          </w:p>
        </w:tc>
        <w:tc>
          <w:tcPr>
            <w:tcW w:w="6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Net</w:t>
            </w:r>
          </w:p>
        </w:tc>
        <w:tc>
          <w:tcPr>
            <w:tcW w:w="80" w:type="dxa"/>
            <w:vAlign w:val="bottom"/>
          </w:tcPr>
          <w:p>
            <w:pPr>
              <w:spacing w:after="0"/>
              <w:rPr>
                <w:sz w:val="13"/>
                <w:szCs w:val="13"/>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5"/>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7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5"/>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10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Parent</w:t>
            </w:r>
          </w:p>
        </w:tc>
        <w:tc>
          <w:tcPr>
            <w:tcW w:w="10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740" w:type="dxa"/>
            <w:vAlign w:val="bottom"/>
            <w:gridSpan w:val="3"/>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1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7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0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2"/>
                <w:szCs w:val="2"/>
                <w:color w:val="auto"/>
              </w:rPr>
            </w:pPr>
          </w:p>
        </w:tc>
        <w:tc>
          <w:tcPr>
            <w:tcW w:w="6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2"/>
                <w:szCs w:val="2"/>
                <w:color w:val="auto"/>
              </w:rPr>
            </w:pPr>
          </w:p>
        </w:tc>
        <w:tc>
          <w:tcPr>
            <w:tcW w:w="7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2"/>
                <w:szCs w:val="2"/>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00" w:type="dxa"/>
            <w:vAlign w:val="bottom"/>
          </w:tcPr>
          <w:p>
            <w:pPr>
              <w:spacing w:after="0"/>
              <w:rPr>
                <w:sz w:val="2"/>
                <w:szCs w:val="2"/>
                <w:color w:val="auto"/>
              </w:rPr>
            </w:pPr>
          </w:p>
        </w:tc>
        <w:tc>
          <w:tcPr>
            <w:tcW w:w="5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58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vMerge w:val="continue"/>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Equity - January 1, 2021</w:t>
            </w:r>
          </w:p>
        </w:tc>
        <w:tc>
          <w:tcPr>
            <w:tcW w:w="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6,023</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(1,096)</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4,985</w:t>
            </w:r>
          </w:p>
        </w:tc>
        <w:tc>
          <w:tcPr>
            <w:tcW w:w="0" w:type="dxa"/>
            <w:vAlign w:val="bottom"/>
          </w:tcPr>
          <w:p>
            <w:pPr>
              <w:spacing w:after="0"/>
              <w:rPr>
                <w:sz w:val="1"/>
                <w:szCs w:val="1"/>
                <w:color w:val="auto"/>
              </w:rPr>
            </w:pPr>
          </w:p>
        </w:tc>
      </w:tr>
      <w:tr>
        <w:trPr>
          <w:trHeight w:val="148"/>
        </w:trPr>
        <w:tc>
          <w:tcPr>
            <w:tcW w:w="22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(1,929)</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(375)</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(2,304)</w:t>
            </w:r>
          </w:p>
        </w:tc>
        <w:tc>
          <w:tcPr>
            <w:tcW w:w="0" w:type="dxa"/>
            <w:vAlign w:val="bottom"/>
          </w:tcPr>
          <w:p>
            <w:pPr>
              <w:spacing w:after="0"/>
              <w:rPr>
                <w:sz w:val="1"/>
                <w:szCs w:val="1"/>
                <w:color w:val="auto"/>
              </w:rPr>
            </w:pPr>
          </w:p>
        </w:tc>
      </w:tr>
      <w:tr>
        <w:trPr>
          <w:trHeight w:val="126"/>
        </w:trPr>
        <w:tc>
          <w:tcPr>
            <w:tcW w:w="224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0" w:type="dxa"/>
            <w:vAlign w:val="bottom"/>
          </w:tcPr>
          <w:p>
            <w:pPr>
              <w:spacing w:after="0"/>
              <w:rPr>
                <w:sz w:val="1"/>
                <w:szCs w:val="1"/>
                <w:color w:val="auto"/>
              </w:rPr>
            </w:pPr>
          </w:p>
        </w:tc>
      </w:tr>
      <w:tr>
        <w:trPr>
          <w:trHeight w:val="171"/>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of tax</w:t>
            </w: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4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4"/>
                <w:szCs w:val="14"/>
                <w:color w:val="auto"/>
              </w:rPr>
              <w:t>Issuance of common stock and</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reclassification of net transfers from</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224.1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4,271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(4,095)</w:t>
            </w:r>
          </w:p>
        </w:tc>
        <w:tc>
          <w:tcPr>
            <w:tcW w:w="80" w:type="dxa"/>
            <w:vAlign w:val="bottom"/>
          </w:tcPr>
          <w:p>
            <w:pPr>
              <w:spacing w:after="0"/>
              <w:rPr>
                <w:sz w:val="12"/>
                <w:szCs w:val="12"/>
                <w:color w:val="auto"/>
              </w:rPr>
            </w:pPr>
          </w:p>
        </w:tc>
        <w:tc>
          <w:tcPr>
            <w:tcW w:w="9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(339)</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171"/>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Parent</w:t>
            </w:r>
          </w:p>
        </w:tc>
        <w:tc>
          <w:tcPr>
            <w:tcW w:w="8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4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stock issued under</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71"/>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plans</w:t>
            </w:r>
          </w:p>
        </w:tc>
        <w:tc>
          <w:tcPr>
            <w:tcW w:w="8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Purchases of treasury stock</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Changes in non-controlling interests</w:t>
            </w: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82"/>
        </w:trPr>
        <w:tc>
          <w:tcPr>
            <w:tcW w:w="2240" w:type="dxa"/>
            <w:vAlign w:val="bottom"/>
            <w:tcBorders>
              <w:bottom w:val="single" w:sz="8" w:color="CCEEFF"/>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Equity - December 31, 2021</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224.2</w:t>
            </w:r>
          </w:p>
        </w:tc>
        <w:tc>
          <w:tcPr>
            <w:tcW w:w="8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4,284</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(1,143)</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(375)</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2,767</w:t>
            </w:r>
          </w:p>
        </w:tc>
        <w:tc>
          <w:tcPr>
            <w:tcW w:w="0" w:type="dxa"/>
            <w:vAlign w:val="bottom"/>
          </w:tcPr>
          <w:p>
            <w:pPr>
              <w:spacing w:after="0"/>
              <w:rPr>
                <w:sz w:val="1"/>
                <w:szCs w:val="1"/>
                <w:color w:val="auto"/>
              </w:rPr>
            </w:pPr>
          </w:p>
        </w:tc>
      </w:tr>
      <w:tr>
        <w:trPr>
          <w:trHeight w:val="129"/>
        </w:trPr>
        <w:tc>
          <w:tcPr>
            <w:tcW w:w="22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(229)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(229)</w:t>
            </w:r>
          </w:p>
        </w:tc>
        <w:tc>
          <w:tcPr>
            <w:tcW w:w="0" w:type="dxa"/>
            <w:vAlign w:val="bottom"/>
          </w:tcPr>
          <w:p>
            <w:pPr>
              <w:spacing w:after="0"/>
              <w:rPr>
                <w:sz w:val="1"/>
                <w:szCs w:val="1"/>
                <w:color w:val="auto"/>
              </w:rPr>
            </w:pPr>
          </w:p>
        </w:tc>
      </w:tr>
      <w:tr>
        <w:trPr>
          <w:trHeight w:val="126"/>
        </w:trPr>
        <w:tc>
          <w:tcPr>
            <w:tcW w:w="224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71"/>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of tax</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4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stock issued under</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71"/>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plans</w:t>
            </w:r>
          </w:p>
        </w:tc>
        <w:tc>
          <w:tcPr>
            <w:tcW w:w="8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Purchases of treasury stock</w:t>
            </w:r>
          </w:p>
        </w:tc>
        <w:tc>
          <w:tcPr>
            <w:tcW w:w="9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Changes in non-controlling interests</w:t>
            </w:r>
          </w:p>
        </w:tc>
        <w:tc>
          <w:tcPr>
            <w:tcW w:w="88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182"/>
        </w:trPr>
        <w:tc>
          <w:tcPr>
            <w:tcW w:w="2240" w:type="dxa"/>
            <w:vAlign w:val="bottom"/>
            <w:tcBorders>
              <w:bottom w:val="single" w:sz="8" w:color="CCEEFF"/>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Equity - March 31, 2022</w:t>
            </w: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224.5</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4,315</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(1,089)</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(605)</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94</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2,711</w:t>
            </w:r>
          </w:p>
        </w:tc>
        <w:tc>
          <w:tcPr>
            <w:tcW w:w="0" w:type="dxa"/>
            <w:vAlign w:val="bottom"/>
          </w:tcPr>
          <w:p>
            <w:pPr>
              <w:spacing w:after="0"/>
              <w:rPr>
                <w:sz w:val="1"/>
                <w:szCs w:val="1"/>
                <w:color w:val="auto"/>
              </w:rPr>
            </w:pPr>
          </w:p>
        </w:tc>
      </w:tr>
      <w:tr>
        <w:trPr>
          <w:trHeight w:val="129"/>
        </w:trPr>
        <w:tc>
          <w:tcPr>
            <w:tcW w:w="22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(1,374)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(1,374)</w:t>
            </w:r>
          </w:p>
        </w:tc>
        <w:tc>
          <w:tcPr>
            <w:tcW w:w="0" w:type="dxa"/>
            <w:vAlign w:val="bottom"/>
          </w:tcPr>
          <w:p>
            <w:pPr>
              <w:spacing w:after="0"/>
              <w:rPr>
                <w:sz w:val="1"/>
                <w:szCs w:val="1"/>
                <w:color w:val="auto"/>
              </w:rPr>
            </w:pPr>
          </w:p>
        </w:tc>
      </w:tr>
      <w:tr>
        <w:trPr>
          <w:trHeight w:val="126"/>
        </w:trPr>
        <w:tc>
          <w:tcPr>
            <w:tcW w:w="224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71"/>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of tax</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4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stock issued under</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171"/>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plans</w:t>
            </w:r>
          </w:p>
        </w:tc>
        <w:tc>
          <w:tcPr>
            <w:tcW w:w="8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Purchases of treasury stock</w:t>
            </w:r>
          </w:p>
        </w:tc>
        <w:tc>
          <w:tcPr>
            <w:tcW w:w="9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8"/>
        </w:trPr>
        <w:tc>
          <w:tcPr>
            <w:tcW w:w="22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Changes in non-controlling interests</w:t>
            </w:r>
          </w:p>
        </w:tc>
        <w:tc>
          <w:tcPr>
            <w:tcW w:w="88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2"/>
        </w:trPr>
        <w:tc>
          <w:tcPr>
            <w:tcW w:w="2240" w:type="dxa"/>
            <w:vAlign w:val="bottom"/>
            <w:tcBorders>
              <w:bottom w:val="single" w:sz="8" w:color="CCEEFF"/>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Equity – March 31, 2023</w:t>
            </w: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227.7</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4,428</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(1,062)</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(1,978)</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97</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1,462</w:t>
            </w:r>
          </w:p>
        </w:tc>
        <w:tc>
          <w:tcPr>
            <w:tcW w:w="0" w:type="dxa"/>
            <w:vAlign w:val="bottom"/>
          </w:tcPr>
          <w:p>
            <w:pPr>
              <w:spacing w:after="0"/>
              <w:rPr>
                <w:sz w:val="1"/>
                <w:szCs w:val="1"/>
                <w:color w:val="auto"/>
              </w:rPr>
            </w:pPr>
          </w:p>
        </w:tc>
      </w:tr>
      <w:tr>
        <w:trPr>
          <w:trHeight w:val="129"/>
        </w:trPr>
        <w:tc>
          <w:tcPr>
            <w:tcW w:w="2240" w:type="dxa"/>
            <w:vAlign w:val="bottom"/>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(340)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(340)</w:t>
            </w:r>
          </w:p>
        </w:tc>
        <w:tc>
          <w:tcPr>
            <w:tcW w:w="0" w:type="dxa"/>
            <w:vAlign w:val="bottom"/>
          </w:tcPr>
          <w:p>
            <w:pPr>
              <w:spacing w:after="0"/>
              <w:rPr>
                <w:sz w:val="1"/>
                <w:szCs w:val="1"/>
                <w:color w:val="auto"/>
              </w:rPr>
            </w:pPr>
          </w:p>
        </w:tc>
      </w:tr>
      <w:tr>
        <w:trPr>
          <w:trHeight w:val="126"/>
        </w:trPr>
        <w:tc>
          <w:tcPr>
            <w:tcW w:w="224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(82)</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71"/>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of tax</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24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stock issued under</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171"/>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plans</w:t>
            </w:r>
          </w:p>
        </w:tc>
        <w:tc>
          <w:tcPr>
            <w:tcW w:w="8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Purchases of treasury stock</w:t>
            </w:r>
          </w:p>
        </w:tc>
        <w:tc>
          <w:tcPr>
            <w:tcW w:w="9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49"/>
        </w:trPr>
        <w:tc>
          <w:tcPr>
            <w:tcW w:w="22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Changes in non-controlling interests</w:t>
            </w:r>
          </w:p>
        </w:tc>
        <w:tc>
          <w:tcPr>
            <w:tcW w:w="88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2"/>
        </w:trPr>
        <w:tc>
          <w:tcPr>
            <w:tcW w:w="22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Equity – March 31, 2024</w:t>
            </w: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230.4</w:t>
            </w:r>
          </w:p>
        </w:tc>
        <w:tc>
          <w:tcPr>
            <w:tcW w:w="8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4,524</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(1,145)</w:t>
            </w:r>
          </w:p>
        </w:tc>
        <w:tc>
          <w:tcPr>
            <w:tcW w:w="8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2"/>
                <w:szCs w:val="12"/>
                <w:color w:val="auto"/>
              </w:rPr>
            </w:pPr>
          </w:p>
        </w:tc>
        <w:tc>
          <w:tcPr>
            <w:tcW w:w="16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(2,319)</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1,122</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Kyndryl’s Spin-off</w:t>
      </w:r>
    </w:p>
    <w:p>
      <w:pPr>
        <w:spacing w:after="0" w:line="202"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Kyndryl Holdings, Inc. (“we”, “the Company” or “Kyndryl”) is a leading technology services company and the largest IT infrastructure services provider in the world, serving thousands of enterprise customers whose operations span over 100 countries. Prior to November 3, 2021, the Company was wholly owned by International Business Machines Corporation (“IBM”, “Parent” or “former Parent”).</w:t>
      </w:r>
    </w:p>
    <w:p>
      <w:pPr>
        <w:spacing w:after="0" w:line="13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In November 2021, our former Parent effected the spin-off (the “Separation” or the “Spin-off”) of the infrastructure services unit of its Global Technology Services segment through the distribution of shares of Kyndryl’s common stock representing 80.1% of total shares outstanding to IBM stockholders. Kyndryl’s stock began trading as an independent company on November 4, 2021, and IBM disposed of its 19.9% retained interest in Kyndryl common stock in the year following the Spin-off. In connection with the Separation, the Company entered into several agreements with IBM governing the relationship of the parties following the Separation.</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02"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Our purpose is to design, build and manage secure and responsive private, public and multi-cloud environments to serve our customers’ needs and accelerate their digital transformations. We have a long track record of helping enterprises navigate major technological changes, particularly by enabling our customers to focus on the core aspects of their businesses during these shifts while trusting us with their most critical systems.</w:t>
      </w:r>
    </w:p>
    <w:p>
      <w:pPr>
        <w:spacing w:after="0" w:line="139"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We provide engineering talent, operating solutions and insights derived from our knowledge and data around IT systems. This enables us to deliver advisory, implementation and managed services at scale across technology infrastructures that allow our customers to de-risk and realize the full value of their digital transformations. We do this while embracing new technologies and solutions and continually expanding our skills and capabilities, as we help advance the vital systems that power progress for our customers. We deliver technology services capabilities, insights and depth of expertise to modernize and manage IT environments based on our customers’ unique needs. We offer services across domains such as cloud services, core enterprise and zCloud services, applications, data and artificial intelligence services, digital workplace services, security and resiliency services and network and edge services as we continue to support our customers through technological change. Our services enable us to modernize and manage cloud and on-premises environments as “one” for our customers, enabling them to scale seamlessly. To deliver these services, we rely on our global team of skilled practitioners, consisting of approximately 80,000 professionals.</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02"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Generally Accepted Accounting Principles in the United States (“U.S. GAAP”), which requires us to make estimates and assumptions that impact the amounts reported and disclosed in our consolidated financial statements and the accompanying notes. We prepared these estimates based on the most current and best available information, but actual results could differ materially from these estimates and assumptions.</w:t>
      </w:r>
    </w:p>
    <w:p>
      <w:pPr>
        <w:spacing w:after="0" w:line="143"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financial statements and footnotes for the period from January 1 through November 3, 2021 (the “pre-Separation period”) reflect allocations of certain IBM corporate, infrastructure and shared services expenses using a variety of allocation methodologies that are appropriate for the type of allocated expense. Where possible, these charges were allocated based on direct usage, with the remainder allocated on a pro rata basis of headcount, gross profit, asset or other allocation methodologies that are considered to be a reasonable reflection of the utilization of services provided or the benefit received by Kyndryl during the periods presented.</w:t>
      </w:r>
    </w:p>
    <w:p>
      <w:pPr>
        <w:spacing w:after="0" w:line="147"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For the periods subsequent to November 3, 2021, the financial statements are presented on a consolidated basis as the Company became a standalone public company.</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firstLine="648"/>
        <w:spacing w:after="0" w:line="254" w:lineRule="auto"/>
        <w:rPr>
          <w:sz w:val="20"/>
          <w:szCs w:val="20"/>
          <w:color w:val="auto"/>
        </w:rPr>
      </w:pPr>
      <w:r>
        <w:rPr>
          <w:rFonts w:ascii="Times New Roman" w:cs="Times New Roman" w:eastAsia="Times New Roman" w:hAnsi="Times New Roman"/>
          <w:sz w:val="18"/>
          <w:szCs w:val="18"/>
          <w:color w:val="auto"/>
        </w:rPr>
        <w:t>The income tax provision included in these consolidated financial statements for the pre-Separation period was calculated using the separate return basis, as if Kyndryl filed separate tax returns. The calculation of income taxes on a hypothetical separate return basis requires a considerable amount of judgment and use of both estimates and allocations; pre-Separation current and deferred taxes may not be reflective of the actual tax balances subsequent to the Separation. Current income tax liabilities including amounts for unrecognized tax benefits related to Kyndryl’s activities included in the Parent’s income tax returns were assumed to be immediately settled with Parent through the Net Parent investment account in the Consolidated Balance Sheet and reflected in Net transfers from Parent in the Consolidated Statement of Cash Flows during these periods.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Transition Period</w:t>
      </w:r>
    </w:p>
    <w:p>
      <w:pPr>
        <w:spacing w:after="0" w:line="202"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In January 2022, the Board of Directors of Kyndryl approved a change to the fiscal year-end of the Company from December 31 to March 31. The Company’s 2023 fiscal year began on April 1, 2022 and ended March 31, 2023, and the Company’s 2024 fiscal year began on April 1, 2023 and ended March 31, 2024. The Company filed a Transition Report on Form 10-QT for the period of January 1 to March 31, 2022 (the “Transition Period”) with the U.S. Securities and Exchange Commission (“SEC”) on May 13, 2022.</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8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For the pre-Separation period, the accompanying financial statements were derived from the consolidated financial statements and accounting records of the former Parent as if the Company operated on a standalone basis and were prepared in accordance with U.S. GAAP and pursuant to the rules and regulations of the SEC. Historically, the Company consisted of the managed infrastructure services unit of IBM’s Global Technology Services segment and did not operate as a separate standalone company. All significant intercompany transactions during the pre-Separation period between Kyndryl and IBM have been included in the consolidated financial statements. Intercompany transactions between Kyndryl and IBM were considered to be effectively settled in the consolidated financial statements at the time the transaction was recorded.</w:t>
      </w:r>
    </w:p>
    <w:p>
      <w:pPr>
        <w:spacing w:after="0" w:line="151"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After the Separation on November 3, 2021, the Company’s consolidated financial statements are based on our reported results as a standalone company. All significant transactions and intercompany accounts between Kyndryl entities were eliminated.</w:t>
      </w:r>
    </w:p>
    <w:p>
      <w:pPr>
        <w:spacing w:after="0" w:line="149"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Within the financial statements and tables presented, certain columns and rows may not add due to the use of rounded numbers for disclosure purposes. Percentages presented are calculated from the underlying whole-dollar amounts. Certain items have been recast to conform to current-period presentation.</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8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amounts that are reported in the consolidated financial statements and accompanying disclosures. Estimates are used in determining the following, among others: revenue, costs to complete service contracts, income taxes, pension assumptions, valuation of assets including goodwill and intangible assets, the depreciable and amortizable lives of long-lived assets, loss contingencies, allowance for credit losses, deferred transition costs and other matters. Estimates were also used in determining the allocation of costs and expenses from IBM for the pre-Separation period. These estimates are based on management’s knowledge of current events, historical experience and actions that the Company may undertake in the future and on various other assumptions that are believed to be reasonable under the circumstances. Actual results may be different from these estimates.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jc w:val="both"/>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The Company accounts for a contract with a client when it has written approval, the contract is committed, the rights of the parties, including payment terms, are identified, the contract has commercial substance and consideration is probable of collection.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Revenue is recognized when, or as, control of a promised service or product transfers to a client, in an amount that reflects the consideration to which the Company expects to be entitled in exchange for transferring those products or services. If the consideration promised in a contract includes a variable amount, the Company estimates the amount to which it expects to be entitled using either the expected value or most likely amount method. The Company’s contracts may include terms that could cause variability in the transaction price, including, for example, rebates, volume discounts, service-level penalties and performance bonuses or other forms of variable consideration. In certain rare circumstances, if we grant the customer the right to return a product and receive a full or partial credit or refund of any consideration paid, the Company (i) recognizes revenue for the transferred products in the amount of consideration to which it expects to be entitled, (ii) records a refund liability and (iii) recognizes an asset for its right to recover products from customers on settling the refund liability.</w:t>
      </w:r>
    </w:p>
    <w:p>
      <w:pPr>
        <w:spacing w:after="0" w:line="194"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The Company only includes estimated amounts in the transaction price to the extent it is probable that a significant reversal of cumulative revenue recognized will not occur when the uncertainty associated with the variable consideration is resolved. The Company may not be able to reliably estimate variable consideration in certain long-term arrangements due to uncertainties that are not expected to be resolved for a long period of time or when the Company’s experience with similar types of contracts is limited. Changes in estimates of variable consideration are included in Note 3 – Revenue Recognition.</w:t>
      </w:r>
    </w:p>
    <w:p>
      <w:pPr>
        <w:spacing w:after="0" w:line="187"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The Company’s standard billing terms are that payment is due upon receipt of invoice, payable within 30 days. Invoices are generally issued as services are rendered and/or as control transfers, either at monthly or quarterly intervals or upon achievement of contractual milestones. In some services contracts, the Company bills the client prior to recognizing revenue from performing the services. In these cases, deferred income is presented in the Consolidated Balance Sheet. In other services contracts, the Company performs the services prior to billing the client. When the Company performs services prior to billing the client, the right to consideration is typically subject to milestone completion or client acceptance, and the amount is recorded as a contract asset. Contract assets are generally classified as current and are recorded on a net basis with deferred income (i.e., contract liabilities) at the contract level. Refer to Note 3 – Revenue Recognition for contract assets for the periods presented.</w:t>
      </w:r>
    </w:p>
    <w:p>
      <w:pPr>
        <w:spacing w:after="0" w:line="188"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Company’s rights to consideration are presented separately depending on whether those rights are conditional or unconditional; total conditional contract assets of $30 million at March 31, 2024 and 2023 are included in prepaid expenses and other current assets in the Consolidated Balance Sheet. Total unconditional contract assets (“unbilled accounts receivable”) of $377 million and $384 million at March 31, 2024 and 2023, respectively, are included in accounts receivable in the Consolidated Balance Sheet.</w:t>
      </w:r>
    </w:p>
    <w:p>
      <w:pPr>
        <w:spacing w:after="0" w:line="183"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Additionally, in determining the transaction price, the Company would adjust the promised amount of consideration for the effects of the time value of money if the billing terms are not standard and the timing of payments agreed to by the parties to the contract provide the client or the Company with a significant benefit of financing, in which case the contract contains a significant financing component. As a practical expedient, the Company does not account for significant financing components if the period between when the Company transfers the promised product or service to the client and when the client pays for that product or service will be one year or less.</w:t>
      </w:r>
    </w:p>
    <w:p>
      <w:pPr>
        <w:spacing w:after="0" w:line="187" w:lineRule="exact"/>
        <w:rPr>
          <w:sz w:val="20"/>
          <w:szCs w:val="20"/>
          <w:color w:val="auto"/>
        </w:rPr>
      </w:pPr>
    </w:p>
    <w:p>
      <w:pPr>
        <w:ind w:left="60" w:right="79" w:firstLine="648"/>
        <w:spacing w:after="0" w:line="273" w:lineRule="auto"/>
        <w:rPr>
          <w:sz w:val="20"/>
          <w:szCs w:val="20"/>
          <w:color w:val="auto"/>
        </w:rPr>
      </w:pPr>
      <w:r>
        <w:rPr>
          <w:rFonts w:ascii="Times New Roman" w:cs="Times New Roman" w:eastAsia="Times New Roman" w:hAnsi="Times New Roman"/>
          <w:sz w:val="17"/>
          <w:szCs w:val="17"/>
          <w:color w:val="auto"/>
        </w:rPr>
        <w:t>The Company may include subcontractor services or original equipment manufacturer (OEM) hardware and/or OEM software components in certain integrated services arrangements. In these types of arrangements, revenue from sales of OEM hardware and/or OEM software components or services is recorded net of costs when the Company is acting as an agent between the client and the vendor and gross when the Company is the principal for the transaction. To determine whether the Company is an agent or principal, the Company considers whether it obtains control of the products or services before they are transferred to the customer. In making this evaluation, several factors are considered, most notably whether the Company has primary responsibility for fulfillment to the client, as well as inventory risk and pricing discretion.</w:t>
      </w:r>
    </w:p>
    <w:p>
      <w:pPr>
        <w:spacing w:after="0" w:line="171" w:lineRule="exact"/>
        <w:rPr>
          <w:sz w:val="20"/>
          <w:szCs w:val="20"/>
          <w:color w:val="auto"/>
        </w:rPr>
      </w:pPr>
    </w:p>
    <w:p>
      <w:pPr>
        <w:ind w:left="60" w:right="579" w:firstLine="648"/>
        <w:spacing w:after="0" w:line="282" w:lineRule="auto"/>
        <w:rPr>
          <w:sz w:val="20"/>
          <w:szCs w:val="20"/>
          <w:color w:val="auto"/>
        </w:rPr>
      </w:pPr>
      <w:r>
        <w:rPr>
          <w:rFonts w:ascii="Times New Roman" w:cs="Times New Roman" w:eastAsia="Times New Roman" w:hAnsi="Times New Roman"/>
          <w:sz w:val="18"/>
          <w:szCs w:val="18"/>
          <w:color w:val="auto"/>
        </w:rPr>
        <w:t>The Company reports revenue net of any revenue-based taxes assessed by governmental authorities that are imposed on and concurrent with specific revenue-producing transactions.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22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The Company’s capabilities as an infrastructure services company include offerings that often encompass multiple types of services and may integrate various OEM hardware and/or OEM software components. When an arrangement contains multiple separate performance obligations, revenue follows the specific revenue recognition policies for each performance obligation, depending on the type of offering. The Company determines if the products or services are distinct and allocates the consideration to each separate performance obligation on a relative standalone selling price basis. When products and services are not distinct, the Company determines an appropriate measure of progress based on the nature of its overall promise for the single performance obligation.</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revenue policies below are applied to each performance obligation, as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Standalone Selling Price</w:t>
      </w:r>
    </w:p>
    <w:p>
      <w:pPr>
        <w:spacing w:after="0" w:line="22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Company allocates the transaction price to each performance obligation on a relative standalone selling price basis. The standalone selling price (SSP) is the price at which the Company would sell a promised product or service separately to a client. The Company establishes SSP based on management’s estimated selling price or observable prices of products or services sold separately in comparable circumstances to similar clients. For OEM hardware and/or OEM software components, the Company is able to establish SSP based on the cost from the vendor. The Company reassesses SSP ranges on a periodic basis or when facts and circumstances change.</w:t>
      </w:r>
    </w:p>
    <w:p>
      <w:pPr>
        <w:spacing w:after="0" w:line="187"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In certain instances, the Company may not be able to establish an SSP range based on observable prices and the Company estimates SSP. The Company estimates SSP by considering multiple factors including, but not limited to, overall market conditions, including geographic or regional specific factors, competitive positioning, competitor actions, internal costs, profit objectives and pricing practices. Estimating SSP is a formal process that includes review and approval by the Company’s management.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Nature of Products and Services</w:t>
      </w:r>
    </w:p>
    <w:p>
      <w:pPr>
        <w:spacing w:after="0" w:line="22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The Company delivers transformation and secure cloud services capabilities, insights and depth of expertise to modernize and manage IT environments based on its customers’ needs. The Company offers services such as cloud managed services, application hosting and modernization, security and resiliency services, enterprise infrastructure services, digital workplace services, network services and distributed cloud services to support its customers through technological change. Many of these services can be delivered entirely or partially through cloud or as-a-service delivery models. The Company’s services are provided on a time-and-material basis, as a fixed-price contract or as a fixed-price-per-measure-of-output contract, and the contract terms range from less than one year to over 10 years. The Company typically satisfies the performance obligation and recognizes revenue over time in services arrangements because the client simultaneously receives and consumes the benefits provided as the Company performs the services.</w:t>
      </w:r>
    </w:p>
    <w:p>
      <w:pPr>
        <w:spacing w:after="0" w:line="188"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outsourcing, other managed services, application management and other cloud-based services arrangements, the Company determines whether the services performed during the initial phases of the arrangement, such as setup activities, are distinct. In most cases, the arrangement is a single performance obligation comprised of a series of distinct services that are substantially the same and that have the same pattern of transfer (i.e., distinct days of service). The Company applies a measure of progress (typically time-based) to any fixed consideration and allocates variable consideration to the distinct periods of service based on usage. As a result, revenue is generally recognized over the period the services are provided on a usage basis. This results in revenue recognition that corresponds with the value to the client of the services transferred to date relative to the remaining services promised.</w:t>
      </w:r>
    </w:p>
    <w:p>
      <w:pPr>
        <w:spacing w:after="0" w:line="192"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Revenue from time-and-material contracts is recognized on an output basis as labor hours are delivered and/or direct expenses are incurred. Revenue from as-a-service type contracts is recognized either on a straight-line basis or on a usage basis, depending on the terms of the arrangement (such as whether the Company is standing ready to perform or whether the contract has usage-based metrics). If an as-a-service contract includes setup activities, those promises in the arrangement are evaluated to determine if they are distinct.</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In design and build arrangements, revenue is recognized based on progress toward completion of the performance obligation using a cost-to-cost measure of progress (e.g., labor costs incurred to date as a percentage of the total estimated labor costs to fulfill the contract). The estimation of cost at completion is complex, subject to many variables and requires significant judgment. Changes in original estimates are reflected in revenue on a cumulative catch-up basis in the period in which the circumstances that gave rise to the revision become known by the Company. Refer to Note 3 – Revenue Recognition for the amount of revenue recognized in the reporting period on a cumulative catch-up basis (i.e., from performance obligations satisfied, or partially satisfied, in previous periods).</w:t>
      </w:r>
    </w:p>
    <w:p>
      <w:pPr>
        <w:spacing w:after="0" w:line="189" w:lineRule="exact"/>
        <w:rPr>
          <w:sz w:val="20"/>
          <w:szCs w:val="20"/>
          <w:color w:val="auto"/>
        </w:rPr>
      </w:pPr>
    </w:p>
    <w:p>
      <w:pPr>
        <w:ind w:left="60" w:right="399" w:firstLine="648"/>
        <w:spacing w:after="0" w:line="258" w:lineRule="auto"/>
        <w:rPr>
          <w:sz w:val="20"/>
          <w:szCs w:val="20"/>
          <w:color w:val="auto"/>
        </w:rPr>
      </w:pPr>
      <w:r>
        <w:rPr>
          <w:rFonts w:ascii="Times New Roman" w:cs="Times New Roman" w:eastAsia="Times New Roman" w:hAnsi="Times New Roman"/>
          <w:sz w:val="18"/>
          <w:szCs w:val="18"/>
          <w:color w:val="auto"/>
        </w:rPr>
        <w:t>The Company performs ongoing profitability analyses of its design and build services contracts accounted for using a cost-to-cost measure of progress to determine whether the latest estimates of revenues, costs and profits require updating. If at any time these estimates indicate that the contract will be unprofitable, the entire estimated loss for the remainder of the contract is recorded immediately. For other types of services contracts, any losses are recorded as incurred.</w:t>
      </w:r>
    </w:p>
    <w:p>
      <w:pPr>
        <w:spacing w:after="0" w:line="183"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Company’s services offerings may include the integration and/or sale of OEM hardware and/or software components. Contracts that include hardware and/or software components are evaluated to determine if they are separate performance obligations as discussed in “Performance Obligations” above. For distinct OEM hardware sales, revenue is recognized when control has transferred to the customer, which typically occurs when the hardware has been shipped to the client, risk of loss has transferred to the client and the Company has a present right to payment for the hardware.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Cost of Services</w:t>
      </w:r>
    </w:p>
    <w:p>
      <w:pPr>
        <w:spacing w:after="0" w:line="22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Recurring operating costs for services contracts are recognized as incurred. Certain eligible, nonrecurring costs (i.e., setup costs) incurred in the initial phases of outsourcing contracts and other cloud-based services contracts, are capitalized when the costs relate directly to the contract, the costs generate or enhance resources of the Company that will be used in satisfying the performance obligation in the future and the costs are expected to be recovered. These costs consist of transition and setup costs related to the installation of systems and processes and other deferred fulfillment costs, including, for example, prepaid assets used in services contracts (i.e., prepaid software or prepaid maintenance). Capitalized costs are amortized on a straight-line basis over the expected period of benefit, which approximates the pattern of transfer to the client of the services to which the asset relates and includes anticipated contract renewals or extensions. Additionally, fixed assets associated with these contracts are capitalized and depreciated on a straight-line basis over the expected useful life of the asset and recorded in cost of sales. If an asset is contract-specific and cannot be repurposed, then the depreciation period is the shorter of the useful life of the asset or the contract term. The Company performs periodic reviews to assess the recoverability of deferred contract transition and setup costs. If the carrying amount is deemed not recoverable, an impairment loss is recognized. Refer to Note 3 – Revenue Recognition for the amount of deferred costs to fulfill a contract at March 31, 2024 and 2023.</w:t>
      </w:r>
    </w:p>
    <w:p>
      <w:pPr>
        <w:spacing w:after="0" w:line="197" w:lineRule="exact"/>
        <w:rPr>
          <w:sz w:val="20"/>
          <w:szCs w:val="20"/>
          <w:color w:val="auto"/>
        </w:rPr>
      </w:pPr>
    </w:p>
    <w:p>
      <w:pPr>
        <w:ind w:left="60" w:right="419" w:firstLine="648"/>
        <w:spacing w:after="0" w:line="266" w:lineRule="auto"/>
        <w:rPr>
          <w:sz w:val="20"/>
          <w:szCs w:val="20"/>
          <w:color w:val="auto"/>
        </w:rPr>
      </w:pPr>
      <w:r>
        <w:rPr>
          <w:rFonts w:ascii="Times New Roman" w:cs="Times New Roman" w:eastAsia="Times New Roman" w:hAnsi="Times New Roman"/>
          <w:sz w:val="18"/>
          <w:szCs w:val="18"/>
          <w:color w:val="auto"/>
        </w:rPr>
        <w:t>In situations in which an outsourcing contract is terminated, the terms of the contract may require the client to reimburse the Company for the recovery of unbilled accounts receivable, unamortized deferred contract costs and additional costs incurred by the Company to transition the services.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Incremental Costs of Obtaining a Contract</w:t>
      </w:r>
    </w:p>
    <w:p>
      <w:pPr>
        <w:spacing w:after="0" w:line="229"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Incremental costs of obtaining a contract (e.g., sales commissions) are capitalized and amortized on a straight-line basis, which approximates the pattern that the assets’ economic benefits are expected to be consumed, over the expected customer relationship period if the Company expects to recover those costs. The expected customer relationship period is determined based on the average customer relationship period, including expected renewals, for each offering type and ranges from three to six years. Expected renewal periods are only included in the expected customer relationship period if commission amounts paid upon renewal are not commensurate with amounts paid on the initial contract. Incremental costs of obtaining a contract include only those costs the Company incurs to obtain a contract that it would not have incurred if the contract had not been obtained. The Company has determined that certain commissions programs meet the requirements to be capitalized. For contracts shorter than one year, the Company has elected the practical expedient to recognize sales commissions as incurred. Additionally, some commission programs are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39"/>
        <w:spacing w:after="0" w:line="282" w:lineRule="auto"/>
        <w:rPr>
          <w:sz w:val="20"/>
          <w:szCs w:val="20"/>
          <w:color w:val="auto"/>
        </w:rPr>
      </w:pPr>
      <w:r>
        <w:rPr>
          <w:rFonts w:ascii="Times New Roman" w:cs="Times New Roman" w:eastAsia="Times New Roman" w:hAnsi="Times New Roman"/>
          <w:sz w:val="18"/>
          <w:szCs w:val="18"/>
          <w:color w:val="auto"/>
        </w:rPr>
        <w:t>not subject to capitalization as the revenue for services is paid over time and the commission expense is paid and recognized as the related revenue is recognized.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Expense and Other (Income)</w:t>
      </w:r>
    </w:p>
    <w:p>
      <w:pPr>
        <w:spacing w:after="0" w:line="22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Expense and other income within the Company’s financial statements through the Separation reflect allocations to the Company by IBM based on direct usage, with the remainder allocated on a pro-rata basis of gross profit, headcount, assets or other measures the Company has determined as reasonable. Expense and other income within the Company’s consolidated financial statements for the periods from November 4, 2021 onward is based on our reported results as a standalone company.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(“SG&amp;A”) expense is charged to income as incurred, except for certain sales commissions, which are capitalized and amortized. For further information regarding capitalizing sales commissions, see “Incremental Costs of Obtaining a Contract” above. Expenses of promoting and selling services are classified as selling expense and, in addition to sales commissions, include such items as compensation, advertising and travel. General and administrative expense includes such items as compensation, legal costs, office supplies, non-income taxes, insurance and office rental. In addition, general and administrative expense includes other operating items such as allowance for credit losses, amortization of certain intangible assets and research, development and engineering (“RD&amp;E”) costs. Total RD&amp;E costs were $58 million, $79 million, $23 million, and $63 million for the years ended March 31, 2024 and 2023, the three months ended March 31, 2022 (transition period), and the year ended December 31, 2021, respectively.</w:t>
      </w:r>
    </w:p>
    <w:p>
      <w:pPr>
        <w:spacing w:after="0" w:line="188"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Advertising and promotional costs are expensed as incurred. Advertising and promotional expense, which includes media, agency and promotional expense directly incurred by the Company was $115 million, $136 million, $54 million, and $56 million for the years ended March 31, 2024 and 2023, the three months ended March 31, 2022 (transition period), and the year ended December 31, 2021, respectively. Costs related to the initial establishment of the Kyndryl brand are recorded in Transaction-related costs in the Consolidated Income Statement. All other advertising and promotional costs are recorded in SG&amp;A expense in the Consolidated Income Statement.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p>
      <w:pPr>
        <w:spacing w:after="0" w:line="229" w:lineRule="exact"/>
        <w:rPr>
          <w:sz w:val="20"/>
          <w:szCs w:val="20"/>
          <w:color w:val="auto"/>
        </w:rPr>
      </w:pPr>
    </w:p>
    <w:p>
      <w:pPr>
        <w:ind w:left="60" w:right="139" w:firstLine="648"/>
        <w:spacing w:after="0" w:line="289" w:lineRule="auto"/>
        <w:rPr>
          <w:sz w:val="20"/>
          <w:szCs w:val="20"/>
          <w:color w:val="auto"/>
        </w:rPr>
      </w:pPr>
      <w:r>
        <w:rPr>
          <w:rFonts w:ascii="Times New Roman" w:cs="Times New Roman" w:eastAsia="Times New Roman" w:hAnsi="Times New Roman"/>
          <w:sz w:val="17"/>
          <w:szCs w:val="17"/>
          <w:color w:val="auto"/>
        </w:rPr>
        <w:t>Other expense primarily consists of (income) and expense related to certain components of retirement-related costs, including interest costs, expected return on plan assets, amortization of prior service costs (credits), curtailments and settlements and other net periodic benefit costs. Also included are gains and losses from foreign currency transactions.</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Defined Benefit Pension and Nonpension Postretirement Benefit Plans</w:t>
      </w:r>
    </w:p>
    <w:p>
      <w:pPr>
        <w:spacing w:after="0" w:line="229"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Prior to the Separation, the defined benefit plans and nonpension postretirement benefit plans in which certain Kyndryl employees participated were sponsored by IBM. During this period, the Consolidated Income Statement reflected a proportional allocation of net period benefit cost based on headcount associated with the Company.</w:t>
      </w:r>
    </w:p>
    <w:p>
      <w:pPr>
        <w:spacing w:after="0" w:line="176"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For defined benefit pension plans, the benefit obligation is the projected benefit obligation (PBO), which represents the actuarial present value of benefits expected to be paid upon retirement based on employee services already rendered and estimated future compensation levels. For nonpension postretirement benefit plans, the benefit obligation is the accumulated postretirement benefit obligation (APBO), which represents the actuarial present value of postretirement benefits attributed to employee services already rendered. The fair value of plan assets represents the current market value of assets held for the benefit of participants. For co-sponsored plans, the fair value of plan assets based on Company contributions, distributions and market returns and the benefit obligation attributed to employees of the Company are allocated to Kyndryl.</w:t>
      </w:r>
    </w:p>
    <w:p>
      <w:pPr>
        <w:spacing w:after="0" w:line="192" w:lineRule="exact"/>
        <w:rPr>
          <w:sz w:val="20"/>
          <w:szCs w:val="20"/>
          <w:color w:val="auto"/>
        </w:rPr>
      </w:pPr>
    </w:p>
    <w:p>
      <w:pPr>
        <w:ind w:left="60" w:right="619" w:firstLine="648"/>
        <w:spacing w:after="0" w:line="312" w:lineRule="auto"/>
        <w:rPr>
          <w:sz w:val="20"/>
          <w:szCs w:val="20"/>
          <w:color w:val="auto"/>
        </w:rPr>
      </w:pPr>
      <w:r>
        <w:rPr>
          <w:rFonts w:ascii="Times New Roman" w:cs="Times New Roman" w:eastAsia="Times New Roman" w:hAnsi="Times New Roman"/>
          <w:sz w:val="17"/>
          <w:szCs w:val="17"/>
          <w:color w:val="auto"/>
        </w:rPr>
        <w:t>Overfunded plans, in which the fair value of plan assets exceeds the benefit obligation, are aggregated, and recorded in pension assets in the Consolidated Balance Sheet. Underfunded plans, in which the benefit obligation</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exceeds the fair value of plan assets, are aggregated and the noncurrent portion of this excess is recorded in retirement and nonpension postretirement benefit obligations in the Consolidated Balance Sheet. The current portion of the benefit obligation in excess of the fair value of plan assets represents the actuarial present value of benefits payable in the next twelve months, measured on a plan-by-plan basis. The current portion of this obligation is recorded in accrued compensation and benefits in the Consolidated Balance Sheet.</w:t>
      </w:r>
    </w:p>
    <w:p>
      <w:pPr>
        <w:spacing w:after="0" w:line="183"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Net periodic benefit cost of defined benefit pension and nonpension postretirement benefit plans is recorded in the Consolidated Income Statement and includes service cost, interest cost, expected return on plan assets, amortization of prior service costs (credits) and actuarial (gains) losses previously recognized as a component of other comprehensive income (loss) (OCI). The service cost component of net benefit cost is recorded in Cost of services and SG&amp;A in the Consolidated Income Statement (unless eligible for capitalization) based on the employees’ respective functions. The other components of net benefit cost are presented separately from service cost within other expense in the Consolidated Income Statement.</w:t>
      </w:r>
    </w:p>
    <w:p>
      <w:pPr>
        <w:spacing w:after="0" w:line="18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Actuarial (gains) losses and prior service costs (credits) are recognized as a component of OCI in the Consolidated Statement of Comprehensive Income (Loss) as they arise. Those actuarial (gains) losses and prior service costs (credits) are subsequently recognized as a component of net periodic benefit cost pursuant to the recognition and amortization provisions of applicable accounting guidance. Actuarial (gains) losses arise as a result of differences between actual experience and assumptions or as a result of changes in actuarial assumptions. Prior service costs (credits) represent the cost of benefit changes attributable to prior service granted in plan amendments.</w:t>
      </w:r>
    </w:p>
    <w:p>
      <w:pPr>
        <w:spacing w:after="0" w:line="187"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The measurement of benefit obligations and net periodic benefit cost is based on estimates and assumptions approved by the Company’s management. These valuations reflect the terms of the plans and use participant-specific information such as compensation, age and years of service, as well as certain assumptions, including estimates of discount rates, expected return on plan assets, rate of compensation increases, interest crediting rates and mortality rates.</w:t>
      </w:r>
    </w:p>
    <w:p>
      <w:pPr>
        <w:spacing w:after="0" w:line="180" w:lineRule="exact"/>
        <w:rPr>
          <w:sz w:val="20"/>
          <w:szCs w:val="20"/>
          <w:color w:val="auto"/>
        </w:rPr>
      </w:pPr>
    </w:p>
    <w:p>
      <w:pPr>
        <w:jc w:val="both"/>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The Company participates in non-U.S. multi-employer pension plans and makes required contributions to those plans, which are recorded in Cost of services and SG&amp;A in the Consolidated Income Statement based on the employees’ respective functions.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Defined Contribution Plans</w:t>
      </w:r>
    </w:p>
    <w:p>
      <w:pPr>
        <w:spacing w:after="0" w:line="22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Prior to the Separation, the Parent offered various defined contribution plans for U.S. and non-U.S. employees. In September 2021, in preparation for the Separation, Kyndryl established standalone defined contribution plans, and employees identified as Kyndryl employees were enrolled into these plans. Contribution expense associated with employer matching benefits is recorded when the employee renders service to the Company. The charge is recorded in Cost of services and SG&amp;A in the Consolidated Income Statement based on the employees’ respective functions.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Stock-based compensation expense represents the cost related to stock-based awards granted to employees under Kyndryl’s stock-based compensation plan (the “Kyndryl Plan”). The Company establishes stock-based compensation values at the grant date, based on the estimated fair value of the award and recognizes the cost on a straight-line basis (net of actual forfeitures) over the requisite employee service period. Kyndryl grants the Company’s employees Restricted Stock Units (RSUs), market-conditioned stock units, performance-conditioned stock units and stock options. RSUs are stock units granted to employees that entitle the holder to shares of Kyndryl common stock as the award vests, typically over a one- to four-year period. Market-conditioned stock units are granted to employees with vesting conditions based on the Company’s achievement of a market condition and are cliff vested at the end of the three-year service period. Performance-conditioned stock units are granted to employees with vesting conditions based on the attainment of operational targets (e.g., signings and free cash flows) and are cliff vested at the end of the three-year performance period. Stock options are vested over a one- to four-year period and have a ten-year contractual term. As of March 31, 2024, 47.9 million shares of common stock have been approved to be granted to employees under the Kyndryl Plan. Dividend equivalents are not paid on the stock-based awards described above.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648"/>
        <w:spacing w:after="0" w:line="255" w:lineRule="auto"/>
        <w:rPr>
          <w:sz w:val="20"/>
          <w:szCs w:val="20"/>
          <w:color w:val="auto"/>
        </w:rPr>
      </w:pPr>
      <w:r>
        <w:rPr>
          <w:rFonts w:ascii="Times New Roman" w:cs="Times New Roman" w:eastAsia="Times New Roman" w:hAnsi="Times New Roman"/>
          <w:sz w:val="18"/>
          <w:szCs w:val="18"/>
          <w:color w:val="auto"/>
        </w:rPr>
        <w:t>The fair value of the RSUs is determined on the grant date based on Kyndryl’s stock price, adjusted for the exclusion of dividend equivalents where applicable. The fair value of market-conditioned stock units is determined on the date of grant using a Monte Carlo simulation model which estimates the probability of satisfying market conditions. The fair value of the performance-conditioned stock units is determined on the grant date based on Kyndryl’s stock price and subsequently adjusted based on the probability of attainment. The fair value of stock options is determined on the grant date using a Black-Scholes model. Stock-based compensation cost is recorded in Cost of services and SG&amp;A in the Consolidated Income Statement based on the employees’ respective functions.</w:t>
      </w:r>
    </w:p>
    <w:p>
      <w:pPr>
        <w:spacing w:after="0" w:line="189"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Prior to the Separation, the Company participated in various IBM stock-based compensation plans, including incentive compensation plans. All awards granted under the plans were based on IBM’s common shares and, as such, were reflected in the former Parent’s Consolidated Statement of Stockholders’ Equity. For the pre-Separation period, stock-based compensation cost is based on the awards and terms previously granted by the former Parent to employees who exclusively supported Kyndryl operations. At the time of Kyndryl’s Spin-off, each outstanding IBM RSU and PSU held by a Kyndryl employee was converted into a Kyndryl RSU. The equity award exchange ratio was determined as the closing per share price of IBM shares on the last trading day prior to the Spin-off divided by the opening price of Kyndryl common stock on the first trading day following the Spin-off.</w:t>
      </w:r>
    </w:p>
    <w:p>
      <w:pPr>
        <w:spacing w:after="0" w:line="192"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Company records deferred tax assets for awards that result in tax deductions in the consolidated financial statements calculated based on the amount of compensation cost recognized and the relevant statutory tax rates. The differences between the deferred tax assets recognized for financial reporting purposes and the actual tax deduction reported on the income tax return are recorded as a benefit or expense to the provision for income taxes in the Consolidated Income Statement.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229"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Prior to the third quarter of 2021, Kyndryl did not independently execute derivative financial instruments to manage its foreign currency risk and instead participated in a centralized foreign currency hedging program administered by IBM. The hedging activity allocated to Kyndryl was for the management of the Company’s forecasted foreign currency expenses.</w:t>
      </w:r>
    </w:p>
    <w:p>
      <w:pPr>
        <w:spacing w:after="0" w:line="180"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After the Separation, the Company started using derivative financial instruments to manage foreign currency risk. The Company does not use derivative financial instruments for trading or speculative purposes. Derivative financial instruments that qualify for hedge accounting are designated as either cash flow hedges or net investment hedges. Additionally, the Company may enter into derivative contracts that economically hedge certain risks, even when hedge accounting does not apply, or the Company elects not to apply hedge accounting.</w:t>
      </w:r>
    </w:p>
    <w:p>
      <w:pPr>
        <w:spacing w:after="0" w:line="183"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Derivatives are recognized in the Consolidated Balance Sheet at fair value on a gross basis as either assets or liabilities and classified as current or noncurrent based upon whether the maturity of the instrument is less than or greater than twelve months.</w:t>
      </w:r>
    </w:p>
    <w:p>
      <w:pPr>
        <w:spacing w:after="0" w:line="176" w:lineRule="exact"/>
        <w:rPr>
          <w:sz w:val="20"/>
          <w:szCs w:val="20"/>
          <w:color w:val="auto"/>
        </w:rPr>
      </w:pPr>
    </w:p>
    <w:p>
      <w:pPr>
        <w:ind w:left="60" w:right="199" w:firstLine="648"/>
        <w:spacing w:after="0" w:line="253" w:lineRule="auto"/>
        <w:rPr>
          <w:sz w:val="20"/>
          <w:szCs w:val="20"/>
          <w:color w:val="auto"/>
        </w:rPr>
      </w:pPr>
      <w:r>
        <w:rPr>
          <w:rFonts w:ascii="Times New Roman" w:cs="Times New Roman" w:eastAsia="Times New Roman" w:hAnsi="Times New Roman"/>
          <w:sz w:val="18"/>
          <w:szCs w:val="18"/>
          <w:color w:val="auto"/>
        </w:rPr>
        <w:t>Changes in the fair value of derivatives designated as cash flow hedges are recorded, net of applicable taxes, in OCI and subsequently reclassified into the same income statement line item as the hedged exposure when the underlying hedged item is recognized in earnings. Derivatives designated as net investment hedges are accounted for using the spot method, with changes in the fair value of the derivatives attributable to changes in spot rates recorded within foreign currency translation (“CTA”) as a component of other comprehensive income (loss) and remaining there until the hedged net investments are sold or substantially liquidated. The changes in the fair value of the derivatives that are attributable to changes in the difference between the forward rate and spot rate are excluded from the assessment of hedge effectiveness. The changes in fair value that are attributable to the excluded components are initially recorded in CTA and then recognized in interest expense on the Consolidated Income Statement over the life of the derivative instruments. Changes in fair value of derivatives not designated as hedges are reported in other expense in the Consolidated Income Statement. See Note 7 – Financial Assets and Liabilities for further information.</w:t>
      </w:r>
    </w:p>
    <w:p>
      <w:pPr>
        <w:spacing w:after="0" w:line="192" w:lineRule="exact"/>
        <w:rPr>
          <w:sz w:val="20"/>
          <w:szCs w:val="20"/>
          <w:color w:val="auto"/>
        </w:rPr>
      </w:pPr>
    </w:p>
    <w:p>
      <w:pPr>
        <w:ind w:left="60" w:right="639" w:firstLine="648"/>
        <w:spacing w:after="0" w:line="312" w:lineRule="auto"/>
        <w:rPr>
          <w:sz w:val="20"/>
          <w:szCs w:val="20"/>
          <w:color w:val="auto"/>
        </w:rPr>
      </w:pPr>
      <w:r>
        <w:rPr>
          <w:rFonts w:ascii="Times New Roman" w:cs="Times New Roman" w:eastAsia="Times New Roman" w:hAnsi="Times New Roman"/>
          <w:sz w:val="17"/>
          <w:szCs w:val="17"/>
          <w:color w:val="auto"/>
        </w:rPr>
        <w:t>The cash flows associated with derivatives designated as cash flow hedges are reported as cash flows from operating activities in the Consolidated Statement of Cash Flows. Cash flows from derivatives designated as net</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investment hedges are reported as cash flows from investing activities in the Consolidated Statement of Cash Flows, except for cash flows from the periodic interest settlements of cross-currency interest rate swaps designated as net investment hedges, which are reported as cash flows from operating activities in the Consolidated Statement of Cash Flows. Cash flows from derivatives not designated as hedges are reported as cash flows from investing activities in the Consolidated Statement of Cash Flows.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Translation of Non-U.S. Currency Amounts</w:t>
      </w:r>
    </w:p>
    <w:p>
      <w:pPr>
        <w:spacing w:after="0" w:line="229"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Assets and liabilities of non-U.S. subsidiaries that have a local functional currency are translated to U.S. dollars at year-end exchange rates. Translation adjustments are recorded in OCI. Income and expense items are translated at weighted-average rates of exchange prevailing during the year.</w:t>
      </w:r>
    </w:p>
    <w:p>
      <w:pPr>
        <w:spacing w:after="0" w:line="176"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Property and equipment, deferred income and other non-monetary assets and liabilities of non-U.S. subsidiaries and branches that operate in U.S. dollars are translated at the approximate exchange rates prevailing when the Company acquired the assets or liabilities. All other assets and liabilities denominated in a currency other than U.S. dollars are translated at year-end exchange rates with the transaction gain or loss recognized in other expense. Income and expense items are translated at the weighted-average rates of exchange prevailing during the year. These translation gains and losses are included in net income for the period in which exchange rates change.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left="60" w:right="719" w:firstLine="648"/>
        <w:spacing w:after="0" w:line="282" w:lineRule="auto"/>
        <w:rPr>
          <w:sz w:val="20"/>
          <w:szCs w:val="20"/>
          <w:color w:val="auto"/>
        </w:rPr>
      </w:pPr>
      <w:r>
        <w:rPr>
          <w:rFonts w:ascii="Times New Roman" w:cs="Times New Roman" w:eastAsia="Times New Roman" w:hAnsi="Times New Roman"/>
          <w:sz w:val="18"/>
          <w:szCs w:val="18"/>
          <w:color w:val="auto"/>
        </w:rPr>
        <w:t>All highly liquid investments with an original maturity of three months or less on the date of purchase are considered to be cash equivalents.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Accounts Receivable and Allowance for Current Expected Credit Losses</w:t>
      </w:r>
    </w:p>
    <w:p>
      <w:pPr>
        <w:spacing w:after="0" w:line="229"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The Company classifies the right to consideration in exchange for products or services transferred to a client as a receivable. Receivables are recorded concurrent with billing and delivery of a service to customers. An allowance for uncollectible receivables and contract assets, if needed, is estimated based on specific customer situations, current and future expected economic conditions and past experiences of losses, as well as an assessment of potential recoverability of the balance due.</w:t>
      </w:r>
    </w:p>
    <w:p>
      <w:pPr>
        <w:spacing w:after="0" w:line="183"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Receivable losses are charged against the allowance in the period in which the receivable is deemed uncollectible. Subsequent recoveries, if any, are credited to the allowance. Write-offs of receivables and associated reserves occur to the extent that the customer is no longer in operation and/or there is no reasonable expectation of additional collections or repossession.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Transfers of Financial Assets</w:t>
      </w:r>
    </w:p>
    <w:p>
      <w:pPr>
        <w:spacing w:after="0" w:line="229"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Company has entered into agreements with third-party financial institutions to sell certain financial assets (primarily trade receivables) without recourse. The Company has determined these are true sales. The carrying value of the financial asset sold is derecognized, and a net gain or loss on the sale is recognized, at the time of the transfer. The first agreement, which was executed in November 2021 and subsequently amended, enabled us to sell certain of our trade receivables to the counterparty. The initial term of this agreement was 18 months, and the agreement automatically resets to a term of 18 months after every six months, unless either party elects not to extend. The second agreement was executed in June 2022 with a separate third-party financial institution and renews automatically on its anniversary date.</w:t>
      </w:r>
    </w:p>
    <w:p>
      <w:pPr>
        <w:spacing w:after="0" w:line="189" w:lineRule="exact"/>
        <w:rPr>
          <w:sz w:val="20"/>
          <w:szCs w:val="20"/>
          <w:color w:val="auto"/>
        </w:rPr>
      </w:pPr>
    </w:p>
    <w:p>
      <w:pPr>
        <w:ind w:left="60" w:right="79" w:firstLine="648"/>
        <w:spacing w:after="0" w:line="274" w:lineRule="auto"/>
        <w:rPr>
          <w:sz w:val="20"/>
          <w:szCs w:val="20"/>
          <w:color w:val="auto"/>
        </w:rPr>
      </w:pPr>
      <w:r>
        <w:rPr>
          <w:rFonts w:ascii="Times New Roman" w:cs="Times New Roman" w:eastAsia="Times New Roman" w:hAnsi="Times New Roman"/>
          <w:sz w:val="17"/>
          <w:szCs w:val="17"/>
          <w:color w:val="auto"/>
        </w:rPr>
        <w:t>The net proceeds from these arrangements are reflected as cash provided by operating activities in the Consolidated Statement of Cash Flows. Gross proceeds from receivables sold to third parties and the financing division of our former Parent were $3.6 billion, $3.1 billion, $485 million, and $2.5 billion for the years ended March 31, 2024 and 2023, the three months ended March 31, 2022, and the year ended December 31, 2021, respectively. The fees associated with the transfers of receivables were $49 million for the year ended March 31, 2024, $47 million for the year ended March 31, 2023, $7 million for the three months ended March 31, 2022, and not material for the year ended December 31, 2021.</w:t>
      </w:r>
    </w:p>
    <w:p>
      <w:pPr>
        <w:sectPr>
          <w:pgSz w:w="11900" w:h="16838" w:orient="portrait"/>
          <w:cols w:equalWidth="0" w:num="1">
            <w:col w:w="9019"/>
          </w:cols>
          <w:pgMar w:left="1440" w:top="513" w:right="1440"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229" w:lineRule="exact"/>
        <w:rPr>
          <w:sz w:val="20"/>
          <w:szCs w:val="20"/>
          <w:color w:val="auto"/>
        </w:rPr>
      </w:pPr>
    </w:p>
    <w:p>
      <w:pPr>
        <w:jc w:val="both"/>
        <w:ind w:left="60" w:right="419" w:firstLine="648"/>
        <w:spacing w:after="0" w:line="266" w:lineRule="auto"/>
        <w:rPr>
          <w:sz w:val="20"/>
          <w:szCs w:val="20"/>
          <w:color w:val="auto"/>
        </w:rPr>
      </w:pPr>
      <w:r>
        <w:rPr>
          <w:rFonts w:ascii="Times New Roman" w:cs="Times New Roman" w:eastAsia="Times New Roman" w:hAnsi="Times New Roman"/>
          <w:sz w:val="18"/>
          <w:szCs w:val="18"/>
          <w:color w:val="auto"/>
        </w:rPr>
        <w:t>In determining the fair value of its financial instruments, the Company uses methods and assumptions that are based on market conditions and risks existing at each balance sheet date. All methods of assessing fair value result in a general approximation of value, and such value may never actually be realized.</w:t>
      </w:r>
    </w:p>
    <w:p>
      <w:pPr>
        <w:spacing w:after="0" w:line="176"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Company classifies certain assets and liabilities based on the following fair value hierarchy:</w:t>
      </w:r>
    </w:p>
    <w:p>
      <w:pPr>
        <w:spacing w:after="0" w:line="176" w:lineRule="exact"/>
        <w:rPr>
          <w:sz w:val="20"/>
          <w:szCs w:val="20"/>
          <w:color w:val="auto"/>
        </w:rPr>
      </w:pPr>
    </w:p>
    <w:p>
      <w:pPr>
        <w:ind w:left="1040" w:right="139" w:hanging="315"/>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(unadjusted) in active markets for identical assets or liabilities that can be accessed at the measurement date;</w:t>
      </w:r>
    </w:p>
    <w:p>
      <w:pPr>
        <w:spacing w:after="0" w:line="161" w:lineRule="exact"/>
        <w:rPr>
          <w:rFonts w:ascii="Times New Roman" w:cs="Times New Roman" w:eastAsia="Times New Roman" w:hAnsi="Times New Roman"/>
          <w:sz w:val="18"/>
          <w:szCs w:val="18"/>
          <w:color w:val="auto"/>
        </w:rPr>
      </w:pPr>
    </w:p>
    <w:p>
      <w:pPr>
        <w:ind w:left="1040" w:right="659" w:hanging="315"/>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included within Level 1 that are observable for the asset or liability, either directly or indirectly; and</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for the asset or liability.</w:t>
      </w:r>
    </w:p>
    <w:p>
      <w:pPr>
        <w:spacing w:after="0" w:line="225" w:lineRule="exact"/>
        <w:rPr>
          <w:sz w:val="20"/>
          <w:szCs w:val="20"/>
          <w:color w:val="auto"/>
        </w:rPr>
      </w:pPr>
    </w:p>
    <w:p>
      <w:pPr>
        <w:ind w:left="60" w:right="299" w:firstLine="648"/>
        <w:spacing w:after="0" w:line="261" w:lineRule="auto"/>
        <w:rPr>
          <w:sz w:val="20"/>
          <w:szCs w:val="20"/>
          <w:color w:val="auto"/>
        </w:rPr>
      </w:pPr>
      <w:r>
        <w:rPr>
          <w:rFonts w:ascii="Times New Roman" w:cs="Times New Roman" w:eastAsia="Times New Roman" w:hAnsi="Times New Roman"/>
          <w:sz w:val="18"/>
          <w:szCs w:val="18"/>
          <w:color w:val="auto"/>
        </w:rPr>
        <w:t>Items valued using internally generated models are classified according to the lowest level input or value driver that is significant to the valuation. The determination of fair value considers various factors including interest rate yield curves and time value underlying the financial instruments. For derivatives and debt securities, the Company uses a discounted cash flow analysis using discount rates commensurate with the duration of the instrument.</w:t>
      </w:r>
    </w:p>
    <w:p>
      <w:pPr>
        <w:spacing w:after="0" w:line="180" w:lineRule="exact"/>
        <w:rPr>
          <w:sz w:val="20"/>
          <w:szCs w:val="20"/>
          <w:color w:val="auto"/>
        </w:rPr>
      </w:pPr>
    </w:p>
    <w:p>
      <w:pPr>
        <w:ind w:left="60" w:right="819" w:firstLine="648"/>
        <w:spacing w:after="0" w:line="266" w:lineRule="auto"/>
        <w:rPr>
          <w:sz w:val="20"/>
          <w:szCs w:val="20"/>
          <w:color w:val="auto"/>
        </w:rPr>
      </w:pPr>
      <w:r>
        <w:rPr>
          <w:rFonts w:ascii="Times New Roman" w:cs="Times New Roman" w:eastAsia="Times New Roman" w:hAnsi="Times New Roman"/>
          <w:sz w:val="18"/>
          <w:szCs w:val="18"/>
          <w:color w:val="auto"/>
        </w:rPr>
        <w:t>In determining the fair value of financial instruments, the Company considers certain market valuation adjustments to the “base valuations” using the methodologies described below for several parameters that market participants would consider in determining fair value:</w:t>
      </w:r>
    </w:p>
    <w:p>
      <w:pPr>
        <w:spacing w:after="0" w:line="176" w:lineRule="exact"/>
        <w:rPr>
          <w:sz w:val="20"/>
          <w:szCs w:val="20"/>
          <w:color w:val="auto"/>
        </w:rPr>
      </w:pPr>
    </w:p>
    <w:p>
      <w:pPr>
        <w:jc w:val="both"/>
        <w:ind w:left="1040" w:right="79" w:hanging="315"/>
        <w:spacing w:after="0" w:line="266"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credit risk adjustments are applied to financial instruments, taking into account the actual credit risk of a counterparty as observed in the credit default swap market to determine the true fair value of such an instrument.</w:t>
      </w:r>
    </w:p>
    <w:p>
      <w:pPr>
        <w:spacing w:after="0" w:line="175" w:lineRule="exact"/>
        <w:rPr>
          <w:rFonts w:ascii="Times New Roman" w:cs="Times New Roman" w:eastAsia="Times New Roman" w:hAnsi="Times New Roman"/>
          <w:sz w:val="18"/>
          <w:szCs w:val="18"/>
          <w:color w:val="auto"/>
        </w:rPr>
      </w:pPr>
    </w:p>
    <w:p>
      <w:pPr>
        <w:ind w:left="1040" w:right="79" w:hanging="315"/>
        <w:spacing w:after="0" w:line="266"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 adjustments are applied to reflect the Company’s own credit risk when valuing all liabilities measured at fair value. The methodology is consistent with that applied in developing counterparty credit risk adjustments, but incorporates the Company’s credit risk as observed in the credit default swap market.</w:t>
      </w:r>
    </w:p>
    <w:p>
      <w:pPr>
        <w:spacing w:after="0" w:line="176" w:lineRule="exact"/>
        <w:rPr>
          <w:sz w:val="20"/>
          <w:szCs w:val="20"/>
          <w:color w:val="auto"/>
        </w:rPr>
      </w:pPr>
    </w:p>
    <w:p>
      <w:pPr>
        <w:ind w:left="60" w:right="299" w:firstLine="648"/>
        <w:spacing w:after="0" w:line="258" w:lineRule="auto"/>
        <w:rPr>
          <w:sz w:val="20"/>
          <w:szCs w:val="20"/>
          <w:color w:val="auto"/>
        </w:rPr>
      </w:pPr>
      <w:r>
        <w:rPr>
          <w:rFonts w:ascii="Times New Roman" w:cs="Times New Roman" w:eastAsia="Times New Roman" w:hAnsi="Times New Roman"/>
          <w:sz w:val="18"/>
          <w:szCs w:val="18"/>
          <w:color w:val="auto"/>
        </w:rPr>
        <w:t>Certain non-financial assets such as property, plant and equipment, operating right-of-use assets, land, goodwill and intangible assets are recorded at fair value or at cost, as appropriate, in the period they are initially recognized, and such fair value may be adjusted in subsequent periods if an event occurs or circumstances change that indicate that the asset may be impaired. The impairment models used for non-financial assets depend on the type of asset. The fair value measurements, in such instances, would be classified in Level 3 of the fair value hierarchy.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Supplier Financing Program</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In the year ended March 31, 2024, the Company initiated a supplier financing program with a third-party financial institution under which the Company agrees to pay the financial institution the stated amounts of invoices from participating suppliers on the originally invoiced due date, which have an average term of 90 to 120 days. The financial institution offers earlier payment of the invoices at the sole discretion of the supplier for a discounted amount. The Company does not provide secured legal assets or other forms of guarantees under the arrangements. The Company is not a party to the arrangement between its suppliers and the financial institution. The Company or the financial institution may terminate the agreement upon at least 180 days notice. The Company’s obligations under this program continue to be recognized as accounts payable in the Consolidated Balance Sheet. The obligations outstanding under this program at March 31, 2024 were immaterial.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When procuring goods or services, the Company determines whether an arrangement contains a lease at its inception. As part of that evaluation, the Company considers whether there is an implicitly or explicitly identified asset in the arrangement and whether the Company, as the lessee, has the right to control the use of that asset. Leases are classified as either finance leases or operating leases.</w:t>
      </w:r>
    </w:p>
    <w:p>
      <w:pPr>
        <w:spacing w:after="0" w:line="180"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The Company recognized right-of-use (“ROU”) assets and associated lease liabilities in the Consolidated Balance Sheet for leases with a term of more than twelve months when a majority percentage of utilization was attributed to the Company. The lease liabilities recognized pre-Separation were measured at the lease commencement date and determined using the present value of the lease payments not yet paid and the former Parent’s incremental borrowing rate, since they were negotiated by the former Parent prior to Separation. Any new or modified leases entered into after the Separation are measured at Kyndryl’s incremental borrowing rate, as the interest rate implicit in the lease is generally not determinable in transactions where the Company is the lessee. The ROU asset equals the lease liability adjusted for any initial direct costs, prepaid rent and lease incentives. The Company’s variable lease payments generally relate to payments tied to various indexes, non-lease components and payments above a contractual minimum fixed amount.</w:t>
      </w:r>
    </w:p>
    <w:p>
      <w:pPr>
        <w:spacing w:after="0" w:line="188"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Operating leases are included in operating right-of-use assets net, operating lease liabilities (current and non-current) in the Consolidated Balance Sheet. Finance leases are included in property and equipment, current portion of long-term debt and long-term debt in the Consolidated Balance Sheet. The lease term includes options to extend or terminate the lease when it is reasonably certain that the Company will exercise that option.</w:t>
      </w:r>
    </w:p>
    <w:p>
      <w:pPr>
        <w:spacing w:after="0" w:line="180" w:lineRule="exact"/>
        <w:rPr>
          <w:sz w:val="20"/>
          <w:szCs w:val="20"/>
          <w:color w:val="auto"/>
        </w:rPr>
      </w:pPr>
    </w:p>
    <w:p>
      <w:pPr>
        <w:ind w:left="60" w:right="419" w:firstLine="648"/>
        <w:spacing w:after="0" w:line="282" w:lineRule="auto"/>
        <w:rPr>
          <w:sz w:val="20"/>
          <w:szCs w:val="20"/>
          <w:color w:val="auto"/>
        </w:rPr>
      </w:pPr>
      <w:r>
        <w:rPr>
          <w:rFonts w:ascii="Times New Roman" w:cs="Times New Roman" w:eastAsia="Times New Roman" w:hAnsi="Times New Roman"/>
          <w:sz w:val="18"/>
          <w:szCs w:val="18"/>
          <w:color w:val="auto"/>
        </w:rPr>
        <w:t>The Company made a policy election to not recognize leases with a lease term of twelve months or less in the Consolidated Balance Sheet.</w:t>
      </w:r>
    </w:p>
    <w:p>
      <w:pPr>
        <w:spacing w:after="0" w:line="162"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For all asset classes, the Company has elected the lessee practical expedient to combine lease and non-lease components (e.g., maintenance services) and account for the combined unit as a single lease component. A significant portion of the Company’s lease portfolio is real estate leases, which are mainly accounted for as operating leases and are primarily used for corporate offices and data centers. The average term of the real estate leases is approximately five years. The Company also has equipment leases, such as for IT equipment and vehicles, which have lease terms that range from two to five years. For certain of these operating and finance leases, the Company applies a portfolio approach to account for the lease assets and lease liabilities.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Intangible Assets Including Goodwill</w:t>
      </w:r>
    </w:p>
    <w:p>
      <w:pPr>
        <w:spacing w:after="0" w:line="22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net assets, including the amount assigned to identifiable intangible assets. The primary drivers that generate goodwill are the value of synergies between the acquired entities and the Company and the acquired assembled workforce, neither of which qualifies as a separately identifiable intangible asset. Goodwill recorded in an acquisition is assigned to applicable reporting units based on expected revenues or expected cash flows. Goodwill inherited from the former Parent pre-Separation represents the historical goodwill balances in IBM’s managed infrastructure services business arising from acquisitions specific to the Company. Identifiable intangible assets with finite lives are amortized on a straight-line basis over their useful lives, which approximates the pattern that the assets’ economic benefits are expected to be consumed over time. Amortization of completed technology is recorded in cost of services, and amortization of all other intangible assets is recorded in SG&amp;A expense. All costs related to internally developed computer software during the preliminary project stage and post-implementation operation stage are expensed as incurred. Costs incurred during application development stage are capitalized and included in intangibles and amortized over the estimated useful life of the software.</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Impairment</w:t>
      </w:r>
    </w:p>
    <w:p>
      <w:pPr>
        <w:spacing w:after="0" w:line="229"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Long-lived assets, other than goodwill, are tested for impairment whenever events or changes in circumstances indicate that the carrying amount may not be recoverable. The impairment test is based on undiscounted cash flows and, if impaired, the asset is written down to fair value based on either discounted cash flows or appraised values. Goodwill is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61" w:lineRule="auto"/>
        <w:rPr>
          <w:sz w:val="20"/>
          <w:szCs w:val="20"/>
          <w:color w:val="auto"/>
        </w:rPr>
      </w:pPr>
      <w:r>
        <w:rPr>
          <w:rFonts w:ascii="Times New Roman" w:cs="Times New Roman" w:eastAsia="Times New Roman" w:hAnsi="Times New Roman"/>
          <w:sz w:val="18"/>
          <w:szCs w:val="18"/>
          <w:color w:val="auto"/>
        </w:rPr>
        <w:t>tested for impairment at least annually and whenever changes in circumstances indicate an impairment may exist. The goodwill impairment test is performed at the reporting unit level, which aligns with our operating segments. Impairment charges related to long-lived assets, intangible assets and goodwill, if any, are recorded as impairment expense in the Consolidated Income Statement.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Transaction-Related Costs (Benefits)</w:t>
      </w:r>
    </w:p>
    <w:p>
      <w:pPr>
        <w:spacing w:after="0" w:line="229" w:lineRule="exact"/>
        <w:rPr>
          <w:sz w:val="20"/>
          <w:szCs w:val="20"/>
          <w:color w:val="auto"/>
        </w:rPr>
      </w:pPr>
    </w:p>
    <w:p>
      <w:pPr>
        <w:ind w:left="60" w:right="239" w:firstLine="648"/>
        <w:spacing w:after="0" w:line="256" w:lineRule="auto"/>
        <w:rPr>
          <w:sz w:val="20"/>
          <w:szCs w:val="20"/>
          <w:color w:val="auto"/>
        </w:rPr>
      </w:pPr>
      <w:r>
        <w:rPr>
          <w:rFonts w:ascii="Times New Roman" w:cs="Times New Roman" w:eastAsia="Times New Roman" w:hAnsi="Times New Roman"/>
          <w:sz w:val="18"/>
          <w:szCs w:val="18"/>
          <w:color w:val="auto"/>
        </w:rPr>
        <w:t>The Company classifies certain expenses and benefits related to the Separation, acquisitions and divestitures (if any) as “transaction-related costs (benefits)” in the Consolidated Income Statement. Transaction-related costs include employee retention expenses, information technology costs, marketing expenses to establish the Kyndryl brand, legal, accounting, consulting and other professional service costs required to prepare for and execute the Separation, costs and benefits resulting from settlements with our former Parent associated with pre-Separation and Separation-related matters, and other costs related to contract and supplier novation and integration.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Workforce Rebalancing and Site-Rationalization Charges</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Company has incurred workforce rebalancing charges, charges related to ceasing to use leased and owned fixed assets and charges related to lease terminations. We record a liability for employee termination benefits either when it is probable that an employee is entitled to it and the amount of the benefits can be reasonably estimated or when management has communicated the termination plan to employees. Workforce rebalancing charges are recorded as a separate line on the Consolidated Income Statement. Charges related to ceasing to use leased assets and owned fixed assets and charges related to lease terminations are recognized as cost of services or selling, general and administrative expenses based on our classification policy for each category. Refer to Note 19 – Workforce Rebalancing and Site-Rationalization Charges for details of this program.</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jc w:val="both"/>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Property and equipment are recorded at cost, or in the case of acquired property and equipment, at fair value at the date of the acquisition. Expenditures for repairs and maintenance costs are expensed as incurred, whereas expenditures that extend the life or increase the functionality of the asset are capitalized as additions to property and equipment. When assets are retired or otherwise disposed of, the cost and related accumulated depreciation are removed from the accounts, and any resulting gain or loss is included in the determination of net income or loss.</w:t>
      </w:r>
    </w:p>
    <w:p>
      <w:pPr>
        <w:spacing w:after="0" w:line="183"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In March 2024, the Company completed its assessment of the useful lives of its information technology equipment. Based on our usage experience and data analysis, the Company determined it should increase the estimated useful lives of its information technology equipment from five to six years. This change in accounting estimate will be effective beginning April 1, 2024 and applied on a prospective basis to these assets on the Company’s balance sheet as of March 31, 2024, as well as future asset purchases. Based on the net carrying value of information technology equipment, in the Company’s Consolidated Balance Sheet as of March 31, 2024, the Company estimates this change will decrease non-cash depreciation expense for fiscal year 2025 by approximately $180 million.</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We compute depreciation expense on a straight-line method over the estimated useful lives of the assets as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follows: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3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10"/>
        </w:trPr>
        <w:tc>
          <w:tcPr>
            <w:tcW w:w="5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160" w:type="dxa"/>
            <w:vAlign w:val="bottom"/>
            <w:tcBorders>
              <w:top w:val="single" w:sz="8" w:color="CCEEFF"/>
            </w:tcBorders>
            <w:shd w:val="clear" w:color="auto" w:fill="CCEEFF"/>
          </w:tcPr>
          <w:p>
            <w:pPr>
              <w:spacing w:after="0"/>
              <w:rPr>
                <w:sz w:val="18"/>
                <w:szCs w:val="18"/>
                <w:color w:val="auto"/>
              </w:rPr>
            </w:pPr>
          </w:p>
        </w:tc>
        <w:tc>
          <w:tcPr>
            <w:tcW w:w="3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 to 50 years</w:t>
            </w:r>
          </w:p>
        </w:tc>
      </w:tr>
      <w:tr>
        <w:trPr>
          <w:trHeight w:val="216"/>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Land improvements</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 years</w:t>
            </w:r>
          </w:p>
        </w:tc>
      </w:tr>
      <w:tr>
        <w:trPr>
          <w:trHeight w:val="216"/>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Estimated useful life or term of lease</w:t>
            </w:r>
          </w:p>
        </w:tc>
      </w:tr>
      <w:tr>
        <w:trPr>
          <w:trHeight w:val="216"/>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 and other equipment</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 to 20 years</w:t>
            </w:r>
          </w:p>
        </w:tc>
      </w:tr>
      <w:tr>
        <w:trPr>
          <w:trHeight w:val="216"/>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Information technology equipment (acquired as used)</w:t>
            </w:r>
          </w:p>
        </w:tc>
        <w:tc>
          <w:tcPr>
            <w:tcW w:w="3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 to 3 years</w:t>
            </w:r>
          </w:p>
        </w:tc>
      </w:tr>
      <w:tr>
        <w:trPr>
          <w:trHeight w:val="234"/>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Information technology equipment (acquired as new)**</w:t>
            </w: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55" w:lineRule="exact"/>
        <w:rPr>
          <w:sz w:val="20"/>
          <w:szCs w:val="20"/>
          <w:color w:val="auto"/>
        </w:rPr>
      </w:pPr>
    </w:p>
    <w:p>
      <w:pPr>
        <w:ind w:left="60" w:right="759" w:hanging="10"/>
        <w:spacing w:after="0" w:line="261" w:lineRule="auto"/>
        <w:tabs>
          <w:tab w:leader="none" w:pos="31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Leasehold improvements are amortized over the shorter of their estimated useful lives or the related lease term, rarely exceeding 10 years. ** Extended to six years effective April 1, 2024.</w:t>
      </w:r>
    </w:p>
    <w:p>
      <w:pPr>
        <w:sectPr>
          <w:pgSz w:w="11900" w:h="16838" w:orient="portrait"/>
          <w:cols w:equalWidth="0" w:num="1">
            <w:col w:w="9019"/>
          </w:cols>
          <w:pgMar w:left="1440" w:top="513" w:right="1440"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Environmental</w:t>
      </w:r>
    </w:p>
    <w:p>
      <w:pPr>
        <w:spacing w:after="0" w:line="229" w:lineRule="exact"/>
        <w:rPr>
          <w:sz w:val="20"/>
          <w:szCs w:val="20"/>
          <w:color w:val="auto"/>
        </w:rPr>
      </w:pPr>
    </w:p>
    <w:p>
      <w:pPr>
        <w:jc w:val="both"/>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The costs of internal environmental protection programs that are preventative in nature are expensed as incurred. When a cleanup program becomes likely and it is probable that the Company will incur cleanup costs and those costs can be reasonably estimated, the Company accrues remediation costs for known environmental liabilities.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left="60" w:right="159" w:firstLine="648"/>
        <w:spacing w:after="0" w:line="253" w:lineRule="auto"/>
        <w:rPr>
          <w:sz w:val="20"/>
          <w:szCs w:val="20"/>
          <w:color w:val="auto"/>
        </w:rPr>
      </w:pPr>
      <w:r>
        <w:rPr>
          <w:rFonts w:ascii="Times New Roman" w:cs="Times New Roman" w:eastAsia="Times New Roman" w:hAnsi="Times New Roman"/>
          <w:sz w:val="18"/>
          <w:szCs w:val="18"/>
          <w:color w:val="auto"/>
        </w:rPr>
        <w:t>Prior to the Separation, our operations were included in the consolidated U.S. federal and certain state and local and foreign income tax returns filed by our former Parent. The Company also filed certain separate foreign income tax returns. For purposes of the historical periods presented on a “carve-out” basis, the income tax provisions have been calculated using the separate return basis, as if the Company filed separate tax returns. The separate return method applies the accounting guidance for income taxes to the standalone financial statements as if the Company were a separate taxpayer and a standalone enterprise for the periods presented. Tax attributes have been reported based on the hypothetical separate return basis results for the periods presented in the Company’s financial statements. The calculation of income taxes on a hypothetical separate return basis requires a considerable amount of judgment and use of both estimates and allocations; pre-Separation current and deferred taxes may not be reflective of the actual tax balances subsequent to the Separation.</w:t>
      </w:r>
    </w:p>
    <w:p>
      <w:pPr>
        <w:spacing w:after="0" w:line="194"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Post-Separation, the income tax provisions are calculated based on Kyndryl’s operating footprint, as well as tax return elections and assertions. Prior to the Separation, current income tax liabilities including amounts for unrecognized tax benefits related to our activities included in IBM’s income tax returns were deemed to be immediately settled with IBM through the Net Parent investment account in the Consolidated Balance Sheet and reflected in Net transfers from Parent in the financing activities section in the Consolidated Statement of Cash Flows. Post-Separation, liabilities related to unrecognized tax benefits for which the Company is liable are reported within the Consolidated Balance Sheet based upon tax authorities’ ability to assert the Company may be the primary obligor for historical taxes, among other factors.</w:t>
      </w:r>
    </w:p>
    <w:p>
      <w:pPr>
        <w:spacing w:after="0" w:line="18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Income tax expense is based on reported income before income taxes. Deferred income taxes reflect the tax effect of temporary differences between asset and liability amounts that are recognized for financial reporting purposes and the amounts that are recognized for income tax purposes. These deferred taxes are measured by applying currently enacted tax laws. U.S. tax reform introduced Global Intangible Low-Taxed Income (“GILTI”), which subjects a U.S. shareholder to current tax on income earned by certain foreign subsidiaries. GAAP allows companies to either (i) recognize deferred taxes for temporary differences that are expected to reverse as GILTI in future years or (ii) account for taxes on GILTI as period costs in the year the tax is incurred. The Company has elected to recognize GILTI impact in the specific period in which it occurs.</w:t>
      </w:r>
    </w:p>
    <w:p>
      <w:pPr>
        <w:spacing w:after="0" w:line="192"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Valuation allowances are recognized to reduce deferred tax assets to the amount that will more likely than not be realized. In assessing the need for a valuation allowance, management considers all available evidence for each jurisdiction including past operating results, estimates of future taxable income and the feasibility of ongoing tax planning strategies and actions. When there is a change in the determination as to the amount of deferred tax assets that can be realized, the valuation allowance is adjusted with a corresponding impact to provision for income taxes in the period in which such determination is made.</w:t>
      </w:r>
    </w:p>
    <w:p>
      <w:pPr>
        <w:spacing w:after="0" w:line="187"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The Company recognizes additional tax liabilities when the Company believes that certain positions may not be fully sustained upon review by tax authorities. Benefits from tax positions are measured at the largest amount of benefit that is greater than 50 percent likely of being realized upon settlement. The noncurrent portion of tax liabilities is included in other liabilities in the Consolidated Balance Sheet. To the extent that new information becomes available which causes the Company to change its judgment regarding the adequacy of existing tax liabilities, such changes to tax liabilities will impact income tax expense in the period in which such determination is made. Interest and penalties, if any, related to accrued liabilities for potential tax assessments are included in income tax expense.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229"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Net loss per share is computed by dividing net loss for the period by the weighted-average number of common shares outstanding during the period. The calculation of basic and diluted earnings per share for the pre-Separation period was based on the number of shares outstanding on November 4, 2021. Refer to Note 6 – Net Loss per Share for a reconciliation as well as Note 15 – Stock-based Compensation for further discussion on awards.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ACCOUNTING PRONOUNCEMENTS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Standards Implemented</w:t>
      </w:r>
    </w:p>
    <w:p>
      <w:pPr>
        <w:spacing w:after="0" w:line="229"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March 2020, the Financial Accounting Standards Board (“FASB”) issued Accounting Standards Update (“ASU”) 2020-04, </w:t>
      </w:r>
      <w:r>
        <w:rPr>
          <w:rFonts w:ascii="Times New Roman" w:cs="Times New Roman" w:eastAsia="Times New Roman" w:hAnsi="Times New Roman"/>
          <w:sz w:val="18"/>
          <w:szCs w:val="18"/>
          <w:i w:val="1"/>
          <w:iCs w:val="1"/>
          <w:color w:val="auto"/>
        </w:rPr>
        <w:t>Reference Rate Reform (Topic 848) – Facilitation of the Effects of Reference Rate Reform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Reporting, </w:t>
      </w:r>
      <w:r>
        <w:rPr>
          <w:rFonts w:ascii="Times New Roman" w:cs="Times New Roman" w:eastAsia="Times New Roman" w:hAnsi="Times New Roman"/>
          <w:sz w:val="18"/>
          <w:szCs w:val="18"/>
          <w:color w:val="auto"/>
        </w:rPr>
        <w:t>which included a sunset provision within Topic 848 based on expectations of when the London Interbank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Offered Rate (“LIBOR”) would cease being published. The FASB issued temporary, optional expedients related to the accounting for contract modifications and hedging transactions as a result of markets transitioning from the use of LIBOR and other interbank offered rates to alternative reference rates. In December 2022, the FASB issued ASU 2022-06, </w:t>
      </w:r>
      <w:r>
        <w:rPr>
          <w:rFonts w:ascii="Times New Roman" w:cs="Times New Roman" w:eastAsia="Times New Roman" w:hAnsi="Times New Roman"/>
          <w:sz w:val="18"/>
          <w:szCs w:val="18"/>
          <w:i w:val="1"/>
          <w:iCs w:val="1"/>
          <w:color w:val="auto"/>
        </w:rPr>
        <w:t>Reference Rate Reform (Topic 848): Deferral of the Sunset Date of Topic 848</w:t>
      </w:r>
      <w:r>
        <w:rPr>
          <w:rFonts w:ascii="Times New Roman" w:cs="Times New Roman" w:eastAsia="Times New Roman" w:hAnsi="Times New Roman"/>
          <w:sz w:val="18"/>
          <w:szCs w:val="18"/>
          <w:color w:val="auto"/>
        </w:rPr>
        <w:t>, deferring the sunset date of Topic 848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2024. In June 2023, the Company modified its contracts that use LIBOR, transitioning from LIBOR to the Secured Overnight Financing Rate (“SOFR”). The use of SOFR became effective in modified contracts beginning on July 1, 2023. The change of reference rate did not result in any material impact to the Company’s consolidated financial statements.</w:t>
      </w:r>
    </w:p>
    <w:p>
      <w:pPr>
        <w:spacing w:after="0" w:line="190"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September 2022, the FASB issued ASU 2022-04, </w:t>
      </w:r>
      <w:r>
        <w:rPr>
          <w:rFonts w:ascii="Times New Roman" w:cs="Times New Roman" w:eastAsia="Times New Roman" w:hAnsi="Times New Roman"/>
          <w:sz w:val="18"/>
          <w:szCs w:val="18"/>
          <w:i w:val="1"/>
          <w:iCs w:val="1"/>
          <w:color w:val="auto"/>
        </w:rPr>
        <w:t>Liabilities – Supplier Finance Programs (Subtopic 405-50):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 of Supplier Finance Program Obligations</w:t>
      </w:r>
      <w:r>
        <w:rPr>
          <w:rFonts w:ascii="Times New Roman" w:cs="Times New Roman" w:eastAsia="Times New Roman" w:hAnsi="Times New Roman"/>
          <w:sz w:val="18"/>
          <w:szCs w:val="18"/>
          <w:color w:val="auto"/>
        </w:rPr>
        <w:t>, which amended its guidance related to supplier finance programs.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amended guidance requires additional disclosures surrounding the use of supplier finance programs to purchase goods or services, including disclosing the key terms of the programs, the amount of obligations outstanding at the end of the reporting period, and a roll-forward of those obligations. The new guidance, except the roll-forward information, is effective for fiscal years beginning after December 15, 2022, including interim periods within those fiscal years. The requirement to present roll-forward information is effective for fiscal years beginning after December 15, 2023. The Company adopted the guidance at the beginning of fiscal year 2024. The guidance did not have a material impact to the Company’s consolidated financial statements or disclosures, as the Company did not have material supplier finance programs. For additional information, see Note 1 – Significant Accounting Policies.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Pronouncements</w:t>
      </w:r>
    </w:p>
    <w:p>
      <w:pPr>
        <w:spacing w:after="0" w:line="227"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March 2023, the FASB issued ASU 2023-01, </w:t>
      </w:r>
      <w:r>
        <w:rPr>
          <w:rFonts w:ascii="Times New Roman" w:cs="Times New Roman" w:eastAsia="Times New Roman" w:hAnsi="Times New Roman"/>
          <w:sz w:val="18"/>
          <w:szCs w:val="18"/>
          <w:i w:val="1"/>
          <w:iCs w:val="1"/>
          <w:color w:val="auto"/>
        </w:rPr>
        <w:t>Leases (Topic 842) – Common-Control Arrangements</w:t>
      </w:r>
      <w:r>
        <w:rPr>
          <w:rFonts w:ascii="Times New Roman" w:cs="Times New Roman" w:eastAsia="Times New Roman" w:hAnsi="Times New Roman"/>
          <w:sz w:val="18"/>
          <w:szCs w:val="18"/>
          <w:color w:val="auto"/>
        </w:rPr>
        <w:t>. This guidance amends the accounting for leasehold improvements in common-control arrangements by requiring a lessee in a common-control arrangement to amortize leasehold improvements that it owns over the improvements’ useful life to the common-control group, regardless of the lease term, if the lessee continues to control the use of the underlying asset through a lease. This guidance is effective for fiscal years beginning after December 15, 2023, including interim periods within those fiscal years. Early adoption is permitted. The Company has evaluated the impact of the amended guidance and concluded that the guidance does not have a material impact on the Company’s consolidated financial statements.</w:t>
      </w:r>
    </w:p>
    <w:p>
      <w:pPr>
        <w:spacing w:after="0" w:line="183" w:lineRule="exact"/>
        <w:rPr>
          <w:sz w:val="20"/>
          <w:szCs w:val="20"/>
          <w:color w:val="auto"/>
        </w:rPr>
      </w:pPr>
    </w:p>
    <w:p>
      <w:pPr>
        <w:ind w:left="60" w:right="259"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August 2023, the FASB issued ASU 2023-05, </w:t>
      </w:r>
      <w:r>
        <w:rPr>
          <w:rFonts w:ascii="Times New Roman" w:cs="Times New Roman" w:eastAsia="Times New Roman" w:hAnsi="Times New Roman"/>
          <w:sz w:val="18"/>
          <w:szCs w:val="18"/>
          <w:i w:val="1"/>
          <w:iCs w:val="1"/>
          <w:color w:val="auto"/>
        </w:rPr>
        <w:t>Business Combinations – Joint Venture Formations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805-60): Recognition and Initial Measurement</w:t>
      </w:r>
      <w:r>
        <w:rPr>
          <w:rFonts w:ascii="Times New Roman" w:cs="Times New Roman" w:eastAsia="Times New Roman" w:hAnsi="Times New Roman"/>
          <w:sz w:val="18"/>
          <w:szCs w:val="18"/>
          <w:color w:val="auto"/>
        </w:rPr>
        <w:t>, which requires a joint venture to measure all contributions received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formation at fair value. This guidance should be applied prospectively, effective for all newly-formed joint venture entities with a formation date on or after January 1, 2025. Early adoption is permitted. The Company has evaluated the impact of the guidance and does not expect it to have a material impact on the Company’s consolidated financial statements.</w:t>
      </w:r>
    </w:p>
    <w:p>
      <w:pPr>
        <w:spacing w:after="0" w:line="182" w:lineRule="exact"/>
        <w:rPr>
          <w:sz w:val="20"/>
          <w:szCs w:val="20"/>
          <w:color w:val="auto"/>
        </w:rPr>
      </w:pPr>
    </w:p>
    <w:p>
      <w:pPr>
        <w:jc w:val="both"/>
        <w:ind w:left="60" w:right="59" w:firstLine="648"/>
        <w:spacing w:after="0" w:line="267"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 Improvements to Reportable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Segment Disclosures</w:t>
      </w:r>
      <w:r>
        <w:rPr>
          <w:rFonts w:ascii="Times New Roman" w:cs="Times New Roman" w:eastAsia="Times New Roman" w:hAnsi="Times New Roman"/>
          <w:sz w:val="18"/>
          <w:szCs w:val="18"/>
          <w:color w:val="auto"/>
        </w:rPr>
        <w:t>, which is intended to improve reportable segment disclosures, primarily through enhanced disclosures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about significant segment expenses. The guidance should be applied retrospectively, effective for</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fiscal years beginning after December 15, 2023 and interim periods within fiscal years beginning after December 15, 2024, with early adoption permitted. The Company is currently evaluating the impact of this guidance on the disclosures in its consolidated financial statements.</w:t>
      </w:r>
    </w:p>
    <w:p>
      <w:pPr>
        <w:spacing w:after="0" w:line="174"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which is intended to enhance the transparency and usefulness of income tax disclosures through improved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related to the rate reconciliation and income taxes paid. The guidance is effective for annual periods beginning after December 15, 2024, with early adoption permitted. The Company is currently evaluating the impact of this guidance on the disclosures in its consolidated financial statements.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REVENUE RECOGNITION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views its segment results to be the best view of disaggregated revenue. Refer to Note 4 – Segments.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229"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remaining performance obligation (“RPO”) represents the aggregate amount of contractual deliverables yet to be recognized as revenue at the end of the reporting period. It is intended to be a statement of overall work under contract that has not yet been performed and does not include contracts in which the customer is not committed. The customer is not considered committed when it is able to terminate for convenience without payment of a substantive penalty. The RPO also includes estimates of variable consideration. RPO estimates are subject to change and are affected by several factors, including terminations, changes in the scope of contracts, periodic revalidations, adjustments for revenue that has not materialized and adjustments for currency.</w:t>
      </w:r>
    </w:p>
    <w:p>
      <w:pPr>
        <w:spacing w:after="0" w:line="189"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At March 31, 2024, the aggregate amount of RPO related to customer contracts that are unsatisfied or partially unsatisfied was $33.1 billion. Approximately 59 percent of the amount is expected to be recognized as revenue in the next two years, approximately 34 percent in the subsequent three years, and the balance thereafter.</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 Recognized for Performance Obligations Satisfied (or Partially Satisfied) in Prior Periods</w:t>
      </w:r>
    </w:p>
    <w:p>
      <w:pPr>
        <w:spacing w:after="0" w:line="229" w:lineRule="exact"/>
        <w:rPr>
          <w:sz w:val="20"/>
          <w:szCs w:val="20"/>
          <w:color w:val="auto"/>
        </w:rPr>
      </w:pPr>
    </w:p>
    <w:p>
      <w:pPr>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March 31, 2024, revenue increased by $31 million for performance obligations satisfied (or partially satisfied) in previous periods, mainly due to changes in estimates on contracts with cost-to-cost measures of progress.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provides information about accounts receivable, contract assets and deferred income balances:</w:t>
      </w:r>
    </w:p>
    <w:p>
      <w:pPr>
        <w:spacing w:after="0" w:line="25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At March 31,</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0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1"/>
        </w:trPr>
        <w:tc>
          <w:tcPr>
            <w:tcW w:w="60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Accounts receivable (net of allowances for credit losses of $22 at March 31, 2024</w:t>
            </w: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$32 at March 31, 2023) *</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 **</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(current)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34"/>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(noncurrent)</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55" w:lineRule="exact"/>
        <w:rPr>
          <w:sz w:val="20"/>
          <w:szCs w:val="20"/>
          <w:color w:val="auto"/>
        </w:rPr>
      </w:pPr>
    </w:p>
    <w:p>
      <w:pPr>
        <w:ind w:left="380" w:hanging="330"/>
        <w:spacing w:after="0"/>
        <w:tabs>
          <w:tab w:leader="none" w:pos="3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unbilled receivable balances of $377 million at March 31, 2024 and $384 million at March 31, 2023.</w:t>
      </w:r>
    </w:p>
    <w:p>
      <w:pPr>
        <w:spacing w:after="0" w:line="4" w:lineRule="exact"/>
        <w:rPr>
          <w:sz w:val="20"/>
          <w:szCs w:val="20"/>
          <w:color w:val="auto"/>
        </w:rPr>
      </w:pPr>
    </w:p>
    <w:p>
      <w:pPr>
        <w:ind w:left="380" w:right="279" w:hanging="330"/>
        <w:spacing w:after="0" w:line="233" w:lineRule="auto"/>
        <w:tabs>
          <w:tab w:leader="none" w:pos="3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 assets represent services performed by the Company prior to billing the client, which give the Company the right to consideration that is typically subject to milestone completion or client acceptance. They are included within prepaid expenses and other current assets in the Consolidated Balance Sheet.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The amount of revenue recognized during the year ended March 31, 2024 that was included within the deferred income balance at March 31, 2023 was $794 million.</w:t>
      </w:r>
    </w:p>
    <w:p>
      <w:pPr>
        <w:spacing w:after="0" w:line="162"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provides roll-forwards of the accounts receivable allowance for expected credit losses for the years ended March 31, 2024 and 2023, the three months ended March 31, 2022 (transition period), and the year ended December 31, 2021:</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22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0" w:type="dxa"/>
            <w:vAlign w:val="bottom"/>
          </w:tcPr>
          <w:p>
            <w:pPr>
              <w:spacing w:after="0"/>
              <w:rPr>
                <w:sz w:val="15"/>
                <w:szCs w:val="15"/>
                <w:color w:val="auto"/>
              </w:rPr>
            </w:pPr>
          </w:p>
        </w:tc>
        <w:tc>
          <w:tcPr>
            <w:tcW w:w="88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gridSpan w:val="4"/>
            <w:vMerge w:val="continue"/>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5"/>
        </w:trPr>
        <w:tc>
          <w:tcPr>
            <w:tcW w:w="43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42"/>
        </w:trPr>
        <w:tc>
          <w:tcPr>
            <w:tcW w:w="4320" w:type="dxa"/>
            <w:vAlign w:val="bottom"/>
            <w:gridSpan w:val="3"/>
            <w:vMerge w:val="continue"/>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1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Additions (releases)</w:t>
            </w:r>
          </w:p>
        </w:tc>
        <w:tc>
          <w:tcPr>
            <w:tcW w:w="7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4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7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6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(13)</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w:t>
            </w:r>
          </w:p>
        </w:tc>
        <w:tc>
          <w:tcPr>
            <w:tcW w:w="70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6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700" w:type="dxa"/>
            <w:vAlign w:val="bottom"/>
            <w:tcBorders>
              <w:top w:val="single" w:sz="8" w:color="auto"/>
              <w:bottom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00" w:hanging="250"/>
        <w:spacing w:after="0"/>
        <w:tabs>
          <w:tab w:leader="none" w:pos="3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translation adjustments</w:t>
      </w:r>
      <w:r>
        <w:rPr>
          <w:rFonts w:ascii="Times New Roman" w:cs="Times New Roman" w:eastAsia="Times New Roman" w:hAnsi="Times New Roman"/>
          <w:sz w:val="12"/>
          <w:szCs w:val="12"/>
          <w:color w:val="auto"/>
        </w:rPr>
        <w:t>.</w:t>
      </w:r>
    </w:p>
    <w:p>
      <w:pPr>
        <w:spacing w:after="0" w:line="20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contract assets allowance for expected credit losses was not material in any of the periods presented.</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Major Clients</w:t>
      </w:r>
    </w:p>
    <w:p>
      <w:pPr>
        <w:spacing w:after="0" w:line="229"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No single client represented more than 10 percent of the Company’s total revenue during the years ended March 31, 2024 and 2023 and the three months ended March 31, 2022 (transition period). Other than transactions with the former Parent, no single client represented 10 percent or more of the Company’s total revenue in the year ended December 31, 2021. Other than receivables with the former Parent, no single client represented more than 10 percent of the Company’s total accounts receivable balance as of March 31, 2024 and 2023, respectively.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Deferred Costs</w:t>
      </w:r>
    </w:p>
    <w:p>
      <w:pPr>
        <w:spacing w:after="0" w:line="22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Costs to acquire and fulfill customer contracts are deferred and amortized over the contract period or expected customer relationship life. The expected customer relationship period is determined based on the average customer relationship period, including expected renewals, for each offering type and ranges from three to six years. For contracts with an estimated amortization period of less than one year, we elected the practical expedient to expense incremental costs immediately.</w:t>
      </w:r>
    </w:p>
    <w:p>
      <w:pPr>
        <w:spacing w:after="0" w:line="183" w:lineRule="exact"/>
        <w:rPr>
          <w:sz w:val="20"/>
          <w:szCs w:val="20"/>
          <w:color w:val="auto"/>
        </w:rPr>
      </w:pPr>
    </w:p>
    <w:p>
      <w:pPr>
        <w:ind w:left="60" w:right="279" w:firstLine="648"/>
        <w:spacing w:after="0" w:line="270" w:lineRule="auto"/>
        <w:rPr>
          <w:sz w:val="20"/>
          <w:szCs w:val="20"/>
          <w:color w:val="auto"/>
        </w:rPr>
      </w:pPr>
      <w:r>
        <w:rPr>
          <w:rFonts w:ascii="Times New Roman" w:cs="Times New Roman" w:eastAsia="Times New Roman" w:hAnsi="Times New Roman"/>
          <w:sz w:val="18"/>
          <w:szCs w:val="18"/>
          <w:color w:val="auto"/>
        </w:rPr>
        <w:t>The following table provides amounts of capitalized costs to acquire and fulfill customer contracts at March 31, 2024 and 2023:</w:t>
      </w:r>
    </w:p>
    <w:tbl>
      <w:tblPr>
        <w:tblLayout w:type="fixed"/>
        <w:tblInd w:w="40" w:type="dxa"/>
        <w:tblCellMar>
          <w:top w:w="0" w:type="dxa"/>
          <w:left w:w="0" w:type="dxa"/>
          <w:bottom w:w="0" w:type="dxa"/>
          <w:right w:w="0" w:type="dxa"/>
        </w:tblCellMar>
      </w:tblPr>
      <w:tr>
        <w:trPr>
          <w:trHeight w:val="173"/>
        </w:trPr>
        <w:tc>
          <w:tcPr>
            <w:tcW w:w="6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At March 31,</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2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transition costs</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software costs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costs to fulfill contracts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Capitalized costs to obtain contracts</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3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costs *</w:t>
            </w:r>
          </w:p>
        </w:tc>
        <w:tc>
          <w:tcPr>
            <w:tcW w:w="3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3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7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00" w:right="459" w:hanging="250"/>
        <w:spacing w:after="0" w:line="261" w:lineRule="auto"/>
        <w:tabs>
          <w:tab w:leader="none" w:pos="293"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total deferred costs, $1,081 million was current and $920 million was noncurrent at March 31, 2024, and $1,070 million was current and $1,166 million was noncurrent at March 31, 2023.</w:t>
      </w:r>
    </w:p>
    <w:p>
      <w:pPr>
        <w:spacing w:after="0" w:line="167"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amount of total deferred costs amortized during the year ended March 31, 2024 was $1.8 billion, composed of $335 million of amortization of deferred transition costs, $921 million of amortization of prepaid software and $531 million of amortization of capitalized contract costs. The amount of total deferred costs amortized during the year ended March 31, 2023 was $1.7 billion, composed of $342 million of amortization of deferred transition costs, $857 million of amortization of prepaid software and $472 million of amortization of capitalized contract costs. The amount of total</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deferred costs amortized during the three months ended March 31, 2022 (transition period) was $455 million, composed of $112 million of amortization of deferred transition costs, $207 million of amortization of prepaid software and $136 million of amortization of capitalized contract costs. The amount of total deferred costs amortized during the year ended December 31, 2021 was $1.8 billion, composed of $403 million of amortization of deferred transition costs, $874 million of amortization of prepaid software and $563 million of amortization of capitalized contract costs. There were no material impairment losses incurred in any period. Refer to Note 1 – Significant Accounting Policies for additional information on deferred costs to fulfill a contract and capitalized costs of obtaining a contract.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SEGMENTS</w:t>
      </w:r>
    </w:p>
    <w:p>
      <w:pPr>
        <w:spacing w:after="0" w:line="229"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Our reportable segments correspond to how the chief operating decision maker (“CODM”) reviews performance and allocates resources. Our four reportable segments consist of the following:</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 xml:space="preserve">United States: </w:t>
      </w:r>
      <w:r>
        <w:rPr>
          <w:rFonts w:ascii="Times New Roman" w:cs="Times New Roman" w:eastAsia="Times New Roman" w:hAnsi="Times New Roman"/>
          <w:sz w:val="18"/>
          <w:szCs w:val="18"/>
          <w:color w:val="auto"/>
        </w:rPr>
        <w:t>This reportable segment is comprised of Kyndryl’s operations in the United States.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 xml:space="preserve">Japan: </w:t>
      </w:r>
      <w:r>
        <w:rPr>
          <w:rFonts w:ascii="Times New Roman" w:cs="Times New Roman" w:eastAsia="Times New Roman" w:hAnsi="Times New Roman"/>
          <w:sz w:val="18"/>
          <w:szCs w:val="18"/>
          <w:color w:val="auto"/>
        </w:rPr>
        <w:t>This reportable segment is comprised of Kyndryl’s operations in Japan.</w:t>
      </w:r>
    </w:p>
    <w:p>
      <w:pPr>
        <w:spacing w:after="0" w:line="225" w:lineRule="exact"/>
        <w:rPr>
          <w:sz w:val="20"/>
          <w:szCs w:val="20"/>
          <w:color w:val="auto"/>
        </w:rPr>
      </w:pPr>
    </w:p>
    <w:p>
      <w:pPr>
        <w:ind w:left="60" w:right="49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Principal Markets: </w:t>
      </w:r>
      <w:r>
        <w:rPr>
          <w:rFonts w:ascii="Times New Roman" w:cs="Times New Roman" w:eastAsia="Times New Roman" w:hAnsi="Times New Roman"/>
          <w:sz w:val="18"/>
          <w:szCs w:val="18"/>
          <w:color w:val="auto"/>
        </w:rPr>
        <w:t>This reportable segment represents the aggregation of our operations in Australia /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Zealand, Canada, France, Germany, India, Italy, Spain / Portugal, and the United Kingdom / Ireland.</w:t>
      </w:r>
    </w:p>
    <w:p>
      <w:pPr>
        <w:spacing w:after="0" w:line="1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 xml:space="preserve">Strategic Markets: </w:t>
      </w:r>
      <w:r>
        <w:rPr>
          <w:rFonts w:ascii="Times New Roman" w:cs="Times New Roman" w:eastAsia="Times New Roman" w:hAnsi="Times New Roman"/>
          <w:sz w:val="18"/>
          <w:szCs w:val="18"/>
          <w:color w:val="auto"/>
        </w:rPr>
        <w:t>This reportable segment is comprised of our operations in all other countries in which we</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operate.</w:t>
      </w:r>
    </w:p>
    <w:p>
      <w:pPr>
        <w:spacing w:after="0" w:line="207"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The measure of segment operating performance used by Kyndryl’s CODM is adjusted EBITDA. Adjusted EBITDA is defined as net income (loss) excluding income taxes, interest expense, depreciation and amortization (excluding depreciation of right-of-use assets and amortization of capitalized contract costs), charges related to ceasing to use leased and owned fixed assets, charges related to lease terminations, transaction-related costs and benefits, pension expenses other than pension servicing costs and multi-employer plan costs, stock-based compensation expense, workforce rebalancing charges incurred prior to March 31, 2024, impairment expense, significant litigation costs, and currency impacts of highly inflationary countries. The use of revenue and adjusted EBITDA aligns with how the CODM assesses performance and allocates resources for the Company’s segments.</w:t>
      </w:r>
    </w:p>
    <w:p>
      <w:pPr>
        <w:spacing w:after="0" w:line="192"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Our geographic markets frequently work together to sell and implement certain contracts. The resulting revenues and costs from these contracts may be apportioned among the participating geographic markets. The economic environment and its effects on the industries served by our geographic markets affect revenues and operating expenses within our geographic markets to differing degrees. Currency fluctuations also tend to affect our geographic markets differently, depending on the geographic concentrations and locations of their businesses.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following table reflects the results of the Company’s segments: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3"/>
                <w:szCs w:val="13"/>
                <w:color w:val="auto"/>
              </w:rPr>
            </w:pPr>
          </w:p>
        </w:tc>
        <w:tc>
          <w:tcPr>
            <w:tcW w:w="860" w:type="dxa"/>
            <w:vAlign w:val="bottom"/>
            <w:vMerge w:val="restart"/>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gridSpan w:val="7"/>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7"/>
            <w:vMerge w:val="continue"/>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240" w:type="dxa"/>
            <w:vAlign w:val="bottom"/>
            <w:tcBorders>
              <w:bottom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1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10"/>
        </w:trPr>
        <w:tc>
          <w:tcPr>
            <w:tcW w:w="4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42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20" w:type="dxa"/>
            <w:vAlign w:val="bottom"/>
          </w:tcPr>
          <w:p>
            <w:pPr>
              <w:spacing w:after="0"/>
              <w:rPr>
                <w:sz w:val="18"/>
                <w:szCs w:val="18"/>
                <w:color w:val="auto"/>
              </w:rPr>
            </w:pPr>
          </w:p>
        </w:tc>
        <w:tc>
          <w:tcPr>
            <w:tcW w:w="42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2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4,805</w:t>
            </w:r>
          </w:p>
        </w:tc>
        <w:tc>
          <w:tcPr>
            <w:tcW w:w="0" w:type="dxa"/>
            <w:vAlign w:val="bottom"/>
          </w:tcPr>
          <w:p>
            <w:pPr>
              <w:spacing w:after="0"/>
              <w:rPr>
                <w:sz w:val="1"/>
                <w:szCs w:val="1"/>
                <w:color w:val="auto"/>
              </w:rPr>
            </w:pPr>
          </w:p>
        </w:tc>
      </w:tr>
      <w:tr>
        <w:trPr>
          <w:trHeight w:val="216"/>
        </w:trPr>
        <w:tc>
          <w:tcPr>
            <w:tcW w:w="4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0" w:type="dxa"/>
            <w:vAlign w:val="bottom"/>
          </w:tcPr>
          <w:p>
            <w:pPr>
              <w:spacing w:after="0"/>
              <w:rPr>
                <w:sz w:val="1"/>
                <w:szCs w:val="1"/>
                <w:color w:val="auto"/>
              </w:rPr>
            </w:pPr>
          </w:p>
        </w:tc>
      </w:tr>
      <w:tr>
        <w:trPr>
          <w:trHeight w:val="216"/>
        </w:trPr>
        <w:tc>
          <w:tcPr>
            <w:tcW w:w="4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Markets</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7,085</w:t>
            </w:r>
          </w:p>
        </w:tc>
        <w:tc>
          <w:tcPr>
            <w:tcW w:w="0" w:type="dxa"/>
            <w:vAlign w:val="bottom"/>
          </w:tcPr>
          <w:p>
            <w:pPr>
              <w:spacing w:after="0"/>
              <w:rPr>
                <w:sz w:val="1"/>
                <w:szCs w:val="1"/>
                <w:color w:val="auto"/>
              </w:rPr>
            </w:pPr>
          </w:p>
        </w:tc>
      </w:tr>
      <w:tr>
        <w:trPr>
          <w:trHeight w:val="216"/>
        </w:trPr>
        <w:tc>
          <w:tcPr>
            <w:tcW w:w="4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Strategic Markets</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w:t>
            </w:r>
          </w:p>
        </w:tc>
        <w:tc>
          <w:tcPr>
            <w:tcW w:w="0" w:type="dxa"/>
            <w:vAlign w:val="bottom"/>
          </w:tcPr>
          <w:p>
            <w:pPr>
              <w:spacing w:after="0"/>
              <w:rPr>
                <w:sz w:val="1"/>
                <w:szCs w:val="1"/>
                <w:color w:val="auto"/>
              </w:rPr>
            </w:pPr>
          </w:p>
        </w:tc>
      </w:tr>
      <w:tr>
        <w:trPr>
          <w:trHeight w:val="249"/>
        </w:trPr>
        <w:tc>
          <w:tcPr>
            <w:tcW w:w="424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16,052</w:t>
            </w: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17,026</w:t>
            </w: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18,657</w:t>
            </w:r>
          </w:p>
        </w:tc>
        <w:tc>
          <w:tcPr>
            <w:tcW w:w="0" w:type="dxa"/>
            <w:vAlign w:val="bottom"/>
          </w:tcPr>
          <w:p>
            <w:pPr>
              <w:spacing w:after="0"/>
              <w:rPr>
                <w:sz w:val="1"/>
                <w:szCs w:val="1"/>
                <w:color w:val="auto"/>
              </w:rPr>
            </w:pPr>
          </w:p>
        </w:tc>
      </w:tr>
      <w:tr>
        <w:trPr>
          <w:trHeight w:val="197"/>
        </w:trPr>
        <w:tc>
          <w:tcPr>
            <w:tcW w:w="4240" w:type="dxa"/>
            <w:vAlign w:val="bottom"/>
            <w:gridSpan w:val="3"/>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Segment adjusted EBITDA</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42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20" w:type="dxa"/>
            <w:vAlign w:val="bottom"/>
          </w:tcPr>
          <w:p>
            <w:pPr>
              <w:spacing w:after="0"/>
              <w:rPr>
                <w:sz w:val="18"/>
                <w:szCs w:val="18"/>
                <w:color w:val="auto"/>
              </w:rPr>
            </w:pPr>
          </w:p>
        </w:tc>
        <w:tc>
          <w:tcPr>
            <w:tcW w:w="42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2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0" w:type="dxa"/>
            <w:vAlign w:val="bottom"/>
          </w:tcPr>
          <w:p>
            <w:pPr>
              <w:spacing w:after="0"/>
              <w:rPr>
                <w:sz w:val="1"/>
                <w:szCs w:val="1"/>
                <w:color w:val="auto"/>
              </w:rPr>
            </w:pPr>
          </w:p>
        </w:tc>
      </w:tr>
      <w:tr>
        <w:trPr>
          <w:trHeight w:val="216"/>
        </w:trPr>
        <w:tc>
          <w:tcPr>
            <w:tcW w:w="4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16"/>
        </w:trPr>
        <w:tc>
          <w:tcPr>
            <w:tcW w:w="4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Markets</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16"/>
        </w:trPr>
        <w:tc>
          <w:tcPr>
            <w:tcW w:w="4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Strategic Markets</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10"/>
        </w:trPr>
        <w:tc>
          <w:tcPr>
            <w:tcW w:w="42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 segment adjusted EBITDA</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940" w:type="dxa"/>
            <w:vAlign w:val="bottom"/>
            <w:gridSpan w:val="18"/>
          </w:tcPr>
          <w:p>
            <w:pPr>
              <w:ind w:left="660"/>
              <w:spacing w:after="0"/>
              <w:rPr>
                <w:sz w:val="20"/>
                <w:szCs w:val="20"/>
                <w:color w:val="auto"/>
              </w:rPr>
            </w:pPr>
            <w:r>
              <w:rPr>
                <w:rFonts w:ascii="Times New Roman" w:cs="Times New Roman" w:eastAsia="Times New Roman" w:hAnsi="Times New Roman"/>
                <w:sz w:val="18"/>
                <w:szCs w:val="18"/>
                <w:color w:val="auto"/>
              </w:rPr>
              <w:t>The following table reconciles segment adjusted EBITDA to consolidated pretax income (loss):</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24"/>
                <w:szCs w:val="24"/>
                <w:color w:val="auto"/>
              </w:rPr>
            </w:pPr>
          </w:p>
        </w:tc>
        <w:tc>
          <w:tcPr>
            <w:tcW w:w="860" w:type="dxa"/>
            <w:vAlign w:val="bottom"/>
            <w:vMerge w:val="restart"/>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gridSpan w:val="7"/>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gridSpan w:val="7"/>
            <w:vMerge w:val="continue"/>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24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1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10"/>
        </w:trPr>
        <w:tc>
          <w:tcPr>
            <w:tcW w:w="42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0" w:type="dxa"/>
            <w:vAlign w:val="bottom"/>
          </w:tcPr>
          <w:p>
            <w:pPr>
              <w:spacing w:after="0"/>
              <w:rPr>
                <w:sz w:val="1"/>
                <w:szCs w:val="1"/>
                <w:color w:val="auto"/>
              </w:rPr>
            </w:pPr>
          </w:p>
        </w:tc>
      </w:tr>
      <w:tr>
        <w:trPr>
          <w:trHeight w:val="216"/>
        </w:trPr>
        <w:tc>
          <w:tcPr>
            <w:tcW w:w="4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Workforce rebalancing charges</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8"/>
        </w:trPr>
        <w:tc>
          <w:tcPr>
            <w:tcW w:w="4240" w:type="dxa"/>
            <w:vAlign w:val="bottom"/>
            <w:gridSpan w:val="3"/>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Charges related to ceasing to use leased/fixed assets and</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 terminations</w:t>
            </w: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Transaction-related (costs) benefits</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16"/>
        </w:trPr>
        <w:tc>
          <w:tcPr>
            <w:tcW w:w="4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4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Impairment expense</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16"/>
        </w:trPr>
        <w:tc>
          <w:tcPr>
            <w:tcW w:w="4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98"/>
        </w:trPr>
        <w:tc>
          <w:tcPr>
            <w:tcW w:w="424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Depreciation of property, equipment and capitalized</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software</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(834)</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0" w:type="dxa"/>
            <w:vAlign w:val="bottom"/>
          </w:tcPr>
          <w:p>
            <w:pPr>
              <w:spacing w:after="0"/>
              <w:rPr>
                <w:sz w:val="1"/>
                <w:szCs w:val="1"/>
                <w:color w:val="auto"/>
              </w:rPr>
            </w:pPr>
          </w:p>
        </w:tc>
      </w:tr>
      <w:tr>
        <w:trPr>
          <w:trHeight w:val="216"/>
        </w:trPr>
        <w:tc>
          <w:tcPr>
            <w:tcW w:w="4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expense</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(1,287)</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0" w:type="dxa"/>
            <w:vAlign w:val="bottom"/>
          </w:tcPr>
          <w:p>
            <w:pPr>
              <w:spacing w:after="0"/>
              <w:rPr>
                <w:sz w:val="1"/>
                <w:szCs w:val="1"/>
                <w:color w:val="auto"/>
              </w:rPr>
            </w:pPr>
          </w:p>
        </w:tc>
      </w:tr>
      <w:tr>
        <w:trPr>
          <w:trHeight w:val="216"/>
        </w:trPr>
        <w:tc>
          <w:tcPr>
            <w:tcW w:w="42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Corporate expense not allocated to the segments</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6"/>
        </w:trPr>
        <w:tc>
          <w:tcPr>
            <w:tcW w:w="4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adjustments*</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0"/>
        </w:trPr>
        <w:tc>
          <w:tcPr>
            <w:tcW w:w="4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Pretax income (loss)</w:t>
            </w:r>
          </w:p>
        </w:tc>
        <w:tc>
          <w:tcPr>
            <w:tcW w:w="180" w:type="dxa"/>
            <w:vAlign w:val="bottom"/>
          </w:tcPr>
          <w:p>
            <w:pPr>
              <w:spacing w:after="0"/>
              <w:rPr>
                <w:sz w:val="18"/>
                <w:szCs w:val="18"/>
                <w:color w:val="auto"/>
              </w:rPr>
            </w:pPr>
          </w:p>
        </w:tc>
        <w:tc>
          <w:tcPr>
            <w:tcW w:w="240" w:type="dxa"/>
            <w:vAlign w:val="bottom"/>
            <w:tcBorders>
              <w:top w:val="single" w:sz="8" w:color="auto"/>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bottom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9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right="99" w:hanging="330"/>
        <w:spacing w:after="0" w:line="241" w:lineRule="auto"/>
        <w:tabs>
          <w:tab w:leader="none" w:pos="3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adjustments represent pension expenses other than pension servicing costs and multi-employer plan costs, significant litigation costs, currency impacts of highly inflationary countries, and an adjustment to reduce amortization expense for the amount already included in transaction-related (costs) benefits above.</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Segment Assets and Other Items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does not allocate assets to the above reportable segments for our CODM’s review.</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Geographic Information</w:t>
      </w:r>
    </w:p>
    <w:p>
      <w:pPr>
        <w:spacing w:after="0" w:line="229" w:lineRule="exact"/>
        <w:rPr>
          <w:sz w:val="20"/>
          <w:szCs w:val="20"/>
          <w:color w:val="auto"/>
        </w:rPr>
      </w:pPr>
    </w:p>
    <w:p>
      <w:pPr>
        <w:ind w:left="60" w:right="45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tables provide information for those countries that represent 10 percent or more of the specific category. Refer to Note 8 – Property and Equipment and Note 9 – Leases for more information on allocation methodologies.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3"/>
                <w:szCs w:val="13"/>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20" w:type="dxa"/>
            <w:vAlign w:val="bottom"/>
            <w:gridSpan w:val="5"/>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14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20" w:type="dxa"/>
            <w:vAlign w:val="bottom"/>
            <w:gridSpan w:val="5"/>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2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5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10"/>
        </w:trPr>
        <w:tc>
          <w:tcPr>
            <w:tcW w:w="40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4,805</w:t>
            </w:r>
          </w:p>
        </w:tc>
        <w:tc>
          <w:tcPr>
            <w:tcW w:w="0" w:type="dxa"/>
            <w:vAlign w:val="bottom"/>
          </w:tcPr>
          <w:p>
            <w:pPr>
              <w:spacing w:after="0"/>
              <w:rPr>
                <w:sz w:val="1"/>
                <w:szCs w:val="1"/>
                <w:color w:val="auto"/>
              </w:rPr>
            </w:pPr>
          </w:p>
        </w:tc>
      </w:tr>
      <w:tr>
        <w:trPr>
          <w:trHeight w:val="216"/>
        </w:trPr>
        <w:tc>
          <w:tcPr>
            <w:tcW w:w="4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0" w:type="dxa"/>
            <w:vAlign w:val="bottom"/>
          </w:tcPr>
          <w:p>
            <w:pPr>
              <w:spacing w:after="0"/>
              <w:rPr>
                <w:sz w:val="1"/>
                <w:szCs w:val="1"/>
                <w:color w:val="auto"/>
              </w:rPr>
            </w:pPr>
          </w:p>
        </w:tc>
      </w:tr>
      <w:tr>
        <w:trPr>
          <w:trHeight w:val="216"/>
        </w:trPr>
        <w:tc>
          <w:tcPr>
            <w:tcW w:w="420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Other countries</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9,413</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9,797</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10,930</w:t>
            </w:r>
          </w:p>
        </w:tc>
        <w:tc>
          <w:tcPr>
            <w:tcW w:w="0" w:type="dxa"/>
            <w:vAlign w:val="bottom"/>
          </w:tcPr>
          <w:p>
            <w:pPr>
              <w:spacing w:after="0"/>
              <w:rPr>
                <w:sz w:val="1"/>
                <w:szCs w:val="1"/>
                <w:color w:val="auto"/>
              </w:rPr>
            </w:pPr>
          </w:p>
        </w:tc>
      </w:tr>
      <w:tr>
        <w:trPr>
          <w:trHeight w:val="210"/>
        </w:trPr>
        <w:tc>
          <w:tcPr>
            <w:tcW w:w="42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16,052</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17,026</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18,657</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hanging="330"/>
        <w:spacing w:after="0"/>
        <w:tabs>
          <w:tab w:leader="none" w:pos="3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Revenues are attributed to countries based on the location of the client and exclude certain allocations.</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At March 31,</w:t>
            </w: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8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61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United States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24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216"/>
        </w:trPr>
        <w:tc>
          <w:tcPr>
            <w:tcW w:w="6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countries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2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0" w:type="dxa"/>
            <w:vAlign w:val="bottom"/>
          </w:tcPr>
          <w:p>
            <w:pPr>
              <w:spacing w:after="0"/>
              <w:rPr>
                <w:sz w:val="1"/>
                <w:szCs w:val="1"/>
                <w:color w:val="auto"/>
              </w:rPr>
            </w:pPr>
          </w:p>
        </w:tc>
      </w:tr>
      <w:tr>
        <w:trPr>
          <w:trHeight w:val="250"/>
        </w:trPr>
        <w:tc>
          <w:tcPr>
            <w:tcW w:w="63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2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0" w:type="dxa"/>
            <w:vAlign w:val="bottom"/>
          </w:tcPr>
          <w:p>
            <w:pPr>
              <w:spacing w:after="0"/>
              <w:rPr>
                <w:sz w:val="1"/>
                <w:szCs w:val="1"/>
                <w:color w:val="auto"/>
              </w:rPr>
            </w:pPr>
          </w:p>
        </w:tc>
      </w:tr>
      <w:tr>
        <w:trPr>
          <w:trHeight w:val="197"/>
        </w:trPr>
        <w:tc>
          <w:tcPr>
            <w:tcW w:w="2240" w:type="dxa"/>
            <w:vAlign w:val="bottom"/>
            <w:shd w:val="clear" w:color="auto" w:fill="CCEEFF"/>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right-of-use assets, net</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United States *</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6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6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Belgium</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6"/>
        </w:trPr>
        <w:tc>
          <w:tcPr>
            <w:tcW w:w="63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Italy</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6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countries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2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0" w:type="dxa"/>
            <w:vAlign w:val="bottom"/>
          </w:tcPr>
          <w:p>
            <w:pPr>
              <w:spacing w:after="0"/>
              <w:rPr>
                <w:sz w:val="1"/>
                <w:szCs w:val="1"/>
                <w:color w:val="auto"/>
              </w:rPr>
            </w:pPr>
          </w:p>
        </w:tc>
      </w:tr>
      <w:tr>
        <w:trPr>
          <w:trHeight w:val="210"/>
        </w:trPr>
        <w:tc>
          <w:tcPr>
            <w:tcW w:w="6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operating right-of-use assets, net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240" w:type="dxa"/>
            <w:vAlign w:val="bottom"/>
          </w:tcPr>
          <w:p>
            <w:pPr>
              <w:spacing w:after="0"/>
              <w:rPr>
                <w:sz w:val="18"/>
                <w:szCs w:val="18"/>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9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hanging="330"/>
        <w:spacing w:after="0"/>
        <w:tabs>
          <w:tab w:leader="none" w:pos="3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corporate and other.</w:t>
      </w: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TAXES</w:t>
      </w:r>
    </w:p>
    <w:p>
      <w:pPr>
        <w:spacing w:after="0" w:line="229"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For the period prior to the Separation, income taxes have been calculated as if we filed income tax returns for the Company on a standalone basis, although the Company’s operations historically have been included in the income tax returns of its former Parent.</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Income (loss) before income taxes by geography was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3"/>
                <w:szCs w:val="13"/>
                <w:color w:val="auto"/>
              </w:rPr>
            </w:pP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20" w:type="dxa"/>
            <w:vAlign w:val="bottom"/>
            <w:gridSpan w:val="5"/>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14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2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5"/>
        </w:trPr>
        <w:tc>
          <w:tcPr>
            <w:tcW w:w="4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vMerge w:val="restart"/>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(1,543)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Non-U.S. operations</w:t>
            </w: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income (loss) before income taxes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576"/>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components of the provision for income taxes by taxing jurisdiction were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3"/>
                <w:szCs w:val="13"/>
                <w:color w:val="auto"/>
              </w:rPr>
            </w:pPr>
          </w:p>
        </w:tc>
        <w:tc>
          <w:tcPr>
            <w:tcW w:w="940" w:type="dxa"/>
            <w:vAlign w:val="bottom"/>
            <w:vMerge w:val="restart"/>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2"/>
                <w:szCs w:val="12"/>
                <w:color w:val="auto"/>
              </w:rPr>
            </w:pPr>
          </w:p>
        </w:tc>
        <w:tc>
          <w:tcPr>
            <w:tcW w:w="940" w:type="dxa"/>
            <w:vAlign w:val="bottom"/>
          </w:tcPr>
          <w:p>
            <w:pPr>
              <w:jc w:val="center"/>
              <w:ind w:right="14"/>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5"/>
        </w:trPr>
        <w:tc>
          <w:tcPr>
            <w:tcW w:w="4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vMerge w:val="restart"/>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42"/>
        </w:trPr>
        <w:tc>
          <w:tcPr>
            <w:tcW w:w="42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18"/>
                <w:szCs w:val="18"/>
                <w:color w:val="auto"/>
              </w:rPr>
            </w:pPr>
          </w:p>
        </w:tc>
        <w:tc>
          <w:tcPr>
            <w:tcW w:w="70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7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18"/>
                <w:szCs w:val="18"/>
                <w:color w:val="auto"/>
              </w:rPr>
            </w:pPr>
          </w:p>
        </w:tc>
        <w:tc>
          <w:tcPr>
            <w:tcW w:w="700" w:type="dxa"/>
            <w:vAlign w:val="bottom"/>
            <w:tcBorders>
              <w:top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state and local:</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70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700" w:type="dxa"/>
            <w:vAlign w:val="bottom"/>
            <w:tcBorders>
              <w:top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0" w:type="dxa"/>
            <w:vAlign w:val="bottom"/>
          </w:tcPr>
          <w:p>
            <w:pPr>
              <w:spacing w:after="0"/>
              <w:rPr>
                <w:sz w:val="18"/>
                <w:szCs w:val="18"/>
                <w:color w:val="auto"/>
              </w:rPr>
            </w:pPr>
          </w:p>
        </w:tc>
        <w:tc>
          <w:tcPr>
            <w:tcW w:w="70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236</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10"/>
        </w:trPr>
        <w:tc>
          <w:tcPr>
            <w:tcW w:w="40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545</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09"/>
        </w:trPr>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524</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59" w:firstLine="648"/>
        <w:spacing w:after="0" w:line="282" w:lineRule="auto"/>
        <w:rPr>
          <w:sz w:val="20"/>
          <w:szCs w:val="20"/>
          <w:color w:val="auto"/>
        </w:rPr>
      </w:pPr>
      <w:r>
        <w:rPr>
          <w:rFonts w:ascii="Times New Roman" w:cs="Times New Roman" w:eastAsia="Times New Roman" w:hAnsi="Times New Roman"/>
          <w:sz w:val="18"/>
          <w:szCs w:val="18"/>
          <w:color w:val="auto"/>
        </w:rPr>
        <w:t>A reconciliation of the statutory U.S. federal tax rate to the Company’s effective tax rate from continuing operations was as follows: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40" w:type="dxa"/>
            <w:vAlign w:val="bottom"/>
            <w:gridSpan w:val="4"/>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40" w:type="dxa"/>
            <w:vAlign w:val="bottom"/>
            <w:gridSpan w:val="4"/>
            <w:vMerge w:val="continue"/>
          </w:tcPr>
          <w:p>
            <w:pPr>
              <w:spacing w:after="0"/>
              <w:rPr>
                <w:sz w:val="12"/>
                <w:szCs w:val="12"/>
                <w:color w:val="auto"/>
              </w:rPr>
            </w:pPr>
          </w:p>
        </w:tc>
        <w:tc>
          <w:tcPr>
            <w:tcW w:w="10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5"/>
        </w:trPr>
        <w:tc>
          <w:tcPr>
            <w:tcW w:w="22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2"/>
                <w:szCs w:val="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42"/>
        </w:trPr>
        <w:tc>
          <w:tcPr>
            <w:tcW w:w="2240" w:type="dxa"/>
            <w:vAlign w:val="bottom"/>
            <w:tcBorders>
              <w:bottom w:val="single" w:sz="8" w:color="auto"/>
            </w:tcBorders>
          </w:tcPr>
          <w:p>
            <w:pPr>
              <w:spacing w:after="0"/>
              <w:rPr>
                <w:sz w:val="12"/>
                <w:szCs w:val="12"/>
                <w:color w:val="auto"/>
              </w:rPr>
            </w:pPr>
          </w:p>
        </w:tc>
        <w:tc>
          <w:tcPr>
            <w:tcW w:w="236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rate</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Tax differential on foreign income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local taxes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17.8 </w:t>
            </w: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3.0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Valuation allowances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Reserves for uncertain tax positions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Global Intangible Low-Taxed Income (GILTI)</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Undistributed foreign earnings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Impact of foreign operations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Separation-related transactions</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Basis adjustment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28.7 </w:t>
            </w: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Return to provision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0.3 </w:t>
            </w: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Nondeductible items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7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w:t>
            </w: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2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hanging="330"/>
        <w:spacing w:after="0"/>
        <w:tabs>
          <w:tab w:leader="none" w:pos="3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intercompany prepayment of 0.5% in 2021.</w:t>
      </w:r>
    </w:p>
    <w:p>
      <w:pPr>
        <w:spacing w:after="0" w:line="208"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The provision for income taxes for the year ended March 31, 2024 was $172 million as compared to $524 million for the year ended March 31, 2023. The decrease in income tax expense was primarily driven by valuation allowances established in fiscal year 2023, changes in uncertain tax positions during fiscal year 2024 as a result of audit settlements and statute of limitations lapsing, offset by increases in taxes on foreign operations. The provision for income taxes for the year ended March 31, 2023 was $524 million compared to $402 million for the year ended December 31, 2021. The increase in income tax expense was primarily driven by the changes in valuation allowances, offset by tax charges in 2021 related to the transfer of Kyndryl’s operations that were considered a one-time item from Separation.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Company’s effective tax rate for the year ended March 31, 2024 was lower (more negative) than the Company’s statutory tax rate primarily due to the Company’s pretax loss being significantly lower in fiscal year 2024 and current year losses not benefitted due to the existing valuation allowances. The Company’s effective tax rate for the year ended March 31, 2023 was lower than the Company’s statutory tax rate primarily due to changes in valuation allowances, taxes on foreign operations and uncertain tax positions. The Company’s effective tax rate for the three months ended March 31, 2022 was lower than the Company’s statutory tax rate primarily due to tax effects of cross-border tax laws, undistributed foreign earnings, taxes on foreign operations, uncertain tax positions and the establishment of valuation allowances in certain jurisdictions against deferred tax assets that are not more likely than not to be realized. The Company’s effective tax rate for 2021 was lower than the statutory tax rate primarily due to changes in valuation allowances, losses in certain jurisdictions that cannot be benefited from and tax charges related to the transfer of Kyndryl’s operations from IBM that were deemed to be immediately settled with IBM through the Net Parent Investment account.</w:t>
      </w:r>
    </w:p>
    <w:p>
      <w:pPr>
        <w:spacing w:after="0" w:line="192" w:lineRule="exact"/>
        <w:rPr>
          <w:sz w:val="20"/>
          <w:szCs w:val="20"/>
          <w:color w:val="auto"/>
        </w:rPr>
      </w:pPr>
    </w:p>
    <w:p>
      <w:pPr>
        <w:ind w:left="60" w:right="259" w:firstLine="648"/>
        <w:spacing w:after="0" w:line="277" w:lineRule="auto"/>
        <w:rPr>
          <w:sz w:val="20"/>
          <w:szCs w:val="20"/>
          <w:color w:val="auto"/>
        </w:rPr>
      </w:pPr>
      <w:r>
        <w:rPr>
          <w:rFonts w:ascii="Times New Roman" w:cs="Times New Roman" w:eastAsia="Times New Roman" w:hAnsi="Times New Roman"/>
          <w:sz w:val="17"/>
          <w:szCs w:val="17"/>
          <w:color w:val="auto"/>
        </w:rPr>
        <w:t>The Organization for Economic Cooperation and Development (“OECD”) is coordinating negotiations among more than 140 countries with the goal of achieving consensus around substantial changes to international tax policies, including the implementation of a minimum global effective tax rate of 15%. While many jurisdictions in which the Company operates have adopted the relevant legislation effective for tax years beginning on or after January 1, 2024, the legislation did not result in a material change to the Company’s income tax provision for the year ended March 31, 2024.</w:t>
      </w:r>
    </w:p>
    <w:p>
      <w:pPr>
        <w:spacing w:after="0" w:line="16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taxes were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6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Retirement benefits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16"/>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and other compensation</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tax loss/credit carryforwards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16"/>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income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loss/credit carryforwards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assets and depreciation</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Workforce rebalancing charges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Limitation on deductibility of interest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Accruals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6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0"/>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0" w:type="dxa"/>
            <w:vAlign w:val="bottom"/>
          </w:tcPr>
          <w:p>
            <w:pPr>
              <w:spacing w:after="0"/>
              <w:rPr>
                <w:sz w:val="1"/>
                <w:szCs w:val="1"/>
                <w:color w:val="auto"/>
              </w:rPr>
            </w:pPr>
          </w:p>
        </w:tc>
      </w:tr>
      <w:tr>
        <w:trPr>
          <w:trHeight w:val="216"/>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(748)</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10"/>
        </w:trPr>
        <w:tc>
          <w:tcPr>
            <w:tcW w:w="63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assets and depreciation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Leases and right-of-use assets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Undistributed foreign earnings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transition costs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6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0"/>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59" w:firstLine="648"/>
        <w:spacing w:after="0" w:line="312" w:lineRule="auto"/>
        <w:rPr>
          <w:sz w:val="20"/>
          <w:szCs w:val="20"/>
          <w:color w:val="auto"/>
        </w:rPr>
      </w:pPr>
      <w:r>
        <w:rPr>
          <w:rFonts w:ascii="Times New Roman" w:cs="Times New Roman" w:eastAsia="Times New Roman" w:hAnsi="Times New Roman"/>
          <w:sz w:val="17"/>
          <w:szCs w:val="17"/>
          <w:color w:val="auto"/>
        </w:rPr>
        <w:t>As of March 31, 2024, the Company had tax-affected U.S. and foreign net operating loss deferred tax assets of $441 million and $66 million, respectively. As of March 31, 2023, the Company had tax-affected U.S. and foreign net</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operating loss deferred tax assets of $412 million and $118 million, respectively. If not utilized, the U.S. state net operating loss carryforwards will begin to expire in 2026, and foreign net operating loss carryforwards will begin to expire in 2026. The U.S. federal net operating loss can be carried forward indefinitely.</w:t>
      </w:r>
    </w:p>
    <w:p>
      <w:pPr>
        <w:spacing w:after="0" w:line="176"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valuation allowances as of March 31, 2024 and 2023 were $748 million and $620 million, respectively. The increase in valuation allowances from March 31, 2023 to March 31, 2024 was $128 million. The increase in valuation allowance is primarily a result of current year net operating losses generated in the U.S. that are not supported by the reversal of taxable temporary differences and changes in judgment associated with the realizability of deferred tax assets in certain foreign jurisdictions. For purposes of the historical periods presented on a “carve-out” basis, the Company’s income tax provisions were calculated using the separate return basis, as if the Company filed separate tax returns. Prior to Separation, the Company’s operations were included in the consolidated U.S. federal and certain state, local and foreign income tax returns filed by its former Parent. Post-Separation, certain net operating losses and tax credit carryforwards that were included for purposes of the historical periods presented on a “carve-out” basis available to be utilized by its former Parent are not available for future utilization by the Company and were settled through Net Parent investment immediately prior to the Separation. As of March 31, 2024, based on all available evidence, management concluded that no other valuation allowance was necessary to reduce the deferred tax assets remaining post-Separation since estimated future taxable income is expected to be sufficient to utilize these assets prior to their expiration. Estimates of future taxable income could change, perhaps materially, which may require us to revise our assessment of the recoverability of the deferred tax asset at that time.</w:t>
      </w:r>
    </w:p>
    <w:p>
      <w:pPr>
        <w:spacing w:after="0" w:line="19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was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0" w:type="dxa"/>
            <w:vAlign w:val="bottom"/>
          </w:tcPr>
          <w:p>
            <w:pPr>
              <w:spacing w:after="0"/>
              <w:rPr>
                <w:sz w:val="13"/>
                <w:szCs w:val="13"/>
                <w:color w:val="auto"/>
              </w:rPr>
            </w:pPr>
          </w:p>
        </w:tc>
        <w:tc>
          <w:tcPr>
            <w:tcW w:w="84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5"/>
        </w:trPr>
        <w:tc>
          <w:tcPr>
            <w:tcW w:w="4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vMerge w:val="restart"/>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vMerge w:val="restart"/>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42"/>
        </w:trPr>
        <w:tc>
          <w:tcPr>
            <w:tcW w:w="45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54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Reductions for tax positions of prior years (including</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impacts due to a lapse of statute)</w:t>
            </w:r>
          </w:p>
        </w:tc>
        <w:tc>
          <w:tcPr>
            <w:tcW w:w="2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w:t>
            </w:r>
          </w:p>
        </w:tc>
        <w:tc>
          <w:tcPr>
            <w:tcW w:w="620" w:type="dxa"/>
            <w:vAlign w:val="bottom"/>
          </w:tcPr>
          <w:p>
            <w:pPr>
              <w:spacing w:after="0"/>
              <w:rPr>
                <w:sz w:val="20"/>
                <w:szCs w:val="20"/>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(closed out to Net Parent investment)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10"/>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104</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39" w:firstLine="648"/>
        <w:spacing w:after="0" w:line="266" w:lineRule="auto"/>
        <w:rPr>
          <w:sz w:val="20"/>
          <w:szCs w:val="20"/>
          <w:color w:val="auto"/>
        </w:rPr>
      </w:pPr>
      <w:r>
        <w:rPr>
          <w:rFonts w:ascii="Times New Roman" w:cs="Times New Roman" w:eastAsia="Times New Roman" w:hAnsi="Times New Roman"/>
          <w:sz w:val="18"/>
          <w:szCs w:val="18"/>
          <w:color w:val="auto"/>
        </w:rPr>
        <w:t>Post-Separation, liabilities related to unrecognized tax benefits for which the Company is liable are reported within the Consolidated Balance Sheet based upon tax authorities’ ability to assert the Company may be the primary obligor for historical taxes, among other factors.</w:t>
      </w:r>
    </w:p>
    <w:p>
      <w:pPr>
        <w:spacing w:after="0" w:line="176" w:lineRule="exact"/>
        <w:rPr>
          <w:sz w:val="20"/>
          <w:szCs w:val="20"/>
          <w:color w:val="auto"/>
        </w:rPr>
      </w:pPr>
    </w:p>
    <w:p>
      <w:pPr>
        <w:ind w:left="60" w:right="79" w:firstLine="648"/>
        <w:spacing w:after="0" w:line="271" w:lineRule="auto"/>
        <w:rPr>
          <w:sz w:val="20"/>
          <w:szCs w:val="20"/>
          <w:color w:val="auto"/>
        </w:rPr>
      </w:pPr>
      <w:r>
        <w:rPr>
          <w:rFonts w:ascii="Times New Roman" w:cs="Times New Roman" w:eastAsia="Times New Roman" w:hAnsi="Times New Roman"/>
          <w:sz w:val="17"/>
          <w:szCs w:val="17"/>
          <w:color w:val="auto"/>
        </w:rPr>
        <w:t>With limited exceptions, the Company is generally subject to income tax audits for tax years subsequent to September 1, 2021, or post-Separation, including in the U.S., Germany, Japan and Spain. Pursuant to the terms of the Separation, any tax liabilities attributable to the tax period (or portion thereof) ending on or before November 3, 2021, are generally not the Company’s liability. As of March 31, 2024, the Company is not aware of any material open income tax audits that would result in a liability owed by the Company. The Company does not expect a significant increase or decrease in unrecognized tax benefits within the next twelve months. The net amount of $108 million unrecognized tax benefits, if recognized, would favorably affect the Company’s effective tax rate. Interest and penalties related to income tax liabilities are included in income tax expense. During the year ended March 31, 2024, the Company recognized $4 million in interest expense and penalties. The Company had $6 million for interest and penalties accrued at March 31, 2023.</w:t>
      </w:r>
    </w:p>
    <w:p>
      <w:pPr>
        <w:spacing w:after="0" w:line="173"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Pursuant to the terms of the Separation, the Company identified certain tax refunds related to estimated tax payments and refundable value-added taxes for which we are required to reimburse our former Parent as the refunds are received, as well as certain tax benefits related to net operating losses that were transferred to the Company for which we are required to pay to our former Parent as the tax benefits are realized. As of March 31, 2024, the Company estimated the amount of our obligations to our former Parent related to these tax refunds and tax benefits to be approximately $13</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million, where $4 million is recorded in other accrued expenses and liabilities expected to be paid within one year, and $9 million is recorded in other liabilities expected to be paid beyond the one-year period. The Company also estimated the amount of our former Parent’s indemnification obligations to the Company related to income tax liabilities attributable to tax periods (or portions thereof) ending on or before November 3, 2021, to be approximately $27 million, which is recorded in prepaid expenses and other current assets on the Company’s Consolidated Balance Sheet.</w:t>
      </w:r>
    </w:p>
    <w:p>
      <w:pPr>
        <w:spacing w:after="0" w:line="183"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At March 31, 2024, the Company’s undistributed earnings from non-U.S. subsidiaries were not indefinitely reinvested. Accordingly, the Company recorded a deferred tax liability of $15 million for the estimated taxes associated with the repatriation of these earnings. The Company intends to repatriate certain foreign earnings that have been taxed in the U.S. and undistributed earnings to the extent the foreign earnings are not restricted by local laws and can be accessed in a cost-effective manner.</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NET LOSS PER SHARE</w:t>
      </w:r>
    </w:p>
    <w:p>
      <w:pPr>
        <w:spacing w:after="0" w:line="229"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We did not declare any stock dividends in the periods presented. The following table provides the computation of basic and diluted earnings per share of common stock for the years ended March 31, 2024 and 2023, the three months ended March 31, 2022 (transition period), and the year ended December 31, 2021.</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0" w:type="dxa"/>
            <w:vAlign w:val="bottom"/>
          </w:tcPr>
          <w:p>
            <w:pPr>
              <w:spacing w:after="0"/>
              <w:rPr>
                <w:sz w:val="13"/>
                <w:szCs w:val="13"/>
                <w:color w:val="auto"/>
              </w:rPr>
            </w:pP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20" w:type="dxa"/>
            <w:vAlign w:val="bottom"/>
            <w:gridSpan w:val="5"/>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14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gridSpan w:val="5"/>
            <w:vMerge w:val="continue"/>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3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18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Net income (loss) on which basic and diluted earnings</w:t>
            </w:r>
          </w:p>
        </w:tc>
        <w:tc>
          <w:tcPr>
            <w:tcW w:w="1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 is calculated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3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Number of shares on which basic and diluted earnings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 share is calculated</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w:t>
            </w: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(6.06)</w:t>
            </w: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(1.48)</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(6.06)</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For the years ended March 31, 2024 and 2023, the three months ended March 31, 2022 (transition period), and the year ended December 31, 2021, the Company’s basic and diluted weighted-average shares outstanding were the same. The following securities were not included in the computation of diluted net loss per share because they would have been anti-dilutive:</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4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0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4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tcBorders>
              <w:bottom w:val="single" w:sz="8" w:color="auto"/>
            </w:tcBorders>
            <w:gridSpan w:val="3"/>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140" w:type="dxa"/>
            <w:vAlign w:val="bottom"/>
          </w:tcPr>
          <w:p>
            <w:pPr>
              <w:spacing w:after="0"/>
              <w:rPr>
                <w:sz w:val="15"/>
                <w:szCs w:val="15"/>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gridSpan w:val="2"/>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102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4"/>
                <w:szCs w:val="14"/>
                <w:color w:val="auto"/>
              </w:rPr>
            </w:pPr>
          </w:p>
        </w:tc>
      </w:tr>
      <w:tr>
        <w:trPr>
          <w:trHeight w:val="209"/>
        </w:trPr>
        <w:tc>
          <w:tcPr>
            <w:tcW w:w="4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units</w:t>
            </w: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8"/>
                <w:szCs w:val="18"/>
                <w:color w:val="auto"/>
              </w:rPr>
            </w:pP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performance-conditioned stock units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market-conditioned stock units</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r>
      <w:tr>
        <w:trPr>
          <w:trHeight w:val="210"/>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 w:type="dxa"/>
            <w:vAlign w:val="bottom"/>
          </w:tcPr>
          <w:p>
            <w:pPr>
              <w:spacing w:after="0"/>
              <w:rPr>
                <w:sz w:val="18"/>
                <w:szCs w:val="18"/>
                <w:color w:val="auto"/>
              </w:rPr>
            </w:pPr>
          </w:p>
        </w:tc>
      </w:tr>
      <w:tr>
        <w:trPr>
          <w:trHeight w:val="20"/>
        </w:trPr>
        <w:tc>
          <w:tcPr>
            <w:tcW w:w="4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71"/>
        </w:trPr>
        <w:tc>
          <w:tcPr>
            <w:tcW w:w="4240" w:type="dxa"/>
            <w:vAlign w:val="bottom"/>
          </w:tcPr>
          <w:p>
            <w:pPr>
              <w:spacing w:after="0"/>
              <w:rPr>
                <w:sz w:val="24"/>
                <w:szCs w:val="24"/>
                <w:color w:val="auto"/>
              </w:rPr>
            </w:pPr>
          </w:p>
        </w:tc>
        <w:tc>
          <w:tcPr>
            <w:tcW w:w="1160" w:type="dxa"/>
            <w:vAlign w:val="bottom"/>
            <w:gridSpan w:val="2"/>
          </w:tcPr>
          <w:p>
            <w:pPr>
              <w:jc w:val="right"/>
              <w:ind w:right="756"/>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4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 FINANCIAL ASSETS AND LIABILITIES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Assets and Liabilities Measured at Fair Value</w:t>
      </w:r>
    </w:p>
    <w:p>
      <w:pPr>
        <w:spacing w:after="0" w:line="229"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financial assets and financial liabilities that are measured at fair value on a recurring basis at March 31, 2024 and 2023.</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40" w:type="dxa"/>
            <w:vAlign w:val="bottom"/>
            <w:gridSpan w:val="6"/>
            <w:vMerge w:val="restart"/>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At March 31, 2024</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80" w:type="dxa"/>
            <w:vAlign w:val="bottom"/>
            <w:gridSpan w:val="6"/>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At March 31, 2023</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6"/>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6"/>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60" w:type="dxa"/>
            <w:vAlign w:val="bottom"/>
            <w:gridSpan w:val="2"/>
            <w:vMerge w:val="continue"/>
          </w:tcPr>
          <w:p>
            <w:pPr>
              <w:spacing w:after="0"/>
              <w:rPr>
                <w:sz w:val="12"/>
                <w:szCs w:val="12"/>
                <w:color w:val="auto"/>
              </w:rPr>
            </w:pPr>
          </w:p>
        </w:tc>
        <w:tc>
          <w:tcPr>
            <w:tcW w:w="86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34283D"/>
                <w:w w:val="97"/>
              </w:rPr>
              <w:t>Level</w:t>
            </w:r>
          </w:p>
        </w:tc>
        <w:tc>
          <w:tcPr>
            <w:tcW w:w="120" w:type="dxa"/>
            <w:vAlign w:val="bottom"/>
          </w:tcPr>
          <w:p>
            <w:pPr>
              <w:spacing w:after="0"/>
              <w:rPr>
                <w:sz w:val="12"/>
                <w:szCs w:val="12"/>
                <w:color w:val="auto"/>
              </w:rPr>
            </w:pPr>
          </w:p>
        </w:tc>
        <w:tc>
          <w:tcPr>
            <w:tcW w:w="500" w:type="dxa"/>
            <w:vAlign w:val="bottom"/>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3"/>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7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7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1"/>
        </w:trPr>
        <w:tc>
          <w:tcPr>
            <w:tcW w:w="278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34283D"/>
              </w:rPr>
              <w:t>Derivatives designated as hedging</w:t>
            </w:r>
          </w:p>
        </w:tc>
        <w:tc>
          <w:tcPr>
            <w:tcW w:w="1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34283D"/>
              </w:rPr>
              <w:t>instruments:</w:t>
            </w: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34283D"/>
              </w:rPr>
              <w:t>Foreign exchange contracts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34283D"/>
                <w:w w:val="88"/>
              </w:rPr>
              <w:t>2</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gridSpan w:val="3"/>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80" w:type="dxa"/>
            <w:vAlign w:val="bottom"/>
            <w:gridSpan w:val="3"/>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280" w:type="dxa"/>
            <w:vAlign w:val="bottom"/>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34283D"/>
              </w:rPr>
              <w:t>Cross-currency swap contracts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34283D"/>
                <w:w w:val="88"/>
              </w:rPr>
              <w:t>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9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34283D"/>
              </w:rPr>
              <w:t>Derivatives not designated as hedging</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34283D"/>
              </w:rPr>
              <w:t>instruments:</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34283D"/>
              </w:rPr>
              <w:t>Foreign exchange contracts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34283D"/>
                <w:w w:val="88"/>
              </w:rPr>
              <w:t>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34283D"/>
              </w:rPr>
              <w:t>Total</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Borders>
              <w:top w:val="single" w:sz="8" w:color="auto"/>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The gross balances of derivative assets, including accrued interest, are contained within prepaid expenses and other current assets, and the gross balances of derivative liabilities are contained within other accrued expenses and liabilities, or other noncurrent liabilities in the Consolidated Balance Sheet. The Company may enter into master netting agreements with certain counterparties that allow for netting of exposures. There was no netting of derivative assets against liabilities in the Consolidated Balance Sheet at March 31, 2024 and 2023. The Company manages counterparty risk by seeking counterparties of high credit quality and by monitoring credit ratings, credit spreads and other relevant public information about its counterparties. The Company does not anticipate nonperformance by any of the counterparties.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Assets and Liabilities Not Measured at Fair Value</w:t>
      </w:r>
    </w:p>
    <w:p>
      <w:pPr>
        <w:spacing w:after="0" w:line="22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Accounts receivable are financial assets with carrying values that approximate fair value. Accounts payable, other accrued expenses and short-term debt are financial liabilities with carrying values that approximate fair value. If measured at fair value in the consolidated financial statements, these financial instruments would be classified as Level 3 in the fair value hierarchy, except for short-term debt, which would be classified as Level 2.</w:t>
      </w:r>
    </w:p>
    <w:p>
      <w:pPr>
        <w:spacing w:after="0" w:line="180"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Company also has time deposits that have maturities of 90 days or less, and their carrying values approximate fair value. They are measured for impairment on a recurring basis by comparing their fair value with their amortized cost basis. There were no impairments of financial assets recognized for any of the periods presented. The balance of these time deposits with maturities of 90 days or less contained within cash and cash equivalents in the Consolidated Balance Sheet at March 31, 2024 and 2023 was $828 million and $814 million, respectively. If measured at fair value in the consolidated financial statements, time deposits with maturities of 90 days or less would be categorized as Level 2 in the fair value hierarchy.</w:t>
      </w:r>
    </w:p>
    <w:p>
      <w:pPr>
        <w:spacing w:after="0" w:line="189"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The fair value of our outstanding debt (excluding finance lease obligations) is based on various methodologies, including quoted prices in active markets for identical debt instruments, which is a Level 1 measurement, or calculated fair value using an expected present value technique that uses rates currently available to the Company for debt in active markets with similar terms and remaining maturities, which is a Level 2 measurement. See Note 11 – Borrowings for additional information. Our outstanding debt (excluding finance lease obligations) had a carrying value of $2.9 billion and $3.0 billion as of March 31, 2024 and 2023, respectively. The debt had an estimated fair value of $2.6 billion and $2.5 billion as of March 31, 2024 and 2023, respectively.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the notional amounts of the Company’s outstanding derivatives: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At March 31, 2024</w:t>
            </w:r>
          </w:p>
        </w:tc>
        <w:tc>
          <w:tcPr>
            <w:tcW w:w="120" w:type="dxa"/>
            <w:vAlign w:val="bottom"/>
          </w:tcPr>
          <w:p>
            <w:pPr>
              <w:spacing w:after="0"/>
              <w:rPr>
                <w:sz w:val="15"/>
                <w:szCs w:val="15"/>
                <w:color w:val="auto"/>
              </w:rPr>
            </w:pPr>
          </w:p>
        </w:tc>
        <w:tc>
          <w:tcPr>
            <w:tcW w:w="172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At March 31, 2023</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Foreign</w:t>
            </w:r>
          </w:p>
        </w:tc>
        <w:tc>
          <w:tcPr>
            <w:tcW w:w="96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Cross-currency</w:t>
            </w:r>
          </w:p>
        </w:tc>
        <w:tc>
          <w:tcPr>
            <w:tcW w:w="3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Foreign</w:t>
            </w:r>
          </w:p>
        </w:tc>
        <w:tc>
          <w:tcPr>
            <w:tcW w:w="100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Cross-currency</w:t>
            </w:r>
          </w:p>
        </w:tc>
        <w:tc>
          <w:tcPr>
            <w:tcW w:w="0" w:type="dxa"/>
            <w:vAlign w:val="bottom"/>
          </w:tcPr>
          <w:p>
            <w:pPr>
              <w:spacing w:after="0"/>
              <w:rPr>
                <w:sz w:val="1"/>
                <w:szCs w:val="1"/>
                <w:color w:val="auto"/>
              </w:rPr>
            </w:pPr>
          </w:p>
        </w:tc>
      </w:tr>
      <w:tr>
        <w:trPr>
          <w:trHeight w:val="148"/>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Pr>
          <w:p>
            <w:pPr>
              <w:spacing w:after="0"/>
              <w:rPr>
                <w:sz w:val="12"/>
                <w:szCs w:val="12"/>
                <w:color w:val="auto"/>
              </w:rPr>
            </w:pPr>
          </w:p>
        </w:tc>
        <w:tc>
          <w:tcPr>
            <w:tcW w:w="11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14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Swap</w:t>
            </w:r>
          </w:p>
        </w:tc>
        <w:tc>
          <w:tcPr>
            <w:tcW w:w="12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40" w:type="dxa"/>
            <w:vAlign w:val="bottom"/>
          </w:tcPr>
          <w:p>
            <w:pPr>
              <w:spacing w:after="0"/>
              <w:rPr>
                <w:sz w:val="15"/>
                <w:szCs w:val="15"/>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20" w:type="dxa"/>
            <w:vAlign w:val="bottom"/>
          </w:tcPr>
          <w:p>
            <w:pPr>
              <w:spacing w:after="0"/>
              <w:rPr>
                <w:sz w:val="15"/>
                <w:szCs w:val="15"/>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Swap Contracts</w:t>
            </w:r>
          </w:p>
        </w:tc>
        <w:tc>
          <w:tcPr>
            <w:tcW w:w="0" w:type="dxa"/>
            <w:vAlign w:val="bottom"/>
          </w:tcPr>
          <w:p>
            <w:pPr>
              <w:spacing w:after="0"/>
              <w:rPr>
                <w:sz w:val="1"/>
                <w:szCs w:val="1"/>
                <w:color w:val="auto"/>
              </w:rPr>
            </w:pPr>
          </w:p>
        </w:tc>
      </w:tr>
      <w:tr>
        <w:trPr>
          <w:trHeight w:val="209"/>
        </w:trPr>
        <w:tc>
          <w:tcPr>
            <w:tcW w:w="3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34283D"/>
              </w:rPr>
              <w:t>Derivatives designated as hedging instruments</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34283D"/>
              </w:rPr>
              <w:t>Cash flow hedges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8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34283D"/>
              </w:rPr>
              <w:t>Net investment hedges</w:t>
            </w: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21"/>
                <w:szCs w:val="21"/>
                <w:color w:val="auto"/>
              </w:rPr>
            </w:pP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34283D"/>
              </w:rPr>
              <w:t>Derivatives not designated as hedging instruments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28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639" w:firstLine="648"/>
        <w:spacing w:after="0" w:line="282" w:lineRule="auto"/>
        <w:rPr>
          <w:sz w:val="20"/>
          <w:szCs w:val="20"/>
          <w:color w:val="auto"/>
        </w:rPr>
      </w:pPr>
      <w:r>
        <w:rPr>
          <w:rFonts w:ascii="Times New Roman" w:cs="Times New Roman" w:eastAsia="Times New Roman" w:hAnsi="Times New Roman"/>
          <w:sz w:val="18"/>
          <w:szCs w:val="18"/>
          <w:color w:val="auto"/>
        </w:rPr>
        <w:t>The notional amounts of derivative instruments do not necessarily represent the amounts exchanged by the Company with third parties and are not necessarily a direct measure of the financial exposure.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Derivatives Designated as Hedging Instruments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229"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The Company has foreign exchange derivative financial instruments designated as cash flow hedges to manage the volatility of cash flows that relate to operating expenses denominated in certain currencies. Through the pre-Separation period, derivatives designated as cash flow hedges were deemed to be associated with the Company’s operations and were allocated to the Company’s Consolidated Income Statement based on its pro-rata share of the underlying items hedged, where applicable, with the remainder allocated on a pro-rata basis of revenue. For additional information, see Note 1 – Significant Accounting Policies.</w:t>
      </w:r>
    </w:p>
    <w:p>
      <w:pPr>
        <w:spacing w:after="0" w:line="187"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The maximum remaining length of time over which the Company has hedged its exposures is approximately one year. At March 31, 2024 and 2023, the weighted-average remaining maturity of these instruments was approximately 0.5 years. At March 31, 2024 and 2023, in connection with cash flow hedges of foreign currency cost transactions, the Company had unrealized gains of $2 million and $1 million (each before taxes), respectively, in AOCI. The Company estimates that $2 million (before taxes) of deferred net gains on derivatives in AOCI at March 31, 2024 will be reclassified to net income within the next twelve months, providing an offsetting economic impact against the underlying anticipated transactions.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Hedges</w:t>
      </w:r>
    </w:p>
    <w:p>
      <w:pPr>
        <w:spacing w:after="0" w:line="229" w:lineRule="exact"/>
        <w:rPr>
          <w:sz w:val="20"/>
          <w:szCs w:val="20"/>
          <w:color w:val="auto"/>
        </w:rPr>
      </w:pPr>
    </w:p>
    <w:p>
      <w:pPr>
        <w:ind w:left="60" w:right="259" w:firstLine="648"/>
        <w:spacing w:after="0" w:line="273" w:lineRule="auto"/>
        <w:rPr>
          <w:sz w:val="20"/>
          <w:szCs w:val="20"/>
          <w:color w:val="auto"/>
        </w:rPr>
      </w:pPr>
      <w:r>
        <w:rPr>
          <w:rFonts w:ascii="Times New Roman" w:cs="Times New Roman" w:eastAsia="Times New Roman" w:hAnsi="Times New Roman"/>
          <w:sz w:val="17"/>
          <w:szCs w:val="17"/>
          <w:color w:val="auto"/>
        </w:rPr>
        <w:t>The Company has entered into and designated cross-currency interest rate swap contracts as net investment hedges to mitigate foreign exchange exposure related net investments. Under the terms of the cross-currency swaps, the Company makes fixed-rate payments in foreign currencies and receives fixed-rate amounts in U.S. dollars, with the exchange of the underlying notional amounts at maturity whereby the Company will receive U.S. dollars and pay foreign currencies at exchange rates which are determined at contract inception. At March 31, 2024, the remaining maturity of these instruments was approximately 10 years. At March 31, 2024, the Company had unrealized losses of $11 million (before taxes) in AOCI related to net investment hedges. There were no net investment hedges in fiscal year 2023.</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Derivatives Not Designated as Hedging Instruments</w:t>
      </w:r>
    </w:p>
    <w:p>
      <w:pPr>
        <w:spacing w:after="0" w:line="229"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The Company enters into currency forward and swap contracts to hedge exposures related to assets and liabilities across its subsidiaries. The terms of these contracts are generally less than one year.</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Effect of Derivative Instruments in the Consolidated Income Statement</w:t>
      </w:r>
    </w:p>
    <w:p>
      <w:pPr>
        <w:spacing w:after="0" w:line="229"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The effects of derivatives designated as hedging instruments on the Consolidated Income Statement and Other Comprehensive Income are as follows: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20" w:type="dxa"/>
            <w:vAlign w:val="bottom"/>
            <w:gridSpan w:val="10"/>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Gain (Loss) Recognized in Consolidated Income Statement</w:t>
            </w: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and Other Comprehensive Income</w:t>
            </w: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2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Three</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100" w:type="dxa"/>
            <w:vAlign w:val="bottom"/>
          </w:tcPr>
          <w:p>
            <w:pPr>
              <w:spacing w:after="0"/>
              <w:rPr>
                <w:sz w:val="14"/>
                <w:szCs w:val="14"/>
                <w:color w:val="auto"/>
              </w:rPr>
            </w:pPr>
          </w:p>
        </w:tc>
        <w:tc>
          <w:tcPr>
            <w:tcW w:w="98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4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2"/>
                <w:szCs w:val="12"/>
                <w:color w:val="auto"/>
              </w:rPr>
            </w:pPr>
          </w:p>
        </w:tc>
        <w:tc>
          <w:tcPr>
            <w:tcW w:w="98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1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center"/>
              <w:ind w:right="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4000" w:type="dxa"/>
            <w:vAlign w:val="bottom"/>
            <w:tcBorders>
              <w:top w:val="single" w:sz="8" w:color="auto"/>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 instruments in cash flow hedges:</w:t>
            </w:r>
          </w:p>
        </w:tc>
        <w:tc>
          <w:tcPr>
            <w:tcW w:w="14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Recognized</w:t>
            </w:r>
          </w:p>
        </w:tc>
        <w:tc>
          <w:tcPr>
            <w:tcW w:w="160" w:type="dxa"/>
            <w:vAlign w:val="bottom"/>
            <w:tcBorders>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gridSpan w:val="2"/>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in OCI *</w:t>
            </w:r>
          </w:p>
        </w:tc>
        <w:tc>
          <w:tcPr>
            <w:tcW w:w="14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3"/>
        </w:trPr>
        <w:tc>
          <w:tcPr>
            <w:tcW w:w="41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 instruments in net investment hedges:</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Cross-currency swaps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41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4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83"/>
        </w:trPr>
        <w:tc>
          <w:tcPr>
            <w:tcW w:w="224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Income Statement line item</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Reclassified from AOCI *</w:t>
            </w: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services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3"/>
        </w:trPr>
        <w:tc>
          <w:tcPr>
            <w:tcW w:w="41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Interest expenses **</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414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1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right="339" w:hanging="330"/>
        <w:spacing w:after="0" w:line="233" w:lineRule="auto"/>
        <w:tabs>
          <w:tab w:leader="none" w:pos="3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Pre-Separation, the effects of hedging activity were allocated from the former Parent directly to the Company’s Consolidated Income Statement, resulting in no gain (loss) either recognized in other comprehensive income or reclassified from accumulated other comprehensive income.</w:t>
      </w:r>
    </w:p>
    <w:p>
      <w:pPr>
        <w:ind w:left="380" w:right="159" w:hanging="330"/>
        <w:spacing w:after="0" w:line="233" w:lineRule="auto"/>
        <w:tabs>
          <w:tab w:leader="none" w:pos="3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March 31, 2024, the Company recognized a gain of $1 million in interest expense on components excluded from the assessment of the hedge effectiveness for net investment hedges. There were no net investment hedges in the year ended March 31, 2023, the three months ended March 31, 2022 and the year ended December 31, 2021.</w:t>
      </w:r>
    </w:p>
    <w:p>
      <w:pPr>
        <w:spacing w:after="0" w:line="181"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For the years ended March 31, 2024 and 2023, the three months ended March 31, 2022 and the year ended December 31, 2021, there were no gains or losses excluded from the assessment of hedge effectiveness for cash flow hedges, or associated with an underlying exposure that did not or was not expected to occur; nor are there any anticipated in the normal course of business.</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effects of derivatives not designated as hedging instruments on the Consolidated Income Statement are as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follows: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80" w:type="dxa"/>
            <w:vAlign w:val="bottom"/>
            <w:tcBorders>
              <w:bottom w:val="single" w:sz="8" w:color="auto"/>
            </w:tcBorders>
            <w:gridSpan w:val="11"/>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Gain (Loss) Recognized in Consolidated Income Statement</w:t>
            </w: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Three</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80" w:type="dxa"/>
            <w:vAlign w:val="bottom"/>
          </w:tcPr>
          <w:p>
            <w:pPr>
              <w:spacing w:after="0"/>
              <w:rPr>
                <w:sz w:val="14"/>
                <w:szCs w:val="14"/>
                <w:color w:val="auto"/>
              </w:rPr>
            </w:pPr>
          </w:p>
        </w:tc>
        <w:tc>
          <w:tcPr>
            <w:tcW w:w="92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2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vMerge w:val="restart"/>
          </w:tcPr>
          <w:p>
            <w:pPr>
              <w:spacing w:after="0"/>
              <w:rPr>
                <w:sz w:val="12"/>
                <w:szCs w:val="12"/>
                <w:color w:val="auto"/>
              </w:rPr>
            </w:pPr>
          </w:p>
        </w:tc>
        <w:tc>
          <w:tcPr>
            <w:tcW w:w="21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Income Statement</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2"/>
                <w:szCs w:val="12"/>
                <w:color w:val="auto"/>
              </w:rPr>
            </w:pPr>
          </w:p>
        </w:tc>
        <w:tc>
          <w:tcPr>
            <w:tcW w:w="920" w:type="dxa"/>
            <w:vAlign w:val="bottom"/>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26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Line Item</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44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 instruments not designated as hedging instruments: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96"/>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PROPERTY AND EQUIPMENT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the balances of property and equipment by type:</w:t>
      </w:r>
    </w:p>
    <w:p>
      <w:pPr>
        <w:spacing w:after="0" w:line="38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At March 31,</w:t>
            </w: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6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Information technology equipment</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6,374</w:t>
            </w:r>
          </w:p>
        </w:tc>
        <w:tc>
          <w:tcPr>
            <w:tcW w:w="2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6,912</w:t>
            </w:r>
          </w:p>
        </w:tc>
        <w:tc>
          <w:tcPr>
            <w:tcW w:w="0" w:type="dxa"/>
            <w:vAlign w:val="bottom"/>
          </w:tcPr>
          <w:p>
            <w:pPr>
              <w:spacing w:after="0"/>
              <w:rPr>
                <w:sz w:val="1"/>
                <w:szCs w:val="1"/>
                <w:color w:val="auto"/>
              </w:rPr>
            </w:pPr>
          </w:p>
        </w:tc>
      </w:tr>
      <w:tr>
        <w:trPr>
          <w:trHeight w:val="216"/>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and other equipment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16"/>
        </w:trPr>
        <w:tc>
          <w:tcPr>
            <w:tcW w:w="6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9"/>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10,016</w:t>
            </w:r>
          </w:p>
        </w:tc>
        <w:tc>
          <w:tcPr>
            <w:tcW w:w="0" w:type="dxa"/>
            <w:vAlign w:val="bottom"/>
          </w:tcPr>
          <w:p>
            <w:pPr>
              <w:spacing w:after="0"/>
              <w:rPr>
                <w:sz w:val="1"/>
                <w:szCs w:val="1"/>
                <w:color w:val="auto"/>
              </w:rPr>
            </w:pPr>
          </w:p>
        </w:tc>
      </w:tr>
      <w:tr>
        <w:trPr>
          <w:trHeight w:val="216"/>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(6,626)</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(7,237)</w:t>
            </w:r>
          </w:p>
        </w:tc>
        <w:tc>
          <w:tcPr>
            <w:tcW w:w="0" w:type="dxa"/>
            <w:vAlign w:val="bottom"/>
          </w:tcPr>
          <w:p>
            <w:pPr>
              <w:spacing w:after="0"/>
              <w:rPr>
                <w:sz w:val="1"/>
                <w:szCs w:val="1"/>
                <w:color w:val="auto"/>
              </w:rPr>
            </w:pPr>
          </w:p>
        </w:tc>
      </w:tr>
      <w:tr>
        <w:trPr>
          <w:trHeight w:val="210"/>
        </w:trPr>
        <w:tc>
          <w:tcPr>
            <w:tcW w:w="63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The unpaid property and equipment balance included in accounts payable and accrued expenses was $29 million and $62 million at March 31, 2024 and 2023, respectively. Depreciation of property and equipment was $801 million, $900 million, $246 million, and $1.3 billion for the years ended March 31, 2024 and 2023, the three months ended March 31, 2022 (the transition period) and the year ended December 31, 2021, respectively. Additionally, as part of the site-rationalization program, the Company recognized $21 million and $7 million of accelerated depreciation related to ceasing to use certain owned fixed assets for the years ended March 31, 2024 and 2023, respectively. Refer to Note 19 – Workforce Rebalancing and Site-Rationalization Charges for additional details.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the various components of lease costs:</w:t>
      </w: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0" w:type="dxa"/>
            <w:vAlign w:val="bottom"/>
          </w:tcPr>
          <w:p>
            <w:pPr>
              <w:spacing w:after="0"/>
              <w:rPr>
                <w:sz w:val="13"/>
                <w:szCs w:val="13"/>
                <w:color w:val="auto"/>
              </w:rPr>
            </w:pPr>
          </w:p>
        </w:tc>
        <w:tc>
          <w:tcPr>
            <w:tcW w:w="88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2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2"/>
                <w:szCs w:val="12"/>
                <w:color w:val="auto"/>
              </w:rPr>
            </w:pPr>
          </w:p>
        </w:tc>
        <w:tc>
          <w:tcPr>
            <w:tcW w:w="780" w:type="dxa"/>
            <w:vAlign w:val="bottom"/>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costs</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434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Variable lease costs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6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4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costs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0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625</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For pre-Separation periods, the Company’s components of lease costs reflected in the Consolidated Income Statement are based on an allocation of its former Parent’s lease costs, depending on the type of lease. Finance lease costs relating to assets specifically utilized by the Company were fully allocated to the Company. The real estate lease costs were allocated based on the percentage of space utilized by the Company. The remaining lease costs were allocated to the Company based on headcount.</w:t>
      </w:r>
    </w:p>
    <w:p>
      <w:pPr>
        <w:spacing w:after="0" w:line="183"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During the fiscal years of 2024 and 2023, we identified and ceased use of certain operating right-of-use assets that were inherited from the former Parent at Separation. We determined that we will no longer receive economic benefits from these leased properties and do not have the intent or practical ability to sublease or sell them. Accordingly, we recorded accelerated depreciation in the amount of $14 million and $69 million (representing the remaining carrying value of the identified right-of-use assets, not included in the operating lease costs in the table above) for the years ended March 31, 2024 and 2023, respectively. Refer to Note 19 – Workforce Rebalancing and Site-Rationalization Charges for details of this program.</w:t>
      </w:r>
    </w:p>
    <w:p>
      <w:pPr>
        <w:spacing w:after="0" w:line="189" w:lineRule="exact"/>
        <w:rPr>
          <w:sz w:val="20"/>
          <w:szCs w:val="20"/>
          <w:color w:val="auto"/>
        </w:rPr>
      </w:pPr>
    </w:p>
    <w:p>
      <w:pPr>
        <w:ind w:left="60" w:right="459" w:firstLine="648"/>
        <w:spacing w:after="0" w:line="282" w:lineRule="auto"/>
        <w:rPr>
          <w:sz w:val="20"/>
          <w:szCs w:val="20"/>
          <w:color w:val="auto"/>
        </w:rPr>
      </w:pPr>
      <w:r>
        <w:rPr>
          <w:rFonts w:ascii="Times New Roman" w:cs="Times New Roman" w:eastAsia="Times New Roman" w:hAnsi="Times New Roman"/>
          <w:sz w:val="18"/>
          <w:szCs w:val="18"/>
          <w:color w:val="auto"/>
        </w:rPr>
        <w:t>The Company had no sale and leaseback transactions for the years ended March 31, 2024 and 2023, the three months ended March 31, 2022 and the year ended December 31, 2021.</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supplemental information relating to the cash flows arising from lease transactions. Cash payments related to variable lease costs and short-term leases are not included in the measurement of operating and finance lease liabilities and, as such, are excluded from the amounts below.</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4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00" w:type="dxa"/>
            <w:vAlign w:val="bottom"/>
            <w:gridSpan w:val="5"/>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12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86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4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1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191"/>
        </w:trPr>
        <w:tc>
          <w:tcPr>
            <w:tcW w:w="428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Cash paid for amounts included in the measurement of</w:t>
            </w: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cash outflows for finance leases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Financing cash outflows for finance leases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4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cash outflows for operating leases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198"/>
        </w:trPr>
        <w:tc>
          <w:tcPr>
            <w:tcW w:w="448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Right-of-use assets obtained in exchange for new finance</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198"/>
        </w:trPr>
        <w:tc>
          <w:tcPr>
            <w:tcW w:w="44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Right-of-use assets obtained in exchange for new</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the weighted-average lease term and discount rate for finance and operating leases: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At March 31,</w:t>
            </w: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26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09"/>
        </w:trPr>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8"/>
              </w:rPr>
              <w:t>Weighted-average remaining lease term</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years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6"/>
          </w:tcPr>
          <w:p>
            <w:pPr>
              <w:ind w:left="280"/>
              <w:spacing w:after="0"/>
              <w:rPr>
                <w:sz w:val="20"/>
                <w:szCs w:val="20"/>
                <w:color w:val="auto"/>
              </w:rPr>
            </w:pPr>
            <w:r>
              <w:rPr>
                <w:rFonts w:ascii="Times New Roman" w:cs="Times New Roman" w:eastAsia="Times New Roman" w:hAnsi="Times New Roman"/>
                <w:sz w:val="18"/>
                <w:szCs w:val="18"/>
                <w:color w:val="auto"/>
              </w:rPr>
              <w:t>3.5 years</w:t>
            </w:r>
          </w:p>
        </w:tc>
      </w:tr>
      <w:tr>
        <w:trPr>
          <w:trHeight w:val="216"/>
        </w:trPr>
        <w:tc>
          <w:tcPr>
            <w:tcW w:w="2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3.36 %</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9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8"/>
              </w:rPr>
              <w:t>Weighted-average remaining lease term</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years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6"/>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4.7 years</w:t>
            </w:r>
          </w:p>
        </w:tc>
      </w:tr>
      <w:tr>
        <w:trPr>
          <w:trHeight w:val="234"/>
        </w:trPr>
        <w:tc>
          <w:tcPr>
            <w:tcW w:w="2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4.38 %</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5"/>
        </w:trPr>
        <w:tc>
          <w:tcPr>
            <w:tcW w:w="8900" w:type="dxa"/>
            <w:vAlign w:val="bottom"/>
            <w:gridSpan w:val="31"/>
          </w:tcPr>
          <w:p>
            <w:pPr>
              <w:ind w:left="660"/>
              <w:spacing w:after="0"/>
              <w:rPr>
                <w:sz w:val="20"/>
                <w:szCs w:val="20"/>
                <w:color w:val="auto"/>
              </w:rPr>
            </w:pPr>
            <w:r>
              <w:rPr>
                <w:rFonts w:ascii="Times New Roman" w:cs="Times New Roman" w:eastAsia="Times New Roman" w:hAnsi="Times New Roman"/>
                <w:sz w:val="18"/>
                <w:szCs w:val="18"/>
                <w:color w:val="auto"/>
              </w:rPr>
              <w:t>The following table presents a maturity analysis of expected undiscounted cash flows for operating and finance</w:t>
            </w:r>
          </w:p>
        </w:tc>
      </w:tr>
      <w:tr>
        <w:trPr>
          <w:trHeight w:val="234"/>
        </w:trPr>
        <w:tc>
          <w:tcPr>
            <w:tcW w:w="508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auto"/>
              </w:rPr>
              <w:t>leases on an annual basis for the next five years and thereafter.</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78"/>
        </w:trPr>
        <w:tc>
          <w:tcPr>
            <w:tcW w:w="2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9"/>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Year Ending March 31,</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Imputed</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268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2027</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2028</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2029</w:t>
            </w:r>
          </w:p>
        </w:tc>
        <w:tc>
          <w:tcPr>
            <w:tcW w:w="14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Thereafter</w:t>
            </w:r>
          </w:p>
        </w:tc>
        <w:tc>
          <w:tcPr>
            <w:tcW w:w="14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Borders>
              <w:bottom w:val="single" w:sz="8" w:color="CCEEFF"/>
            </w:tcBorders>
          </w:tcPr>
          <w:p>
            <w:pPr>
              <w:spacing w:after="0"/>
              <w:rPr>
                <w:sz w:val="12"/>
                <w:szCs w:val="12"/>
                <w:color w:val="auto"/>
              </w:rPr>
            </w:pPr>
          </w:p>
        </w:tc>
      </w:tr>
      <w:tr>
        <w:trPr>
          <w:trHeight w:val="21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shd w:val="clear" w:color="auto" w:fill="CCEEFF"/>
          </w:tcPr>
          <w:p>
            <w:pPr>
              <w:spacing w:after="0"/>
              <w:rPr>
                <w:sz w:val="18"/>
                <w:szCs w:val="18"/>
                <w:color w:val="auto"/>
              </w:rPr>
            </w:pPr>
          </w:p>
        </w:tc>
      </w:tr>
      <w:tr>
        <w:trPr>
          <w:trHeight w:val="234"/>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60" w:type="dxa"/>
            <w:vAlign w:val="bottom"/>
          </w:tcPr>
          <w:p>
            <w:pPr>
              <w:spacing w:after="0"/>
              <w:rPr>
                <w:sz w:val="20"/>
                <w:szCs w:val="20"/>
                <w:color w:val="auto"/>
              </w:rPr>
            </w:pP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Pr>
          <w:p>
            <w:pPr>
              <w:spacing w:after="0"/>
              <w:rPr>
                <w:sz w:val="20"/>
                <w:szCs w:val="20"/>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907</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55" w:lineRule="exact"/>
        <w:rPr>
          <w:sz w:val="20"/>
          <w:szCs w:val="20"/>
          <w:color w:val="auto"/>
        </w:rPr>
      </w:pPr>
    </w:p>
    <w:p>
      <w:pPr>
        <w:ind w:left="340" w:hanging="290"/>
        <w:spacing w:after="0"/>
        <w:tabs>
          <w:tab w:leader="none" w:pos="3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Imputed interest represents the difference between undiscounted cash flows and discounted cash flows.</w:t>
      </w:r>
    </w:p>
    <w:p>
      <w:pPr>
        <w:spacing w:after="0" w:line="20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the total amount of finance leases recognized in the Consolidated Balance Sheet:</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At March 31,</w:t>
            </w: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right"/>
              <w:ind w:right="47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5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 Property and equipment</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16"/>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4"/>
        </w:trPr>
        <w:tc>
          <w:tcPr>
            <w:tcW w:w="5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Noncurrent</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INTANGIBLE ASSETS INCLUDING GOODWILL</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29"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In February 2022, the Company completed two transactions that were considered business combinations. Our financial statements for the three months ended March 31, 2022 reflect the assets, liabilities, operating results and cash flows of both business combinations commencing from the acquisition date. These transactions consisted of an immaterial acquisition in our Strategic Markets segment and a transfer of a majority interest (51%) of a managed infrastructure services joint venture in Japan (the “Exa transaction”) from our former Parent. The Company completed the Exa transaction for consideration of $48 million, net of cash acquired of $59 million. The non-controlling interest associated with the Exa transaction represents the fair value of the joint venture pro-rated by the non-controlling shareholder’s percentage of ownership (49%).</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tables present the Company’s intangible asset balances by major asset class: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At March 31, 2024</w:t>
            </w: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At March 31, 2023</w:t>
            </w: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180" w:type="dxa"/>
            <w:vAlign w:val="bottom"/>
          </w:tcPr>
          <w:p>
            <w:pPr>
              <w:spacing w:after="0"/>
              <w:rPr>
                <w:sz w:val="10"/>
                <w:szCs w:val="10"/>
                <w:color w:val="auto"/>
              </w:rPr>
            </w:pPr>
          </w:p>
        </w:tc>
        <w:tc>
          <w:tcPr>
            <w:tcW w:w="1160" w:type="dxa"/>
            <w:vAlign w:val="bottom"/>
            <w:gridSpan w:val="3"/>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9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140" w:type="dxa"/>
            <w:vAlign w:val="bottom"/>
          </w:tcPr>
          <w:p>
            <w:pPr>
              <w:spacing w:after="0"/>
              <w:rPr>
                <w:sz w:val="10"/>
                <w:szCs w:val="10"/>
                <w:color w:val="auto"/>
              </w:rPr>
            </w:pPr>
          </w:p>
        </w:tc>
        <w:tc>
          <w:tcPr>
            <w:tcW w:w="98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200" w:type="dxa"/>
            <w:vAlign w:val="bottom"/>
          </w:tcPr>
          <w:p>
            <w:pPr>
              <w:spacing w:after="0"/>
              <w:rPr>
                <w:sz w:val="10"/>
                <w:szCs w:val="10"/>
                <w:color w:val="auto"/>
              </w:rPr>
            </w:pPr>
          </w:p>
        </w:tc>
        <w:tc>
          <w:tcPr>
            <w:tcW w:w="1180" w:type="dxa"/>
            <w:vAlign w:val="bottom"/>
            <w:gridSpan w:val="3"/>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9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0" w:type="dxa"/>
            <w:vAlign w:val="bottom"/>
          </w:tcPr>
          <w:p>
            <w:pPr>
              <w:spacing w:after="0"/>
              <w:rPr>
                <w:sz w:val="1"/>
                <w:szCs w:val="1"/>
                <w:color w:val="auto"/>
              </w:rPr>
            </w:pPr>
          </w:p>
        </w:tc>
      </w:tr>
      <w:tr>
        <w:trPr>
          <w:trHeight w:val="173"/>
        </w:trPr>
        <w:tc>
          <w:tcPr>
            <w:tcW w:w="21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11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5"/>
                <w:szCs w:val="15"/>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8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11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 w:type="dxa"/>
            <w:vAlign w:val="bottom"/>
          </w:tcPr>
          <w:p>
            <w:pPr>
              <w:spacing w:after="0"/>
              <w:rPr>
                <w:sz w:val="15"/>
                <w:szCs w:val="15"/>
                <w:color w:val="auto"/>
              </w:rPr>
            </w:pPr>
          </w:p>
        </w:tc>
        <w:tc>
          <w:tcPr>
            <w:tcW w:w="92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1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Completed technology</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Patents and trademarks*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9"/>
        </w:trPr>
        <w:tc>
          <w:tcPr>
            <w:tcW w:w="21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9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0"/>
        <w:spacing w:after="0"/>
        <w:tabs>
          <w:tab w:leader="none" w:pos="240" w:val="left"/>
        </w:tabs>
        <w:rPr>
          <w:sz w:val="20"/>
          <w:szCs w:val="20"/>
          <w:color w:val="auto"/>
        </w:rPr>
      </w:pPr>
      <w:r>
        <w:rPr>
          <w:rFonts w:ascii="Times New Roman" w:cs="Times New Roman" w:eastAsia="Times New Roman" w:hAnsi="Times New Roman"/>
          <w:sz w:val="14"/>
          <w:szCs w:val="14"/>
          <w:color w:val="auto"/>
        </w:rPr>
        <w:t>*</w:t>
        <w:tab/>
        <w:t>Amounts include effects from foreign currency translation.</w:t>
      </w:r>
    </w:p>
    <w:p>
      <w:pPr>
        <w:spacing w:after="0" w:line="208" w:lineRule="exact"/>
        <w:rPr>
          <w:sz w:val="20"/>
          <w:szCs w:val="20"/>
          <w:color w:val="auto"/>
        </w:rPr>
      </w:pPr>
    </w:p>
    <w:p>
      <w:pPr>
        <w:ind w:left="60" w:right="139" w:firstLine="648"/>
        <w:spacing w:after="0" w:line="255" w:lineRule="auto"/>
        <w:rPr>
          <w:sz w:val="20"/>
          <w:szCs w:val="20"/>
          <w:color w:val="auto"/>
        </w:rPr>
      </w:pPr>
      <w:r>
        <w:rPr>
          <w:rFonts w:ascii="Times New Roman" w:cs="Times New Roman" w:eastAsia="Times New Roman" w:hAnsi="Times New Roman"/>
          <w:sz w:val="18"/>
          <w:szCs w:val="18"/>
          <w:color w:val="auto"/>
        </w:rPr>
        <w:t>There was no impairment of identifiable intangible assets recorded in the periods reported. The net carrying amount of intangible assets increased by $17 million during the year ended March 31, 2024, primarily due to additions of capitalized software, partially offset by amortization and retirements. The aggregate intangible asset amortization expense was $63 million, $46 million, $7 million and $37 million for the years ended March 31, 2024 and 2023, the three months ended March 31, 2022 and year ended December 31, 2021, respectively. The aggregate amortization expense in fiscal year 2024 included amortization of capitalized software of $33 million, which was reported in “Depreciation of property, equipment and capitalized software” on the Consolidated Statement of Cash Flows.</w:t>
      </w:r>
    </w:p>
    <w:p>
      <w:pPr>
        <w:spacing w:after="0" w:line="189"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The future amortization expense relating to intangible assets currently recorded in the Consolidated Balance Sheet was estimated to be the following at March 31, 2024:</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3"/>
                <w:szCs w:val="13"/>
                <w:color w:val="auto"/>
              </w:rPr>
            </w:pPr>
          </w:p>
        </w:tc>
        <w:tc>
          <w:tcPr>
            <w:tcW w:w="106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Capitalized</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Patents and</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6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Trademarks</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ending March 31:</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jc w:val="right"/>
              <w:ind w:right="2050"/>
              <w:spacing w:after="0"/>
              <w:rPr>
                <w:sz w:val="20"/>
                <w:szCs w:val="20"/>
                <w:color w:val="auto"/>
              </w:rPr>
            </w:pPr>
            <w:r>
              <w:rPr>
                <w:rFonts w:ascii="Times New Roman" w:cs="Times New Roman" w:eastAsia="Times New Roman" w:hAnsi="Times New Roman"/>
                <w:sz w:val="18"/>
                <w:szCs w:val="18"/>
                <w:color w:val="auto"/>
              </w:rPr>
              <w:t>2025</w:t>
            </w:r>
          </w:p>
        </w:tc>
        <w:tc>
          <w:tcPr>
            <w:tcW w:w="1280" w:type="dxa"/>
            <w:vAlign w:val="bottom"/>
            <w:gridSpan w:val="2"/>
          </w:tcPr>
          <w:p>
            <w:pPr>
              <w:jc w:val="right"/>
              <w:ind w:right="90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jc w:val="right"/>
              <w:ind w:right="205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jc w:val="right"/>
              <w:ind w:right="205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jc w:val="right"/>
              <w:ind w:right="205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jc w:val="right"/>
              <w:ind w:right="205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roll-forward of goodwill balances by segment for the years ended March 31, 2024 and 2023:</w:t>
      </w:r>
    </w:p>
    <w:p>
      <w:pPr>
        <w:spacing w:after="0" w:line="294"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5"/>
              </w:rPr>
              <w:t>Additions</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gridSpan w:val="2"/>
          </w:tcPr>
          <w:p>
            <w:pPr>
              <w:jc w:val="center"/>
              <w:ind w:right="440"/>
              <w:spacing w:after="0"/>
              <w:rPr>
                <w:sz w:val="20"/>
                <w:szCs w:val="20"/>
                <w:color w:val="auto"/>
              </w:rPr>
            </w:pPr>
            <w:r>
              <w:rPr>
                <w:rFonts w:ascii="Times New Roman" w:cs="Times New Roman" w:eastAsia="Times New Roman" w:hAnsi="Times New Roman"/>
                <w:sz w:val="13"/>
                <w:szCs w:val="13"/>
                <w:b w:val="1"/>
                <w:bCs w:val="1"/>
                <w:color w:val="auto"/>
                <w:w w:val="95"/>
              </w:rPr>
              <w:t>Additions</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35"/>
        </w:trPr>
        <w:tc>
          <w:tcPr>
            <w:tcW w:w="17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(Dollars in</w:t>
            </w:r>
          </w:p>
        </w:tc>
        <w:tc>
          <w:tcPr>
            <w:tcW w:w="240" w:type="dxa"/>
            <w:vAlign w:val="bottom"/>
          </w:tcPr>
          <w:p>
            <w:pPr>
              <w:spacing w:after="0"/>
              <w:rPr>
                <w:sz w:val="11"/>
                <w:szCs w:val="11"/>
                <w:color w:val="auto"/>
              </w:rPr>
            </w:pPr>
          </w:p>
        </w:tc>
        <w:tc>
          <w:tcPr>
            <w:tcW w:w="1140" w:type="dxa"/>
            <w:vAlign w:val="bottom"/>
            <w:gridSpan w:val="3"/>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Balance at</w:t>
            </w:r>
          </w:p>
        </w:tc>
        <w:tc>
          <w:tcPr>
            <w:tcW w:w="200" w:type="dxa"/>
            <w:vAlign w:val="bottom"/>
          </w:tcPr>
          <w:p>
            <w:pPr>
              <w:spacing w:after="0"/>
              <w:rPr>
                <w:sz w:val="11"/>
                <w:szCs w:val="11"/>
                <w:color w:val="auto"/>
              </w:rPr>
            </w:pPr>
          </w:p>
        </w:tc>
        <w:tc>
          <w:tcPr>
            <w:tcW w:w="120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240" w:type="dxa"/>
            <w:vAlign w:val="bottom"/>
          </w:tcPr>
          <w:p>
            <w:pPr>
              <w:spacing w:after="0"/>
              <w:rPr>
                <w:sz w:val="11"/>
                <w:szCs w:val="11"/>
                <w:color w:val="auto"/>
              </w:rPr>
            </w:pPr>
          </w:p>
        </w:tc>
        <w:tc>
          <w:tcPr>
            <w:tcW w:w="112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Balance at</w:t>
            </w:r>
          </w:p>
        </w:tc>
        <w:tc>
          <w:tcPr>
            <w:tcW w:w="300" w:type="dxa"/>
            <w:vAlign w:val="bottom"/>
          </w:tcPr>
          <w:p>
            <w:pPr>
              <w:spacing w:after="0"/>
              <w:rPr>
                <w:sz w:val="11"/>
                <w:szCs w:val="11"/>
                <w:color w:val="auto"/>
              </w:rPr>
            </w:pPr>
          </w:p>
        </w:tc>
        <w:tc>
          <w:tcPr>
            <w:tcW w:w="1480" w:type="dxa"/>
            <w:vAlign w:val="bottom"/>
            <w:gridSpan w:val="2"/>
          </w:tcPr>
          <w:p>
            <w:pPr>
              <w:jc w:val="center"/>
              <w:ind w:right="4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260" w:type="dxa"/>
            <w:vAlign w:val="bottom"/>
          </w:tcPr>
          <w:p>
            <w:pPr>
              <w:spacing w:after="0"/>
              <w:rPr>
                <w:sz w:val="11"/>
                <w:szCs w:val="11"/>
                <w:color w:val="auto"/>
              </w:rPr>
            </w:pPr>
          </w:p>
        </w:tc>
        <w:tc>
          <w:tcPr>
            <w:tcW w:w="1020" w:type="dxa"/>
            <w:vAlign w:val="bottom"/>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Balance at</w:t>
            </w:r>
          </w:p>
        </w:tc>
      </w:tr>
      <w:tr>
        <w:trPr>
          <w:trHeight w:val="135"/>
        </w:trPr>
        <w:tc>
          <w:tcPr>
            <w:tcW w:w="170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millions)</w:t>
            </w:r>
          </w:p>
        </w:tc>
        <w:tc>
          <w:tcPr>
            <w:tcW w:w="240" w:type="dxa"/>
            <w:vAlign w:val="bottom"/>
          </w:tcPr>
          <w:p>
            <w:pPr>
              <w:spacing w:after="0"/>
              <w:rPr>
                <w:sz w:val="11"/>
                <w:szCs w:val="11"/>
                <w:color w:val="auto"/>
              </w:rPr>
            </w:pPr>
          </w:p>
        </w:tc>
        <w:tc>
          <w:tcPr>
            <w:tcW w:w="1140" w:type="dxa"/>
            <w:vAlign w:val="bottom"/>
            <w:gridSpan w:val="3"/>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March 31,</w:t>
            </w:r>
          </w:p>
        </w:tc>
        <w:tc>
          <w:tcPr>
            <w:tcW w:w="200" w:type="dxa"/>
            <w:vAlign w:val="bottom"/>
          </w:tcPr>
          <w:p>
            <w:pPr>
              <w:spacing w:after="0"/>
              <w:rPr>
                <w:sz w:val="11"/>
                <w:szCs w:val="11"/>
                <w:color w:val="auto"/>
              </w:rPr>
            </w:pPr>
          </w:p>
        </w:tc>
        <w:tc>
          <w:tcPr>
            <w:tcW w:w="120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240" w:type="dxa"/>
            <w:vAlign w:val="bottom"/>
          </w:tcPr>
          <w:p>
            <w:pPr>
              <w:spacing w:after="0"/>
              <w:rPr>
                <w:sz w:val="11"/>
                <w:szCs w:val="11"/>
                <w:color w:val="auto"/>
              </w:rPr>
            </w:pPr>
          </w:p>
        </w:tc>
        <w:tc>
          <w:tcPr>
            <w:tcW w:w="112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March 31,</w:t>
            </w:r>
          </w:p>
        </w:tc>
        <w:tc>
          <w:tcPr>
            <w:tcW w:w="300" w:type="dxa"/>
            <w:vAlign w:val="bottom"/>
          </w:tcPr>
          <w:p>
            <w:pPr>
              <w:spacing w:after="0"/>
              <w:rPr>
                <w:sz w:val="11"/>
                <w:szCs w:val="11"/>
                <w:color w:val="auto"/>
              </w:rPr>
            </w:pPr>
          </w:p>
        </w:tc>
        <w:tc>
          <w:tcPr>
            <w:tcW w:w="1480" w:type="dxa"/>
            <w:vAlign w:val="bottom"/>
            <w:gridSpan w:val="2"/>
          </w:tcPr>
          <w:p>
            <w:pPr>
              <w:jc w:val="center"/>
              <w:ind w:right="4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260" w:type="dxa"/>
            <w:vAlign w:val="bottom"/>
          </w:tcPr>
          <w:p>
            <w:pPr>
              <w:spacing w:after="0"/>
              <w:rPr>
                <w:sz w:val="11"/>
                <w:szCs w:val="11"/>
                <w:color w:val="auto"/>
              </w:rPr>
            </w:pPr>
          </w:p>
        </w:tc>
        <w:tc>
          <w:tcPr>
            <w:tcW w:w="1020" w:type="dxa"/>
            <w:vAlign w:val="bottom"/>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March 31,</w:t>
            </w:r>
          </w:p>
        </w:tc>
      </w:tr>
      <w:tr>
        <w:trPr>
          <w:trHeight w:val="155"/>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Segment</w:t>
            </w:r>
          </w:p>
        </w:tc>
        <w:tc>
          <w:tcPr>
            <w:tcW w:w="240" w:type="dxa"/>
            <w:vAlign w:val="bottom"/>
          </w:tcPr>
          <w:p>
            <w:pPr>
              <w:spacing w:after="0"/>
              <w:rPr>
                <w:sz w:val="13"/>
                <w:szCs w:val="13"/>
                <w:color w:val="auto"/>
              </w:rPr>
            </w:pPr>
          </w:p>
        </w:tc>
        <w:tc>
          <w:tcPr>
            <w:tcW w:w="1020" w:type="dxa"/>
            <w:vAlign w:val="bottom"/>
            <w:gridSpan w:val="2"/>
          </w:tcPr>
          <w:p>
            <w:pPr>
              <w:jc w:val="center"/>
              <w:ind w:right="150"/>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8"/>
              </w:rPr>
              <w:t>Adjustments*</w:t>
            </w:r>
          </w:p>
        </w:tc>
        <w:tc>
          <w:tcPr>
            <w:tcW w:w="240" w:type="dxa"/>
            <w:vAlign w:val="bottom"/>
          </w:tcPr>
          <w:p>
            <w:pPr>
              <w:spacing w:after="0"/>
              <w:rPr>
                <w:sz w:val="13"/>
                <w:szCs w:val="13"/>
                <w:color w:val="auto"/>
              </w:rPr>
            </w:pPr>
          </w:p>
        </w:tc>
        <w:tc>
          <w:tcPr>
            <w:tcW w:w="1020" w:type="dxa"/>
            <w:vAlign w:val="bottom"/>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5"/>
              </w:rPr>
              <w:t>Adjustments*</w:t>
            </w:r>
          </w:p>
        </w:tc>
        <w:tc>
          <w:tcPr>
            <w:tcW w:w="260" w:type="dxa"/>
            <w:vAlign w:val="bottom"/>
          </w:tcPr>
          <w:p>
            <w:pPr>
              <w:spacing w:after="0"/>
              <w:rPr>
                <w:sz w:val="13"/>
                <w:szCs w:val="13"/>
                <w:color w:val="auto"/>
              </w:rPr>
            </w:pPr>
          </w:p>
        </w:tc>
        <w:tc>
          <w:tcPr>
            <w:tcW w:w="1020" w:type="dxa"/>
            <w:vAlign w:val="bottom"/>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2024</w:t>
            </w:r>
          </w:p>
        </w:tc>
      </w:tr>
      <w:tr>
        <w:trPr>
          <w:trHeight w:val="210"/>
        </w:trPr>
        <w:tc>
          <w:tcPr>
            <w:tcW w:w="1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16"/>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Markets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Strategic Markets</w:t>
            </w:r>
          </w:p>
        </w:tc>
        <w:tc>
          <w:tcPr>
            <w:tcW w:w="2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10"/>
        </w:trPr>
        <w:tc>
          <w:tcPr>
            <w:tcW w:w="1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r>
      <w:tr>
        <w:trPr>
          <w:trHeight w:val="20"/>
        </w:trPr>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88"/>
        </w:trPr>
        <w:tc>
          <w:tcPr>
            <w:tcW w:w="16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20" w:type="dxa"/>
            <w:vAlign w:val="bottom"/>
          </w:tcPr>
          <w:p>
            <w:pPr>
              <w:spacing w:after="0"/>
              <w:rPr>
                <w:sz w:val="7"/>
                <w:szCs w:val="7"/>
                <w:color w:val="auto"/>
              </w:rPr>
            </w:pPr>
          </w:p>
        </w:tc>
      </w:tr>
    </w:tbl>
    <w:p>
      <w:pPr>
        <w:spacing w:after="0" w:line="72" w:lineRule="exact"/>
        <w:rPr>
          <w:sz w:val="20"/>
          <w:szCs w:val="20"/>
          <w:color w:val="auto"/>
        </w:rPr>
      </w:pPr>
    </w:p>
    <w:p>
      <w:pPr>
        <w:ind w:left="380" w:hanging="330"/>
        <w:spacing w:after="0"/>
        <w:tabs>
          <w:tab w:leader="none" w:pos="3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driven by foreign currency translation.</w:t>
      </w:r>
    </w:p>
    <w:p>
      <w:pPr>
        <w:spacing w:after="0" w:line="208"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Management reviews goodwill for impairment annually and whenever events or changes in circumstances indicate the carrying value of goodwill may not be recoverable by first assessing qualitative factors to determine if it is more likely than not that fair value is less than carrying value.</w:t>
      </w:r>
    </w:p>
    <w:p>
      <w:pPr>
        <w:spacing w:after="0" w:line="176"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We use an income-based approach where fair value is determined using a discounted cash flow model that requires significant judgment with respect to revenue growth rates, based upon annual budgets and long-term strategic plans. Fair value estimates employed in our annual impairment review of goodwill involve using various assumptions. Assumptions critical to our fair value estimates were discount rates, expected revenue growth and projected EBITDA margins used in determining the fair value of the reporting units. These and other assumptions are impacted by economic conditions and expectations of management and may change based on different facts and circumstances. We believe the assumptions used to estimate future cash flows are reasonable, but there can be no assurance that the expected cash flows will be realized. The use of different assumptions would increase or decrease discounted cash flows or earnings projections and therefore could change impairment determinations.</w:t>
      </w:r>
    </w:p>
    <w:p>
      <w:pPr>
        <w:spacing w:after="0" w:line="188"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There were no goodwill impairment losses recorded for the year ended March 31, 2024. We prepared our impairment test as of January 1, 2024. For the reporting units subject to quantitative tests, we concluded that their fair values exceeded carrying values by over 100%. Future developments related to macroeconomic factors, including increases to the discount rate used, or changes to other inputs and assumptions, including revenue growth, could reduce the fair value of this and/or other reporting units and lead to impairment. Cumulatively, the Company has recorded $469 million in goodwill impairment charges within its former EMEA ($293 million) and current United States ($176 million) reporting units.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BORROWINGS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the components of our debt:</w:t>
      </w:r>
    </w:p>
    <w:p>
      <w:pPr>
        <w:spacing w:after="0" w:line="200" w:lineRule="exact"/>
        <w:rPr>
          <w:sz w:val="20"/>
          <w:szCs w:val="20"/>
          <w:color w:val="auto"/>
        </w:rPr>
      </w:pP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4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At March 31,</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320" w:type="dxa"/>
            <w:vAlign w:val="bottom"/>
            <w:gridSpan w:val="3"/>
            <w:vMerge w:val="continue"/>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392"/>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jc w:val="right"/>
              <w:ind w:right="391"/>
              <w:spacing w:after="0" w:line="155"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30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floating-rate term loan</w:t>
            </w:r>
          </w:p>
        </w:tc>
        <w:tc>
          <w:tcPr>
            <w:tcW w:w="2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3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Commercial loan agreement</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24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July 2026</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3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senior notes due 2026</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2.05%</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October 2026</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16"/>
        </w:trPr>
        <w:tc>
          <w:tcPr>
            <w:tcW w:w="3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Unsecured senior notes due 2028</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2.70%</w:t>
            </w:r>
          </w:p>
        </w:tc>
        <w:tc>
          <w:tcPr>
            <w:tcW w:w="24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October 2028</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3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senior notes due 2031</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3.15%</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October 2031</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16"/>
        </w:trPr>
        <w:tc>
          <w:tcPr>
            <w:tcW w:w="3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Unsecured senior notes due 2034</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6.35% *</w:t>
            </w:r>
          </w:p>
        </w:tc>
        <w:tc>
          <w:tcPr>
            <w:tcW w:w="24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February 2034</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senior notes due 2041</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4.10%</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October 2041</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16"/>
        </w:trPr>
        <w:tc>
          <w:tcPr>
            <w:tcW w:w="33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Finance lease and other obligations</w:t>
            </w:r>
          </w:p>
        </w:tc>
        <w:tc>
          <w:tcPr>
            <w:tcW w:w="11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5.57% **</w:t>
            </w:r>
          </w:p>
        </w:tc>
        <w:tc>
          <w:tcPr>
            <w:tcW w:w="24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jc w:val="right"/>
              <w:ind w:right="112"/>
              <w:spacing w:after="0"/>
              <w:rPr>
                <w:sz w:val="20"/>
                <w:szCs w:val="20"/>
                <w:color w:val="auto"/>
              </w:rPr>
            </w:pPr>
            <w:r>
              <w:rPr>
                <w:rFonts w:ascii="Times New Roman" w:cs="Times New Roman" w:eastAsia="Times New Roman" w:hAnsi="Times New Roman"/>
                <w:sz w:val="18"/>
                <w:szCs w:val="18"/>
                <w:color w:val="auto"/>
              </w:rPr>
              <w:t>2024-2029</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09"/>
        </w:trPr>
        <w:tc>
          <w:tcPr>
            <w:tcW w:w="2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0" w:type="dxa"/>
            <w:vAlign w:val="bottom"/>
          </w:tcPr>
          <w:p>
            <w:pPr>
              <w:spacing w:after="0"/>
              <w:rPr>
                <w:sz w:val="1"/>
                <w:szCs w:val="1"/>
                <w:color w:val="auto"/>
              </w:rPr>
            </w:pPr>
          </w:p>
        </w:tc>
      </w:tr>
      <w:tr>
        <w:trPr>
          <w:trHeight w:val="216"/>
        </w:trPr>
        <w:tc>
          <w:tcPr>
            <w:tcW w:w="3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Less: Unamortized discount</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3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33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1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09"/>
        </w:trPr>
        <w:tc>
          <w:tcPr>
            <w:tcW w:w="33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2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right="159" w:hanging="290"/>
        <w:spacing w:after="0" w:line="233" w:lineRule="auto"/>
        <w:tabs>
          <w:tab w:leader="none" w:pos="33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the cross-currency swaps that the Company entered into subsequent to the issuance of the unsecured senior notes due 2034, the effective interest rate on such notes was approximately 3.84% for the quarter ended March 31,2024. For more information, see Note 7 – Financial Assets and</w:t>
      </w:r>
    </w:p>
    <w:p>
      <w:pPr>
        <w:ind w:left="340"/>
        <w:spacing w:after="0" w:line="222" w:lineRule="auto"/>
        <w:rPr>
          <w:sz w:val="20"/>
          <w:szCs w:val="20"/>
          <w:color w:val="auto"/>
        </w:rPr>
      </w:pPr>
      <w:r>
        <w:rPr>
          <w:rFonts w:ascii="Times New Roman" w:cs="Times New Roman" w:eastAsia="Times New Roman" w:hAnsi="Times New Roman"/>
          <w:sz w:val="14"/>
          <w:szCs w:val="14"/>
          <w:color w:val="auto"/>
        </w:rPr>
        <w:t>Liabilities.</w:t>
      </w:r>
    </w:p>
    <w:p>
      <w:pPr>
        <w:ind w:left="60"/>
        <w:spacing w:after="0"/>
        <w:tabs>
          <w:tab w:leader="none" w:pos="320" w:val="left"/>
        </w:tabs>
        <w:rPr>
          <w:sz w:val="20"/>
          <w:szCs w:val="20"/>
          <w:color w:val="auto"/>
        </w:rPr>
      </w:pPr>
      <w:r>
        <w:rPr>
          <w:rFonts w:ascii="Times New Roman" w:cs="Times New Roman" w:eastAsia="Times New Roman" w:hAnsi="Times New Roman"/>
          <w:sz w:val="14"/>
          <w:szCs w:val="14"/>
          <w:color w:val="auto"/>
        </w:rPr>
        <w:t>**</w:t>
        <w:tab/>
        <w:t>Weighted-average discount rate</w:t>
      </w:r>
    </w:p>
    <w:p>
      <w:pPr>
        <w:spacing w:after="0" w:line="124"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Contractual obligations of long-term debt outstanding at March 31, 2024, exclusive of finance lease obligations, were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9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Principal</w:t>
            </w:r>
          </w:p>
        </w:tc>
      </w:tr>
      <w:tr>
        <w:trPr>
          <w:trHeight w:val="210"/>
        </w:trPr>
        <w:tc>
          <w:tcPr>
            <w:tcW w:w="20" w:type="dxa"/>
            <w:vAlign w:val="bottom"/>
          </w:tcPr>
          <w:p>
            <w:pPr>
              <w:spacing w:after="0"/>
              <w:rPr>
                <w:sz w:val="18"/>
                <w:szCs w:val="18"/>
                <w:color w:val="auto"/>
              </w:rPr>
            </w:pPr>
          </w:p>
        </w:tc>
        <w:tc>
          <w:tcPr>
            <w:tcW w:w="77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ending March 31: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2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2025</w:t>
            </w:r>
          </w:p>
        </w:tc>
        <w:tc>
          <w:tcPr>
            <w:tcW w:w="5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jc w:val="right"/>
              <w:ind w:right="1670"/>
              <w:spacing w:after="0"/>
              <w:rPr>
                <w:sz w:val="20"/>
                <w:szCs w:val="20"/>
                <w:color w:val="auto"/>
              </w:rPr>
            </w:pPr>
            <w:r>
              <w:rPr>
                <w:rFonts w:ascii="Times New Roman" w:cs="Times New Roman" w:eastAsia="Times New Roman" w:hAnsi="Times New Roman"/>
                <w:sz w:val="18"/>
                <w:szCs w:val="18"/>
                <w:color w:val="auto"/>
              </w:rPr>
              <w:t>2026</w:t>
            </w:r>
          </w:p>
        </w:tc>
        <w:tc>
          <w:tcPr>
            <w:tcW w:w="5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20" w:type="dxa"/>
            <w:vAlign w:val="bottom"/>
          </w:tcPr>
          <w:p>
            <w:pPr>
              <w:spacing w:after="0"/>
              <w:rPr>
                <w:sz w:val="18"/>
                <w:szCs w:val="18"/>
                <w:color w:val="auto"/>
              </w:rPr>
            </w:pPr>
          </w:p>
        </w:tc>
        <w:tc>
          <w:tcPr>
            <w:tcW w:w="222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2027</w:t>
            </w:r>
          </w:p>
        </w:tc>
        <w:tc>
          <w:tcPr>
            <w:tcW w:w="5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jc w:val="right"/>
              <w:ind w:right="1670"/>
              <w:spacing w:after="0"/>
              <w:rPr>
                <w:sz w:val="20"/>
                <w:szCs w:val="20"/>
                <w:color w:val="auto"/>
              </w:rPr>
            </w:pPr>
            <w:r>
              <w:rPr>
                <w:rFonts w:ascii="Times New Roman" w:cs="Times New Roman" w:eastAsia="Times New Roman" w:hAnsi="Times New Roman"/>
                <w:sz w:val="18"/>
                <w:szCs w:val="18"/>
                <w:color w:val="auto"/>
              </w:rPr>
              <w:t>2028</w:t>
            </w:r>
          </w:p>
        </w:tc>
        <w:tc>
          <w:tcPr>
            <w:tcW w:w="5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222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2029</w:t>
            </w:r>
          </w:p>
        </w:tc>
        <w:tc>
          <w:tcPr>
            <w:tcW w:w="5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20" w:type="dxa"/>
            <w:vAlign w:val="bottom"/>
          </w:tcPr>
          <w:p>
            <w:pPr>
              <w:spacing w:after="0"/>
              <w:rPr>
                <w:sz w:val="18"/>
                <w:szCs w:val="18"/>
                <w:color w:val="auto"/>
              </w:rPr>
            </w:pPr>
          </w:p>
        </w:tc>
        <w:tc>
          <w:tcPr>
            <w:tcW w:w="7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r>
      <w:tr>
        <w:trPr>
          <w:trHeight w:val="210"/>
        </w:trPr>
        <w:tc>
          <w:tcPr>
            <w:tcW w:w="79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2,968</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5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r>
    </w:tbl>
    <w:p>
      <w:pPr>
        <w:spacing w:after="0" w:line="72" w:lineRule="exact"/>
        <w:rPr>
          <w:sz w:val="20"/>
          <w:szCs w:val="20"/>
          <w:color w:val="auto"/>
        </w:rPr>
      </w:pPr>
    </w:p>
    <w:p>
      <w:pPr>
        <w:ind w:left="60"/>
        <w:spacing w:after="0"/>
        <w:tabs>
          <w:tab w:leader="none" w:pos="240" w:val="left"/>
        </w:tabs>
        <w:rPr>
          <w:sz w:val="20"/>
          <w:szCs w:val="20"/>
          <w:color w:val="auto"/>
        </w:rPr>
      </w:pPr>
      <w:r>
        <w:rPr>
          <w:rFonts w:ascii="Times New Roman" w:cs="Times New Roman" w:eastAsia="Times New Roman" w:hAnsi="Times New Roman"/>
          <w:sz w:val="14"/>
          <w:szCs w:val="14"/>
          <w:color w:val="auto"/>
        </w:rPr>
        <w:t>*</w:t>
        <w:tab/>
        <w:t>Contractual obligations approximate scheduled repayments.</w:t>
      </w: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Senior Unsecured Notes</w:t>
      </w:r>
    </w:p>
    <w:p>
      <w:pPr>
        <w:spacing w:after="0" w:line="229" w:lineRule="exact"/>
        <w:rPr>
          <w:sz w:val="20"/>
          <w:szCs w:val="20"/>
          <w:color w:val="auto"/>
        </w:rPr>
      </w:pPr>
    </w:p>
    <w:p>
      <w:pPr>
        <w:ind w:left="60" w:right="199" w:firstLine="648"/>
        <w:spacing w:after="0" w:line="254" w:lineRule="auto"/>
        <w:rPr>
          <w:sz w:val="20"/>
          <w:szCs w:val="20"/>
          <w:color w:val="auto"/>
        </w:rPr>
      </w:pPr>
      <w:r>
        <w:rPr>
          <w:rFonts w:ascii="Times New Roman" w:cs="Times New Roman" w:eastAsia="Times New Roman" w:hAnsi="Times New Roman"/>
          <w:sz w:val="18"/>
          <w:szCs w:val="18"/>
          <w:color w:val="auto"/>
        </w:rPr>
        <w:t>In October 2021, in preparation for our Spin-off, we completed the offering of $2.4 billion in aggregate principal amount of senior unsecured fixed-rate notes as follows: $700 million aggregate principal amount of 2.05% Senior Notes due 2026, $500 million aggregate principal amount of 2.70% Senior Notes due 2028, $650 million aggregate principal amount of 3.15% Senior Notes due 2031 and $550 million aggregate principal amount of 4.10% Senior Notes due 2041 (the “Initial Notes”). The Initial Notes were offered and sold to qualified institutional buyers in reliance on Rule 144A under the Securities Act and to non-U.S. persons in reliance on Regulation S of the Securities Act. In connection with the issuance of the Initial Notes, we entered into a registration rights agreement with the purchasers of the Initial Notes, pursuant to which we completed a registered offering to exchange each series of Initial Notes for new notes with substantially identical terms during the quarter ended September 30, 2022.</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In February 2024, we completed a registered offering of $500 million in aggregate principal amount of 6.35% senior unsecured notes due 2034 (the “2034 Notes”). We received proceeds of $494 million, net of debt issuance costs and discounts, which were capitalized as a reduction to the carrying value of debt and are being amortized as interest expense over the term of the notes. The 2034 Notes are the Company’s senior unsecured obligations and rank equally in right of payment with all of the Company’s other existing and future senior unsecured indebtedness. If measured at fair value in the consolidated financial statements, all of the Company’s senior unsecured notes would be classified as Level 1 in the fair value hierarchy.</w:t>
      </w:r>
    </w:p>
    <w:p>
      <w:pPr>
        <w:spacing w:after="0" w:line="189" w:lineRule="exact"/>
        <w:rPr>
          <w:sz w:val="20"/>
          <w:szCs w:val="20"/>
          <w:color w:val="auto"/>
        </w:rPr>
      </w:pPr>
    </w:p>
    <w:p>
      <w:pPr>
        <w:ind w:left="60" w:right="499" w:firstLine="648"/>
        <w:spacing w:after="0" w:line="282" w:lineRule="auto"/>
        <w:rPr>
          <w:sz w:val="20"/>
          <w:szCs w:val="20"/>
          <w:color w:val="auto"/>
        </w:rPr>
      </w:pPr>
      <w:r>
        <w:rPr>
          <w:rFonts w:ascii="Times New Roman" w:cs="Times New Roman" w:eastAsia="Times New Roman" w:hAnsi="Times New Roman"/>
          <w:sz w:val="18"/>
          <w:szCs w:val="18"/>
          <w:color w:val="auto"/>
        </w:rPr>
        <w:t>The Initial Notes and the 2034 Notes are subject to customary affirmative covenants, negative covenants and events of default for financings of this type and are redeemable at our option in a customary manner.</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Term Loan and Revolving Credit Facility</w:t>
      </w:r>
    </w:p>
    <w:p>
      <w:pPr>
        <w:spacing w:after="0" w:line="229"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In October 2021, we entered into a $500 million three-year variable rate term loan credit agreement (the “Term Loan Credit Agreement”), which was scheduled to mature in November 2024. In November 2021, we drew down the full $500 million available under the Term Loan Credit Agreement. The interest rate on this term loan was equal to one-month U.S. Dollar London Interbank Offered Rate (“LIBOR”) plus a margin of 1.125%. In June 2023, we amended the Term Loan Credit Agreement by replacing LIBOR with the Secured Overnight Financing Rate (“SOFR”). The first repricing date using SOFR was in July 2023. In February 2024, the Company used the net proceeds from the offering of the 2034 Notes, together with cash on hand, to prepay the full amount outstanding under the Term Loan Credit Agreement, at no penalty.</w:t>
      </w:r>
    </w:p>
    <w:p>
      <w:pPr>
        <w:spacing w:after="0" w:line="192"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October 2021, we entered into a $3.15 billion multi-currency revolving credit agreement (the “Revolving Credit Agreement”), which expires, unless extended, in October 2026. The Revolving Credit Agreement was amended in June 2023, replacing LIBOR with SOFR. Interest rates on borrowings under the Revolving Credit Agreement will be based on prevailing market interest rates, plus a margin, as further described in the Revolving Credit Agreement.</w:t>
      </w:r>
    </w:p>
    <w:p>
      <w:pPr>
        <w:spacing w:after="0" w:line="180"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The total facility fees recorded by the Company for the Revolving Credit Agreement were $5 million for the years ended March 31, 2024 and 2023. Facility fees were immaterial for the three months ended March 31, 2022 and the year ended December 31, 2021. As of March 31, 2024, there has been no drawdown on the Revolving Credit Agreement.</w:t>
      </w:r>
    </w:p>
    <w:p>
      <w:pPr>
        <w:spacing w:after="0" w:line="176"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Revolving Credit Agreement includes certain customary mandatory prepayment provisions. In addition, it includes customary events of default and affirmative and negative covenants as well as a maintenance covenant that will require that the ratio of our indebtedness for borrowed money to consolidated EBITDA (as defined in the Revolving Credit Agreement) for any period of four consecutive fiscal quarters be no greater than 3.50 to 1.00. The Company is in compliance with its debt covenants.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Loan Agreement</w:t>
      </w:r>
    </w:p>
    <w:p>
      <w:pPr>
        <w:spacing w:after="0" w:line="229"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In the second quarter of 2021, our former Parent entered into a $140 million loan agreement with a bank to finance a purchase of software licenses on behalf of Kyndryl. The loan was transferred to Kyndryl in conjunction with the Separation and is included in the Company’s consolidated financial statements. The carrying amount of the loan approximates fair value. If measured at fair value in the consolidated financial statements, the loan would be classified as Level 2 in the fair value hierarchy.</w:t>
      </w:r>
    </w:p>
    <w:p>
      <w:pPr>
        <w:spacing w:after="0" w:line="183" w:lineRule="exact"/>
        <w:rPr>
          <w:sz w:val="20"/>
          <w:szCs w:val="20"/>
          <w:color w:val="auto"/>
        </w:rPr>
      </w:pPr>
    </w:p>
    <w:p>
      <w:pPr>
        <w:ind w:left="60" w:right="359" w:firstLine="648"/>
        <w:spacing w:after="0" w:line="261" w:lineRule="auto"/>
        <w:rPr>
          <w:sz w:val="20"/>
          <w:szCs w:val="20"/>
          <w:color w:val="auto"/>
        </w:rPr>
      </w:pPr>
      <w:r>
        <w:rPr>
          <w:rFonts w:ascii="Times New Roman" w:cs="Times New Roman" w:eastAsia="Times New Roman" w:hAnsi="Times New Roman"/>
          <w:sz w:val="18"/>
          <w:szCs w:val="18"/>
          <w:color w:val="auto"/>
        </w:rPr>
        <w:t>The amortizing loan contains covenants, primarily for compliance with the scheduled payments in the loan agreement. Failure to comply with the loan covenants could constitute an event of default and result in the immediate repayment of the principal and interest on the loan. The Company is in compliance with all of the loan covenants and is expected to maintain a credit rating at or above the level outlined in the loan agreement.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 OTHER LIABILITIES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provides the components of other liabilities at March 31, 2024 and 2023.</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At March 31,</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6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Workforce rebalancing (current)</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65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accruals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09"/>
        </w:trPr>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 and liabilities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09"/>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Workforce rebalancing (noncurrent)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reserve</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09"/>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8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In response to changing business needs, the Company has taken workforce rebalancing actions to increase productivity, enhance cost-competitiveness and rebalance skills. The workforce rebalancing liabilities at March 31, 2024 include liabilities inherited from our former Parent plus new actions taken by Kyndryl during the fiscal year. Refer to Note 19 – Workforce Rebalancing and Site-Rationalization Charges for details.</w:t>
      </w:r>
    </w:p>
    <w:p>
      <w:pPr>
        <w:spacing w:after="0" w:line="180"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Pursuant to the terms of the Separation, the Company may be required to reimburse our former Parent for certain tax refunds we receive and to indemnify our former Parent for certain tax payments. For more information, see Note 5 – Taxes.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22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guarantees certain loans and financial commitments. The maximum potential future payment under these financial guarantees and the fair value of these guarantees recognized in the Consolidated Balance Sheet at March 31, 2024 and 2023 were not material. Additionally, the Company has contractual commitments that are noncancellable with certain software, hardware and cloud partners used in the delivery of services to customers. Certain of these commitments were allocated to the Company as part of the Separation from its former Parent. The Company has determined that these commitments may exceed the Company’s needs over the next two to three years. If the Company is unable to satisfy, reduce or amend its contractual commitments, it will record the future charges for any payments related to excess commitments as cost of services. At March 31, 2024, we had short-term (April 2024 through March 2025), mid-term (April 2025 through March 2027) and long-term (April 2027 onward) purchase commitments in the amount of $0.6 billion, $0.4 billion and $0.4 billion, respectively.</w:t>
      </w:r>
    </w:p>
    <w:p>
      <w:pPr>
        <w:spacing w:after="0" w:line="194"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As a Fortune 500 company with customers and employees around the world, Kyndryl is subject to, or could become subject to, either as plaintiff or defendant, a variety of contingencies, including claims, demands and suits, investigations, tax matters and proceedings that arise from time to time in the ordinary course of its business. Given the rapidly evolving external landscape of cybersecurity, privacy and data protection laws, regulations and threat actors, the Company or its clients could become subject to actions or proceedings in various jurisdictions. Also, as is typical for companies of Kyndryl’s scope and scale, the Company is subject to, or could become subject to, actions and proceedings in various jurisdictions involving a wide range of labor and employment issues (including matters related to contested employment decisions, country-specific labor and employment laws, and the Company’s benefit plans), as well as actions with respect to contracts, securities, foreign operations, competition law and environmental matters. These actions may be commenced by a number of different parties, including competitors, clients, employees, government and regulatory agencies, stockholders and representatives of the locations in which the Company does business. Some of the actions to which the Company is, or may become, party may involve particularly complex technical issues, and some actions may raise novel questions under the laws of the various jurisdictions in which these matters arise. Additionally, the Company is, or may be, a party to agreements pursuant to which it may be obligated to indemnify the other party with respect to certain matters.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firstLine="648"/>
        <w:spacing w:after="0" w:line="258" w:lineRule="auto"/>
        <w:rPr>
          <w:sz w:val="20"/>
          <w:szCs w:val="20"/>
          <w:color w:val="auto"/>
        </w:rPr>
      </w:pPr>
      <w:r>
        <w:rPr>
          <w:rFonts w:ascii="Times New Roman" w:cs="Times New Roman" w:eastAsia="Times New Roman" w:hAnsi="Times New Roman"/>
          <w:sz w:val="18"/>
          <w:szCs w:val="18"/>
          <w:color w:val="auto"/>
        </w:rPr>
        <w:t>The Company records a provision with respect to a claim, suit, investigation or proceeding when it is probable that a liability has been incurred and the amount of the loss can be reasonably estimated. In accordance with the relevant accounting guidance, the Company provides disclosures of matters for which the likelihood of material loss is at least reasonably possible. In addition, the Company may also disclose matters based on its consideration of other matters and qualitative factors.</w:t>
      </w:r>
    </w:p>
    <w:p>
      <w:pPr>
        <w:spacing w:after="0" w:line="183"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Company reviews claims, suits, investigations and proceedings at least quarterly, and decisions are made with respect to recording or adjusting provisions and disclosing reasonably possible losses or range of losses (individually or in the aggregate) to reflect the impact and status of settlement discussions, discovery, procedural and substantive rulings, reviews by counsel and other information pertinent to a particular matter.</w:t>
      </w:r>
    </w:p>
    <w:p>
      <w:pPr>
        <w:spacing w:after="0" w:line="180"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Whether any losses, damages or remedies finally determined in any claim, suit, investigation or proceeding could reasonably have a material effect on the Company’s business, financial condition, results of operations or cash flows will depend on a number of variables, including the timing and amount of such losses or damages; the structure and type of any such remedies; the significance of the impact any such losses, damages or remedies may have in the consolidated financial statements; and the unique facts and circumstances of the particular matter that may give rise to additional factors. While the Company will continue to defend itself vigorously, it is possible that the Company’s business, financial condition, results of operations or cash flows could be affected in any particular period by the resolution of one or more of these matters.</w:t>
      </w:r>
    </w:p>
    <w:p>
      <w:pPr>
        <w:spacing w:after="0" w:line="192" w:lineRule="exact"/>
        <w:rPr>
          <w:sz w:val="20"/>
          <w:szCs w:val="20"/>
          <w:color w:val="auto"/>
        </w:rPr>
      </w:pPr>
    </w:p>
    <w:p>
      <w:pPr>
        <w:ind w:left="60" w:right="119" w:firstLine="648"/>
        <w:spacing w:after="0" w:line="273" w:lineRule="auto"/>
        <w:rPr>
          <w:sz w:val="20"/>
          <w:szCs w:val="20"/>
          <w:color w:val="auto"/>
        </w:rPr>
      </w:pPr>
      <w:r>
        <w:rPr>
          <w:rFonts w:ascii="Times New Roman" w:cs="Times New Roman" w:eastAsia="Times New Roman" w:hAnsi="Times New Roman"/>
          <w:sz w:val="17"/>
          <w:szCs w:val="17"/>
          <w:color w:val="auto"/>
        </w:rPr>
        <w:t>In July 2017, BMC Software, Inc. (“BMC”) filed suit against IBM in the U.S. Court for the Southern District of Texas in a dispute involving various aspects of IBM’s business, including its managed infrastructure business. BMC alleged IBM’s removal of BMC software from one of its client’s sites at the client’s request constituted breach of contract, fraudulent inducement and trade secret misappropriation. In May 2022, the trial court entered a judgment against IBM and awarded BMC $717 million in direct damages and $717 million in punitive damages, plus interest, for which IBM might have tried to seek an indemnity from the Company. However, IBM appealed the judgment, and in April 2024, the court of appeals overturned the judgment against IBM. Accordingly, we do not expect to have any liability related to this judgment.</w:t>
      </w:r>
    </w:p>
    <w:p>
      <w:pPr>
        <w:spacing w:after="0" w:line="171"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Separately, certain contractual disputes have arisen between Kyndryl and IBM following the Separation. IBM and Kyndryl have commenced arbitration proceedings related to certain of these matters. The Company anticipates that certain of these matters will be concluded in fiscal year 2025, while others are in preliminary stages. Kyndryl intends to vigorously pursue its interests and defenses in these matters, including asserting its own claims in arbitration if necessary.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14. EQUITY</w:t>
      </w:r>
    </w:p>
    <w:p>
      <w:pPr>
        <w:spacing w:after="0" w:line="229" w:lineRule="exact"/>
        <w:rPr>
          <w:sz w:val="20"/>
          <w:szCs w:val="20"/>
          <w:color w:val="auto"/>
        </w:rPr>
      </w:pPr>
    </w:p>
    <w:p>
      <w:pPr>
        <w:jc w:val="both"/>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tables present reclassifications and taxes related to items of other comprehensive income (loss) for the years ended March 31, 2024 and 2023, the three months ended March 31, 2022 (transition period) and the year ended December 31, 2021:</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Pr>
          <w:p>
            <w:pPr>
              <w:spacing w:after="0"/>
              <w:rPr>
                <w:sz w:val="13"/>
                <w:szCs w:val="13"/>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Tax (Expense)</w:t>
            </w:r>
          </w:p>
        </w:tc>
        <w:tc>
          <w:tcPr>
            <w:tcW w:w="100" w:type="dxa"/>
            <w:vAlign w:val="bottom"/>
          </w:tcPr>
          <w:p>
            <w:pPr>
              <w:spacing w:after="0"/>
              <w:rPr>
                <w:sz w:val="13"/>
                <w:szCs w:val="13"/>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Net-of-Tax</w:t>
            </w:r>
          </w:p>
        </w:tc>
      </w:tr>
      <w:tr>
        <w:trPr>
          <w:trHeight w:val="173"/>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March 31, 2024</w:t>
            </w:r>
          </w:p>
        </w:tc>
        <w:tc>
          <w:tcPr>
            <w:tcW w:w="140" w:type="dxa"/>
            <w:vAlign w:val="bottom"/>
          </w:tcPr>
          <w:p>
            <w:pPr>
              <w:spacing w:after="0"/>
              <w:rPr>
                <w:sz w:val="15"/>
                <w:szCs w:val="15"/>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00" w:type="dxa"/>
            <w:vAlign w:val="bottom"/>
          </w:tcPr>
          <w:p>
            <w:pPr>
              <w:spacing w:after="0"/>
              <w:rPr>
                <w:sz w:val="15"/>
                <w:szCs w:val="15"/>
                <w:color w:val="auto"/>
              </w:rPr>
            </w:pP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5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16"/>
        </w:trPr>
        <w:tc>
          <w:tcPr>
            <w:tcW w:w="5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5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losses on net investment hedges</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9"/>
        </w:trPr>
        <w:tc>
          <w:tcPr>
            <w:tcW w:w="5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foreign currency translation adjustments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0"/>
        </w:trPr>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(losses) on cash flow hedges: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5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Unrealized gains (losses) arising during the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5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Reclassification of (gains) losses to net income</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9"/>
        </w:trPr>
        <w:tc>
          <w:tcPr>
            <w:tcW w:w="5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unrealized gains (losses) on cash flow hedges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Retirement-related benefit plans*: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5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Prior service (credits) costs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gains (losses) arising during the period</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5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Curtailments and settlements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prior service (credits) costs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8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net (gains) losses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9"/>
        </w:trPr>
        <w:tc>
          <w:tcPr>
            <w:tcW w:w="58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retirement-related benefit plans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0"/>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0"/>
        </w:trPr>
        <w:tc>
          <w:tcPr>
            <w:tcW w:w="5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120015</wp:posOffset>
            </wp:positionV>
            <wp:extent cx="141414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14" w:lineRule="exact"/>
        <w:rPr>
          <w:sz w:val="20"/>
          <w:szCs w:val="20"/>
          <w:color w:val="auto"/>
        </w:rPr>
      </w:pPr>
    </w:p>
    <w:p>
      <w:pPr>
        <w:ind w:left="380" w:right="119" w:hanging="330"/>
        <w:spacing w:after="0" w:line="261" w:lineRule="auto"/>
        <w:tabs>
          <w:tab w:leader="none" w:pos="3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AOCI components are included in the computation of net periodic benefit cost. Refer to Note 16 – Retirement-Related Benefits for additional information.</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Pr>
          <w:p>
            <w:pPr>
              <w:spacing w:after="0"/>
              <w:rPr>
                <w:sz w:val="13"/>
                <w:szCs w:val="13"/>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Tax (Expense)</w:t>
            </w:r>
          </w:p>
        </w:tc>
        <w:tc>
          <w:tcPr>
            <w:tcW w:w="100" w:type="dxa"/>
            <w:vAlign w:val="bottom"/>
          </w:tcPr>
          <w:p>
            <w:pPr>
              <w:spacing w:after="0"/>
              <w:rPr>
                <w:sz w:val="13"/>
                <w:szCs w:val="13"/>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Net-of-Tax</w:t>
            </w:r>
          </w:p>
        </w:tc>
      </w:tr>
      <w:tr>
        <w:trPr>
          <w:trHeight w:val="173"/>
        </w:trPr>
        <w:tc>
          <w:tcPr>
            <w:tcW w:w="5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March 31, 2023</w:t>
            </w:r>
          </w:p>
        </w:tc>
        <w:tc>
          <w:tcPr>
            <w:tcW w:w="140" w:type="dxa"/>
            <w:vAlign w:val="bottom"/>
          </w:tcPr>
          <w:p>
            <w:pPr>
              <w:spacing w:after="0"/>
              <w:rPr>
                <w:sz w:val="15"/>
                <w:szCs w:val="15"/>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00" w:type="dxa"/>
            <w:vAlign w:val="bottom"/>
          </w:tcPr>
          <w:p>
            <w:pPr>
              <w:spacing w:after="0"/>
              <w:rPr>
                <w:sz w:val="15"/>
                <w:szCs w:val="15"/>
                <w:color w:val="auto"/>
              </w:rPr>
            </w:pP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56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5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Unrealized gains (losses) on cash flow hedges:</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58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gains (losses) arising during the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Reclassification of (gains) losses to net income</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584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unrealized gains (losses) on cash flow hedges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5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Retirement-related benefit plans*:</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58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Prior service (credits) costs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Net gains (losses) arising during the period</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58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Curtailments and settlements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Amortization of prior service (credits) costs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8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net (gains) losses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0"/>
        </w:trPr>
        <w:tc>
          <w:tcPr>
            <w:tcW w:w="58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Total retirement-related benefit plans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10"/>
        </w:trPr>
        <w:tc>
          <w:tcPr>
            <w:tcW w:w="58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22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48"/>
        </w:trPr>
        <w:tc>
          <w:tcPr>
            <w:tcW w:w="2240" w:type="dxa"/>
            <w:vAlign w:val="bottom"/>
            <w:tcBorders>
              <w:bottom w:val="single" w:sz="8" w:color="auto"/>
            </w:tcBorders>
          </w:tcPr>
          <w:p>
            <w:pPr>
              <w:spacing w:after="0"/>
              <w:rPr>
                <w:sz w:val="4"/>
                <w:szCs w:val="4"/>
                <w:color w:val="auto"/>
              </w:rPr>
            </w:pPr>
          </w:p>
        </w:tc>
        <w:tc>
          <w:tcPr>
            <w:tcW w:w="3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r>
    </w:tbl>
    <w:p>
      <w:pPr>
        <w:spacing w:after="0" w:line="18" w:lineRule="exact"/>
        <w:rPr>
          <w:sz w:val="20"/>
          <w:szCs w:val="20"/>
          <w:color w:val="auto"/>
        </w:rPr>
      </w:pPr>
    </w:p>
    <w:p>
      <w:pPr>
        <w:ind w:left="380" w:right="119" w:hanging="330"/>
        <w:spacing w:after="0" w:line="261" w:lineRule="auto"/>
        <w:tabs>
          <w:tab w:leader="none" w:pos="3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AOCI components are included in the computation of net periodic benefit cost. Refer to Note 16 – Retirement-Related Benefits for additional information.</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Pr>
          <w:p>
            <w:pPr>
              <w:spacing w:after="0"/>
              <w:rPr>
                <w:sz w:val="13"/>
                <w:szCs w:val="13"/>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Tax (Expense)</w:t>
            </w:r>
          </w:p>
        </w:tc>
        <w:tc>
          <w:tcPr>
            <w:tcW w:w="100" w:type="dxa"/>
            <w:vAlign w:val="bottom"/>
          </w:tcPr>
          <w:p>
            <w:pPr>
              <w:spacing w:after="0"/>
              <w:rPr>
                <w:sz w:val="13"/>
                <w:szCs w:val="13"/>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Net-of-Tax</w:t>
            </w:r>
          </w:p>
        </w:tc>
      </w:tr>
      <w:tr>
        <w:trPr>
          <w:trHeight w:val="173"/>
        </w:trPr>
        <w:tc>
          <w:tcPr>
            <w:tcW w:w="5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2022:</w:t>
            </w:r>
          </w:p>
        </w:tc>
        <w:tc>
          <w:tcPr>
            <w:tcW w:w="140" w:type="dxa"/>
            <w:vAlign w:val="bottom"/>
          </w:tcPr>
          <w:p>
            <w:pPr>
              <w:spacing w:after="0"/>
              <w:rPr>
                <w:sz w:val="15"/>
                <w:szCs w:val="15"/>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00" w:type="dxa"/>
            <w:vAlign w:val="bottom"/>
          </w:tcPr>
          <w:p>
            <w:pPr>
              <w:spacing w:after="0"/>
              <w:rPr>
                <w:sz w:val="15"/>
                <w:szCs w:val="15"/>
                <w:color w:val="auto"/>
              </w:rPr>
            </w:pP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56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5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Unrealized gains (losses) on cash flow hedges:</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58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gains (losses) arising during the period</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Reclassification of (gains) losses to net income</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584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unrealized gains (losses) on cash flow hedges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Retirement-related benefit plans*:</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58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gains (losses) arising during the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5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Curtailments and settlements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8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net (gains) losses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0"/>
        </w:trPr>
        <w:tc>
          <w:tcPr>
            <w:tcW w:w="58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Total retirement-related benefit plans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09"/>
        </w:trPr>
        <w:tc>
          <w:tcPr>
            <w:tcW w:w="58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0"/>
        </w:trPr>
        <w:tc>
          <w:tcPr>
            <w:tcW w:w="22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48"/>
        </w:trPr>
        <w:tc>
          <w:tcPr>
            <w:tcW w:w="2240" w:type="dxa"/>
            <w:vAlign w:val="bottom"/>
            <w:tcBorders>
              <w:bottom w:val="single" w:sz="8" w:color="auto"/>
            </w:tcBorders>
          </w:tcPr>
          <w:p>
            <w:pPr>
              <w:spacing w:after="0"/>
              <w:rPr>
                <w:sz w:val="4"/>
                <w:szCs w:val="4"/>
                <w:color w:val="auto"/>
              </w:rPr>
            </w:pPr>
          </w:p>
        </w:tc>
        <w:tc>
          <w:tcPr>
            <w:tcW w:w="3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r>
    </w:tbl>
    <w:p>
      <w:pPr>
        <w:spacing w:after="0" w:line="31" w:lineRule="exact"/>
        <w:rPr>
          <w:sz w:val="20"/>
          <w:szCs w:val="20"/>
          <w:color w:val="auto"/>
        </w:rPr>
      </w:pPr>
    </w:p>
    <w:p>
      <w:pPr>
        <w:ind w:left="380" w:right="119" w:hanging="330"/>
        <w:spacing w:after="0" w:line="261" w:lineRule="auto"/>
        <w:tabs>
          <w:tab w:leader="none" w:pos="3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AOCI components are included in the computation of net periodic benefit cost. Refer to Note 16 – Retirement-Related Benefits for additional information.</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Pr>
          <w:p>
            <w:pPr>
              <w:spacing w:after="0"/>
              <w:rPr>
                <w:sz w:val="13"/>
                <w:szCs w:val="13"/>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Tax (Expense)</w:t>
            </w:r>
          </w:p>
        </w:tc>
        <w:tc>
          <w:tcPr>
            <w:tcW w:w="100" w:type="dxa"/>
            <w:vAlign w:val="bottom"/>
          </w:tcPr>
          <w:p>
            <w:pPr>
              <w:spacing w:after="0"/>
              <w:rPr>
                <w:sz w:val="13"/>
                <w:szCs w:val="13"/>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Net-of-Tax</w:t>
            </w:r>
          </w:p>
        </w:tc>
      </w:tr>
      <w:tr>
        <w:trPr>
          <w:trHeight w:val="173"/>
        </w:trPr>
        <w:tc>
          <w:tcPr>
            <w:tcW w:w="5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2021:</w:t>
            </w:r>
          </w:p>
        </w:tc>
        <w:tc>
          <w:tcPr>
            <w:tcW w:w="140" w:type="dxa"/>
            <w:vAlign w:val="bottom"/>
          </w:tcPr>
          <w:p>
            <w:pPr>
              <w:spacing w:after="0"/>
              <w:rPr>
                <w:sz w:val="15"/>
                <w:szCs w:val="15"/>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00" w:type="dxa"/>
            <w:vAlign w:val="bottom"/>
          </w:tcPr>
          <w:p>
            <w:pPr>
              <w:spacing w:after="0"/>
              <w:rPr>
                <w:sz w:val="15"/>
                <w:szCs w:val="15"/>
                <w:color w:val="auto"/>
              </w:rPr>
            </w:pP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9"/>
        </w:trPr>
        <w:tc>
          <w:tcPr>
            <w:tcW w:w="56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5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Unrealized gains (losses) on cash flow hedges</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58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gains (losses) arising during the period</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Reclassification of (gains) losses to net income</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584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unrealized gains (losses) on cash flow hedges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5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Retirement-related benefit plans*:</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58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Prior service (credits) costs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Net gains (losses) arising during the period</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58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Curtailments and settlements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Amortization of net (gains) losses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0"/>
        </w:trPr>
        <w:tc>
          <w:tcPr>
            <w:tcW w:w="584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retirement-related benefit plans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0"/>
        </w:trPr>
        <w:tc>
          <w:tcPr>
            <w:tcW w:w="58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0"/>
        </w:trPr>
        <w:tc>
          <w:tcPr>
            <w:tcW w:w="22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48"/>
        </w:trPr>
        <w:tc>
          <w:tcPr>
            <w:tcW w:w="2240" w:type="dxa"/>
            <w:vAlign w:val="bottom"/>
            <w:tcBorders>
              <w:bottom w:val="single" w:sz="8" w:color="auto"/>
            </w:tcBorders>
          </w:tcPr>
          <w:p>
            <w:pPr>
              <w:spacing w:after="0"/>
              <w:rPr>
                <w:sz w:val="4"/>
                <w:szCs w:val="4"/>
                <w:color w:val="auto"/>
              </w:rPr>
            </w:pPr>
          </w:p>
        </w:tc>
        <w:tc>
          <w:tcPr>
            <w:tcW w:w="3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r>
    </w:tbl>
    <w:p>
      <w:pPr>
        <w:spacing w:after="0" w:line="18" w:lineRule="exact"/>
        <w:rPr>
          <w:sz w:val="20"/>
          <w:szCs w:val="20"/>
          <w:color w:val="auto"/>
        </w:rPr>
      </w:pPr>
    </w:p>
    <w:p>
      <w:pPr>
        <w:ind w:left="380" w:right="119" w:hanging="330"/>
        <w:spacing w:after="0" w:line="261" w:lineRule="auto"/>
        <w:tabs>
          <w:tab w:leader="none" w:pos="3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AOCI components are included in the computation of net periodic benefit cost. Refer to Note 16 – Retirement-Related Benefits for additional information.</w:t>
      </w:r>
    </w:p>
    <w:p>
      <w:pPr>
        <w:spacing w:after="0" w:line="16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the components of accumulated other comprehensive income (loss), net of taxes: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6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Net Change in</w:t>
            </w: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8"/>
        </w:trPr>
        <w:tc>
          <w:tcPr>
            <w:tcW w:w="3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Gains (Losses)</w:t>
            </w:r>
          </w:p>
        </w:tc>
        <w:tc>
          <w:tcPr>
            <w:tcW w:w="16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5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Retirement-Related</w:t>
            </w:r>
          </w:p>
        </w:tc>
        <w:tc>
          <w:tcPr>
            <w:tcW w:w="160" w:type="dxa"/>
            <w:vAlign w:val="bottom"/>
          </w:tcPr>
          <w:p>
            <w:pPr>
              <w:spacing w:after="0"/>
              <w:rPr>
                <w:sz w:val="12"/>
                <w:szCs w:val="12"/>
                <w:color w:val="auto"/>
              </w:rPr>
            </w:pPr>
          </w:p>
        </w:tc>
        <w:tc>
          <w:tcPr>
            <w:tcW w:w="12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73"/>
        </w:trPr>
        <w:tc>
          <w:tcPr>
            <w:tcW w:w="3120" w:type="dxa"/>
            <w:vAlign w:val="bottom"/>
            <w:gridSpan w:val="2"/>
            <w:vMerge w:val="continue"/>
          </w:tcPr>
          <w:p>
            <w:pPr>
              <w:spacing w:after="0"/>
              <w:rPr>
                <w:sz w:val="15"/>
                <w:szCs w:val="15"/>
                <w:color w:val="auto"/>
              </w:rPr>
            </w:pP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on Cash Flow Hedges</w:t>
            </w:r>
          </w:p>
        </w:tc>
        <w:tc>
          <w:tcPr>
            <w:tcW w:w="160" w:type="dxa"/>
            <w:vAlign w:val="bottom"/>
          </w:tcPr>
          <w:p>
            <w:pPr>
              <w:spacing w:after="0"/>
              <w:rPr>
                <w:sz w:val="15"/>
                <w:szCs w:val="15"/>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160" w:type="dxa"/>
            <w:vAlign w:val="bottom"/>
          </w:tcPr>
          <w:p>
            <w:pPr>
              <w:spacing w:after="0"/>
              <w:rPr>
                <w:sz w:val="15"/>
                <w:szCs w:val="15"/>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210"/>
        </w:trPr>
        <w:tc>
          <w:tcPr>
            <w:tcW w:w="29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Net transfers from Parent</w:t>
            </w: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(339)</w:t>
            </w:r>
          </w:p>
        </w:tc>
        <w:tc>
          <w:tcPr>
            <w:tcW w:w="1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12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March 31, 2022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12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(186)</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215</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March 31, 2023</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12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120015</wp:posOffset>
            </wp:positionV>
            <wp:extent cx="141414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14" w:lineRule="exact"/>
        <w:rPr>
          <w:sz w:val="20"/>
          <w:szCs w:val="20"/>
          <w:color w:val="auto"/>
        </w:rPr>
      </w:pPr>
    </w:p>
    <w:p>
      <w:pPr>
        <w:ind w:left="380" w:hanging="330"/>
        <w:spacing w:after="0"/>
        <w:tabs>
          <w:tab w:leader="none" w:pos="3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currency translation adjustments are presented gross.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15. STOCK-BASED COMPENSATION</w:t>
      </w:r>
    </w:p>
    <w:p>
      <w:pPr>
        <w:spacing w:after="0" w:line="22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Stock-based incentive awards are granted to employees under the terms of Kyndryl’s employment and the Kyndryl Plan (see Note 1 – Significant Accounting Policies). Awards under the Kyndryl Plan principally include Restricted Stock Units (RSUs), market-conditioned and performance-conditioned stock units and stock options. RSUs and stock options generally vest based on continued passage of time. Market-conditioned and performance-conditioned stock units are cliff-vested at the end of the performance period if the market or performance conditions have been satisfied.</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cost, which is included in net income (loss).</w:t>
      </w: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March 31,</w:t>
            </w:r>
          </w:p>
        </w:tc>
        <w:tc>
          <w:tcPr>
            <w:tcW w:w="10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5"/>
        </w:trPr>
        <w:tc>
          <w:tcPr>
            <w:tcW w:w="5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vMerge w:val="restart"/>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42"/>
        </w:trPr>
        <w:tc>
          <w:tcPr>
            <w:tcW w:w="5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5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9"/>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stock-based compensation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benefits</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9"/>
        </w:trPr>
        <w:tc>
          <w:tcPr>
            <w:tcW w:w="50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cost, net of tax</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The Company’s total unrecognized compensation cost related to non-vested awards at March 31, 2024 was $137 million and is expected to be recognized over a weighted-average period of approximately 2.1 years. Capitalized stock-based compensation cost was not material during any period presented.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 Units</w:t>
      </w:r>
    </w:p>
    <w:p>
      <w:pPr>
        <w:spacing w:after="0" w:line="229" w:lineRule="exact"/>
        <w:rPr>
          <w:sz w:val="20"/>
          <w:szCs w:val="20"/>
          <w:color w:val="auto"/>
        </w:rPr>
      </w:pPr>
    </w:p>
    <w:p>
      <w:pPr>
        <w:ind w:left="60" w:right="5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related to Kyndryl’s RSUs, market-conditioned stock units and performance-conditioned stock units: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gridSpan w:val="5"/>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82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Market-Conditioned</w:t>
            </w:r>
          </w:p>
        </w:tc>
        <w:tc>
          <w:tcPr>
            <w:tcW w:w="17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Performance-Conditioned</w:t>
            </w: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gridSpan w:val="5"/>
            <w:vMerge w:val="continue"/>
          </w:tcPr>
          <w:p>
            <w:pPr>
              <w:spacing w:after="0"/>
              <w:rPr>
                <w:sz w:val="15"/>
                <w:szCs w:val="15"/>
                <w:color w:val="auto"/>
              </w:rPr>
            </w:pPr>
          </w:p>
        </w:tc>
        <w:tc>
          <w:tcPr>
            <w:tcW w:w="182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720" w:type="dxa"/>
            <w:vAlign w:val="bottom"/>
            <w:gridSpan w:val="4"/>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0" w:type="dxa"/>
            <w:vAlign w:val="bottom"/>
          </w:tcPr>
          <w:p>
            <w:pPr>
              <w:spacing w:after="0"/>
              <w:rPr>
                <w:sz w:val="1"/>
                <w:szCs w:val="1"/>
                <w:color w:val="auto"/>
              </w:rPr>
            </w:pPr>
          </w:p>
        </w:tc>
      </w:tr>
      <w:tr>
        <w:trPr>
          <w:trHeight w:val="117"/>
        </w:trPr>
        <w:tc>
          <w:tcPr>
            <w:tcW w:w="2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4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6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2"/>
                <w:szCs w:val="12"/>
                <w:color w:val="auto"/>
              </w:rPr>
            </w:pPr>
          </w:p>
        </w:tc>
        <w:tc>
          <w:tcPr>
            <w:tcW w:w="720" w:type="dxa"/>
            <w:vAlign w:val="bottom"/>
          </w:tcPr>
          <w:p>
            <w:pPr>
              <w:jc w:val="center"/>
              <w:ind w:right="1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6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900" w:type="dxa"/>
            <w:vAlign w:val="bottom"/>
            <w:gridSpan w:val="2"/>
            <w:vMerge w:val="continue"/>
          </w:tcPr>
          <w:p>
            <w:pPr>
              <w:spacing w:after="0"/>
              <w:rPr>
                <w:sz w:val="12"/>
                <w:szCs w:val="12"/>
                <w:color w:val="auto"/>
              </w:rPr>
            </w:pPr>
          </w:p>
        </w:tc>
        <w:tc>
          <w:tcPr>
            <w:tcW w:w="9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900" w:type="dxa"/>
            <w:vAlign w:val="bottom"/>
            <w:gridSpan w:val="2"/>
            <w:vMerge w:val="continue"/>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of Units</w:t>
            </w:r>
          </w:p>
        </w:tc>
        <w:tc>
          <w:tcPr>
            <w:tcW w:w="8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of Units</w:t>
            </w:r>
          </w:p>
        </w:tc>
        <w:tc>
          <w:tcPr>
            <w:tcW w:w="9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of Units</w:t>
            </w:r>
          </w:p>
        </w:tc>
        <w:tc>
          <w:tcPr>
            <w:tcW w:w="1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73"/>
        </w:trPr>
        <w:tc>
          <w:tcPr>
            <w:tcW w:w="2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10"/>
        </w:trPr>
        <w:tc>
          <w:tcPr>
            <w:tcW w:w="33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balance at December 31, 2021</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Awards granted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vested</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Awards canceled/forfeited</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balance at March 31, 2022</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Awards granted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0" w:type="dxa"/>
            <w:vAlign w:val="bottom"/>
          </w:tcPr>
          <w:p>
            <w:pPr>
              <w:spacing w:after="0"/>
              <w:rPr>
                <w:sz w:val="1"/>
                <w:szCs w:val="1"/>
                <w:color w:val="auto"/>
              </w:rPr>
            </w:pPr>
          </w:p>
        </w:tc>
      </w:tr>
      <w:tr>
        <w:trPr>
          <w:trHeight w:val="216"/>
        </w:trPr>
        <w:tc>
          <w:tcPr>
            <w:tcW w:w="3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vested</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Awards canceled/forfeited</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0" w:type="dxa"/>
            <w:vAlign w:val="bottom"/>
          </w:tcPr>
          <w:p>
            <w:pPr>
              <w:spacing w:after="0"/>
              <w:rPr>
                <w:sz w:val="1"/>
                <w:szCs w:val="1"/>
                <w:color w:val="auto"/>
              </w:rPr>
            </w:pPr>
          </w:p>
        </w:tc>
      </w:tr>
      <w:tr>
        <w:trPr>
          <w:trHeight w:val="209"/>
        </w:trPr>
        <w:tc>
          <w:tcPr>
            <w:tcW w:w="348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balance at March 31, 2023</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0" w:type="dxa"/>
            <w:vAlign w:val="bottom"/>
          </w:tcPr>
          <w:p>
            <w:pPr>
              <w:spacing w:after="0"/>
              <w:rPr>
                <w:sz w:val="1"/>
                <w:szCs w:val="1"/>
                <w:color w:val="auto"/>
              </w:rPr>
            </w:pPr>
          </w:p>
        </w:tc>
      </w:tr>
      <w:tr>
        <w:trPr>
          <w:trHeight w:val="210"/>
        </w:trPr>
        <w:tc>
          <w:tcPr>
            <w:tcW w:w="3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Awards granted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0" w:type="dxa"/>
            <w:vAlign w:val="bottom"/>
          </w:tcPr>
          <w:p>
            <w:pPr>
              <w:spacing w:after="0"/>
              <w:rPr>
                <w:sz w:val="1"/>
                <w:szCs w:val="1"/>
                <w:color w:val="auto"/>
              </w:rPr>
            </w:pPr>
          </w:p>
        </w:tc>
      </w:tr>
      <w:tr>
        <w:trPr>
          <w:trHeight w:val="216"/>
        </w:trPr>
        <w:tc>
          <w:tcPr>
            <w:tcW w:w="34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vested</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Awards canceled/forfeited</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0" w:type="dxa"/>
            <w:vAlign w:val="bottom"/>
          </w:tcPr>
          <w:p>
            <w:pPr>
              <w:spacing w:after="0"/>
              <w:rPr>
                <w:sz w:val="1"/>
                <w:szCs w:val="1"/>
                <w:color w:val="auto"/>
              </w:rPr>
            </w:pPr>
          </w:p>
        </w:tc>
      </w:tr>
      <w:tr>
        <w:trPr>
          <w:trHeight w:val="209"/>
        </w:trPr>
        <w:tc>
          <w:tcPr>
            <w:tcW w:w="34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balance at March 31, 2024</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240" w:type="dxa"/>
            <w:vAlign w:val="bottom"/>
            <w:tcBorders>
              <w:bottom w:val="single" w:sz="8" w:color="auto"/>
            </w:tcBorders>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380" w:hanging="330"/>
        <w:spacing w:after="0"/>
        <w:tabs>
          <w:tab w:leader="none" w:pos="3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grant-date fair value of performance-conditioned stock units issued was determined using the stock price at the grant date.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The Company used the following assumptions in the Monte-Carlo simulation pricing model to estimate the grant-date fair values of the market-conditioned stock units granted within each of the following fiscal years. No market-conditioned stock units were granted for the transition quarter ended March 31, 2022.</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Market-conditioned Stock Units:</w:t>
            </w:r>
          </w:p>
        </w:tc>
        <w:tc>
          <w:tcPr>
            <w:tcW w:w="1760" w:type="dxa"/>
            <w:vAlign w:val="bottom"/>
            <w:gridSpan w:val="2"/>
          </w:tcPr>
          <w:p>
            <w:pPr>
              <w:ind w:left="50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76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640" w:type="dxa"/>
            <w:vAlign w:val="bottom"/>
          </w:tcPr>
          <w:p>
            <w:pPr>
              <w:jc w:val="right"/>
              <w:ind w:right="317"/>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73"/>
        </w:trPr>
        <w:tc>
          <w:tcPr>
            <w:tcW w:w="3740" w:type="dxa"/>
            <w:vAlign w:val="bottom"/>
            <w:gridSpan w:val="2"/>
            <w:vMerge w:val="continue"/>
          </w:tcPr>
          <w:p>
            <w:pPr>
              <w:spacing w:after="0"/>
              <w:rPr>
                <w:sz w:val="15"/>
                <w:szCs w:val="15"/>
                <w:color w:val="auto"/>
              </w:rPr>
            </w:pPr>
          </w:p>
        </w:tc>
        <w:tc>
          <w:tcPr>
            <w:tcW w:w="162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Pr>
          <w:p>
            <w:pPr>
              <w:spacing w:after="0"/>
              <w:rPr>
                <w:sz w:val="15"/>
                <w:szCs w:val="15"/>
                <w:color w:val="auto"/>
              </w:rPr>
            </w:pPr>
          </w:p>
        </w:tc>
        <w:tc>
          <w:tcPr>
            <w:tcW w:w="1640" w:type="dxa"/>
            <w:vAlign w:val="bottom"/>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3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price</w:t>
            </w:r>
          </w:p>
        </w:tc>
        <w:tc>
          <w:tcPr>
            <w:tcW w:w="1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4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4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0" w:type="dxa"/>
            <w:vAlign w:val="bottom"/>
          </w:tcPr>
          <w:p>
            <w:pPr>
              <w:spacing w:after="0"/>
              <w:rPr>
                <w:sz w:val="1"/>
                <w:szCs w:val="1"/>
                <w:color w:val="auto"/>
              </w:rPr>
            </w:pPr>
          </w:p>
        </w:tc>
      </w:tr>
      <w:tr>
        <w:trPr>
          <w:trHeight w:val="216"/>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 - 5.38%</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 - 0.92%</w:t>
            </w:r>
          </w:p>
        </w:tc>
        <w:tc>
          <w:tcPr>
            <w:tcW w:w="0" w:type="dxa"/>
            <w:vAlign w:val="bottom"/>
          </w:tcPr>
          <w:p>
            <w:pPr>
              <w:spacing w:after="0"/>
              <w:rPr>
                <w:sz w:val="1"/>
                <w:szCs w:val="1"/>
                <w:color w:val="auto"/>
              </w:rPr>
            </w:pPr>
          </w:p>
        </w:tc>
      </w:tr>
      <w:tr>
        <w:trPr>
          <w:trHeight w:val="234"/>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31115</wp:posOffset>
            </wp:positionV>
            <wp:extent cx="141414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74" w:lineRule="exact"/>
        <w:rPr>
          <w:sz w:val="20"/>
          <w:szCs w:val="20"/>
          <w:color w:val="auto"/>
        </w:rPr>
      </w:pPr>
    </w:p>
    <w:p>
      <w:pPr>
        <w:ind w:left="380" w:hanging="330"/>
        <w:spacing w:after="0"/>
        <w:tabs>
          <w:tab w:leader="none" w:pos="3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average unadjusted three-year historic volatility across a group of peer companies.</w:t>
      </w:r>
    </w:p>
    <w:p>
      <w:pPr>
        <w:spacing w:after="0" w:line="208" w:lineRule="exact"/>
        <w:rPr>
          <w:sz w:val="20"/>
          <w:szCs w:val="20"/>
          <w:color w:val="auto"/>
        </w:rPr>
      </w:pPr>
    </w:p>
    <w:p>
      <w:pPr>
        <w:ind w:left="60" w:right="359" w:firstLine="648"/>
        <w:spacing w:after="0" w:line="261" w:lineRule="auto"/>
        <w:rPr>
          <w:sz w:val="20"/>
          <w:szCs w:val="20"/>
          <w:color w:val="auto"/>
        </w:rPr>
      </w:pPr>
      <w:r>
        <w:rPr>
          <w:rFonts w:ascii="Times New Roman" w:cs="Times New Roman" w:eastAsia="Times New Roman" w:hAnsi="Times New Roman"/>
          <w:sz w:val="18"/>
          <w:szCs w:val="18"/>
          <w:color w:val="auto"/>
        </w:rPr>
        <w:t>Prior to the Separation, the weighted-average grant-date fair value of RSUs and PSUs granted by our former Parent was $126.01 for the pre-Separation period in the year ended December 31, 2021, which was derived from our former Parent’s stock price at their grant dates. On the Separation date, such awards were converted to Kyndryl awards, resulting in a weighted-average grant-date fair value of $28.78 per share.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Kyndryl’s stock options: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71"/>
        </w:trPr>
        <w:tc>
          <w:tcPr>
            <w:tcW w:w="3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r>
      <w:tr>
        <w:trPr>
          <w:trHeight w:val="175"/>
        </w:trPr>
        <w:tc>
          <w:tcPr>
            <w:tcW w:w="3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76"/>
        </w:trPr>
        <w:tc>
          <w:tcPr>
            <w:tcW w:w="3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00" w:type="dxa"/>
            <w:vAlign w:val="bottom"/>
          </w:tcPr>
          <w:p>
            <w:pPr>
              <w:spacing w:after="0"/>
              <w:rPr>
                <w:sz w:val="15"/>
                <w:szCs w:val="15"/>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r>
      <w:tr>
        <w:trPr>
          <w:trHeight w:val="175"/>
        </w:trPr>
        <w:tc>
          <w:tcPr>
            <w:tcW w:w="3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0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w:t>
            </w:r>
          </w:p>
        </w:tc>
      </w:tr>
      <w:tr>
        <w:trPr>
          <w:trHeight w:val="175"/>
        </w:trPr>
        <w:tc>
          <w:tcPr>
            <w:tcW w:w="3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of Units</w:t>
            </w:r>
          </w:p>
        </w:tc>
        <w:tc>
          <w:tcPr>
            <w:tcW w:w="10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7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r>
      <w:tr>
        <w:trPr>
          <w:trHeight w:val="173"/>
        </w:trPr>
        <w:tc>
          <w:tcPr>
            <w:tcW w:w="3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r>
      <w:tr>
        <w:trPr>
          <w:trHeight w:val="209"/>
        </w:trPr>
        <w:tc>
          <w:tcPr>
            <w:tcW w:w="3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at December 31, 2021</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8"/>
                <w:szCs w:val="18"/>
                <w:color w:val="auto"/>
              </w:rPr>
            </w:pPr>
          </w:p>
        </w:tc>
      </w:tr>
      <w:tr>
        <w:trPr>
          <w:trHeight w:val="210"/>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Awards exercised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canceled/forfeited</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3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Outstanding balance at March 31, 2022</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18"/>
                <w:szCs w:val="18"/>
                <w:color w:val="auto"/>
              </w:rPr>
            </w:pPr>
          </w:p>
        </w:tc>
      </w:tr>
      <w:tr>
        <w:trPr>
          <w:trHeight w:val="210"/>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exercised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Awards canceled/forfeited</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39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at March 31, 2023</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8"/>
                <w:szCs w:val="18"/>
                <w:color w:val="auto"/>
              </w:rPr>
            </w:pPr>
          </w:p>
        </w:tc>
      </w:tr>
      <w:tr>
        <w:trPr>
          <w:trHeight w:val="210"/>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Awards exercised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canceled/forfeited</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3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Outstanding balance at March 31, 2024</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r>
      <w:tr>
        <w:trPr>
          <w:trHeight w:val="210"/>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vested and exercisable at March 31, 2024</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8"/>
                <w:szCs w:val="18"/>
                <w:color w:val="auto"/>
              </w:rPr>
            </w:pPr>
          </w:p>
        </w:tc>
      </w:tr>
      <w:tr>
        <w:trPr>
          <w:trHeight w:val="20"/>
        </w:trPr>
        <w:tc>
          <w:tcPr>
            <w:tcW w:w="3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5"/>
        </w:trPr>
        <w:tc>
          <w:tcPr>
            <w:tcW w:w="3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95</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3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 used the following assumptions in the Black-Scholes option pricing model to estimate the fair value of the employee stock options granted in the year ended December 31, 2021. No stock options were granted in any other periods presented.</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76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Employee Stock Options:</w:t>
            </w: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600" w:type="dxa"/>
            <w:vAlign w:val="bottom"/>
            <w:gridSpan w:val="3"/>
            <w:vMerge w:val="continue"/>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75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common stock per share</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0" w:type="dxa"/>
            <w:vAlign w:val="bottom"/>
          </w:tcPr>
          <w:p>
            <w:pPr>
              <w:spacing w:after="0"/>
              <w:rPr>
                <w:sz w:val="1"/>
                <w:szCs w:val="1"/>
                <w:color w:val="auto"/>
              </w:rPr>
            </w:pPr>
          </w:p>
        </w:tc>
      </w:tr>
      <w:tr>
        <w:trPr>
          <w:trHeight w:val="216"/>
        </w:trPr>
        <w:tc>
          <w:tcPr>
            <w:tcW w:w="7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16"/>
        </w:trPr>
        <w:tc>
          <w:tcPr>
            <w:tcW w:w="7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16"/>
        </w:trPr>
        <w:tc>
          <w:tcPr>
            <w:tcW w:w="7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7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94"/>
        </w:trPr>
        <w:tc>
          <w:tcPr>
            <w:tcW w:w="2240" w:type="dxa"/>
            <w:vAlign w:val="bottom"/>
            <w:tcBorders>
              <w:bottom w:val="single" w:sz="8" w:color="auto"/>
            </w:tcBorders>
          </w:tcPr>
          <w:p>
            <w:pPr>
              <w:spacing w:after="0"/>
              <w:rPr>
                <w:sz w:val="8"/>
                <w:szCs w:val="8"/>
                <w:color w:val="auto"/>
              </w:rPr>
            </w:pPr>
          </w:p>
        </w:tc>
        <w:tc>
          <w:tcPr>
            <w:tcW w:w="5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60" w:right="1119" w:hanging="10"/>
        <w:spacing w:after="0" w:line="261" w:lineRule="auto"/>
        <w:tabs>
          <w:tab w:leader="none" w:pos="384"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utilized the simplified method to estimate the weighted-average option term due to a lack of relevant historical data. ** Based on the average unadjusted historic volatility of common shares across a group of peer companies.</w:t>
      </w:r>
    </w:p>
    <w:p>
      <w:pPr>
        <w:spacing w:after="0" w:line="2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16. RETIREMENT-RELATED BENEFITS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Defined Benefit Pension Plans</w:t>
      </w:r>
    </w:p>
    <w:p>
      <w:pPr>
        <w:spacing w:after="0" w:line="22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Company sponsors and co-sponsors defined benefit pension plans that cover certain non-U.S. employees and retirees. The defined benefit pension plan benefits are based principally on employees’ years of service and/or compensation levels at or near retirement. These plans are accounted for as defined benefit pension plans for purposes of the consolidated financial statements. Accordingly, the net benefit plan obligations and the related benefit plan expenses of those plans have been recorded in the Company’s consolidated financial statements.</w:t>
      </w:r>
    </w:p>
    <w:p>
      <w:pPr>
        <w:spacing w:after="0" w:line="183"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components of net periodic pension cost for the defined benefit pension plans recognized in the Consolidated Income Statement.</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0" w:type="dxa"/>
            <w:vAlign w:val="bottom"/>
          </w:tcPr>
          <w:p>
            <w:pPr>
              <w:spacing w:after="0"/>
              <w:rPr>
                <w:sz w:val="13"/>
                <w:szCs w:val="13"/>
                <w:color w:val="auto"/>
              </w:rPr>
            </w:pPr>
          </w:p>
        </w:tc>
        <w:tc>
          <w:tcPr>
            <w:tcW w:w="12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20" w:type="dxa"/>
            <w:vAlign w:val="bottom"/>
          </w:tcPr>
          <w:p>
            <w:pPr>
              <w:spacing w:after="0"/>
              <w:rPr>
                <w:sz w:val="13"/>
                <w:szCs w:val="13"/>
                <w:color w:val="auto"/>
              </w:rPr>
            </w:pPr>
          </w:p>
        </w:tc>
        <w:tc>
          <w:tcPr>
            <w:tcW w:w="1020" w:type="dxa"/>
            <w:vAlign w:val="bottom"/>
            <w:vMerge w:val="restart"/>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2"/>
                <w:szCs w:val="12"/>
                <w:color w:val="auto"/>
              </w:rPr>
            </w:pPr>
          </w:p>
        </w:tc>
        <w:tc>
          <w:tcPr>
            <w:tcW w:w="102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6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34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3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3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3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 (credits)*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actuarial losses*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36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Curtailments and settlements*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36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periodic pension cost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1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hanging="330"/>
        <w:spacing w:after="0"/>
        <w:tabs>
          <w:tab w:leader="none" w:pos="3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components of net periodic pension cost are included in other expense in the Consolidated Income Statement.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the changes in net benefit obligation and plan assets for the defined benefit pension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plans.</w:t>
      </w:r>
    </w:p>
    <w:p>
      <w:pPr>
        <w:spacing w:after="0" w:line="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340" w:type="dxa"/>
            <w:vAlign w:val="bottom"/>
          </w:tcPr>
          <w:p>
            <w:pPr>
              <w:spacing w:after="0"/>
              <w:rPr>
                <w:sz w:val="13"/>
                <w:szCs w:val="13"/>
                <w:color w:val="auto"/>
              </w:rPr>
            </w:pPr>
          </w:p>
        </w:tc>
        <w:tc>
          <w:tcPr>
            <w:tcW w:w="1200" w:type="dxa"/>
            <w:vAlign w:val="bottom"/>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4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40" w:type="dxa"/>
            <w:vAlign w:val="bottom"/>
          </w:tcPr>
          <w:p>
            <w:pPr>
              <w:spacing w:after="0"/>
              <w:rPr>
                <w:sz w:val="12"/>
                <w:szCs w:val="12"/>
                <w:color w:val="auto"/>
              </w:rPr>
            </w:pPr>
          </w:p>
        </w:tc>
        <w:tc>
          <w:tcPr>
            <w:tcW w:w="1200" w:type="dxa"/>
            <w:vAlign w:val="bottom"/>
          </w:tcPr>
          <w:p>
            <w:pPr>
              <w:jc w:val="center"/>
              <w:ind w:right="233"/>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8"/>
        </w:trPr>
        <w:tc>
          <w:tcPr>
            <w:tcW w:w="56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20" w:type="dxa"/>
            <w:vAlign w:val="bottom"/>
          </w:tcPr>
          <w:p>
            <w:pPr>
              <w:spacing w:after="0"/>
              <w:rPr>
                <w:sz w:val="12"/>
                <w:szCs w:val="12"/>
                <w:color w:val="auto"/>
              </w:rPr>
            </w:pPr>
          </w:p>
        </w:tc>
        <w:tc>
          <w:tcPr>
            <w:tcW w:w="144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40" w:type="dxa"/>
            <w:vAlign w:val="bottom"/>
          </w:tcPr>
          <w:p>
            <w:pPr>
              <w:spacing w:after="0"/>
              <w:rPr>
                <w:sz w:val="12"/>
                <w:szCs w:val="12"/>
                <w:color w:val="auto"/>
              </w:rPr>
            </w:pPr>
          </w:p>
        </w:tc>
        <w:tc>
          <w:tcPr>
            <w:tcW w:w="1200" w:type="dxa"/>
            <w:vAlign w:val="bottom"/>
          </w:tcPr>
          <w:p>
            <w:pPr>
              <w:jc w:val="center"/>
              <w:ind w:right="233"/>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560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09"/>
        </w:trPr>
        <w:tc>
          <w:tcPr>
            <w:tcW w:w="53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 at beginning of period</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16"/>
        </w:trPr>
        <w:tc>
          <w:tcPr>
            <w:tcW w:w="5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5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5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5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losses (gains)*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16"/>
        </w:trPr>
        <w:tc>
          <w:tcPr>
            <w:tcW w:w="5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Benefits paid from trust</w:t>
            </w:r>
          </w:p>
        </w:tc>
        <w:tc>
          <w:tcPr>
            <w:tcW w:w="32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benefit payments</w:t>
            </w: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5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Business combination/divestiture</w:t>
            </w:r>
          </w:p>
        </w:tc>
        <w:tc>
          <w:tcPr>
            <w:tcW w:w="32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impact</w:t>
            </w: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5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Amendments, curtailments, settlements and other</w:t>
            </w:r>
          </w:p>
        </w:tc>
        <w:tc>
          <w:tcPr>
            <w:tcW w:w="32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9"/>
        </w:trPr>
        <w:tc>
          <w:tcPr>
            <w:tcW w:w="56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 at end of period</w:t>
            </w:r>
          </w:p>
        </w:tc>
        <w:tc>
          <w:tcPr>
            <w:tcW w:w="3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0" w:type="dxa"/>
            <w:vAlign w:val="bottom"/>
          </w:tcPr>
          <w:p>
            <w:pPr>
              <w:spacing w:after="0"/>
              <w:rPr>
                <w:sz w:val="1"/>
                <w:szCs w:val="1"/>
                <w:color w:val="auto"/>
              </w:rPr>
            </w:pPr>
          </w:p>
        </w:tc>
      </w:tr>
      <w:tr>
        <w:trPr>
          <w:trHeight w:val="20"/>
        </w:trPr>
        <w:tc>
          <w:tcPr>
            <w:tcW w:w="56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600" w:type="dxa"/>
            <w:vAlign w:val="bottom"/>
            <w:gridSpan w:val="3"/>
            <w:vMerge w:val="continue"/>
          </w:tcPr>
          <w:p>
            <w:pPr>
              <w:spacing w:after="0"/>
              <w:rPr>
                <w:sz w:val="15"/>
                <w:szCs w:val="15"/>
                <w:color w:val="auto"/>
              </w:rPr>
            </w:pPr>
          </w:p>
        </w:tc>
        <w:tc>
          <w:tcPr>
            <w:tcW w:w="320" w:type="dxa"/>
            <w:vAlign w:val="bottom"/>
          </w:tcPr>
          <w:p>
            <w:pPr>
              <w:jc w:val="right"/>
              <w:ind w:right="50"/>
              <w:spacing w:after="0" w:line="174"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rPr>
              <w:t>1,583</w:t>
            </w:r>
          </w:p>
        </w:tc>
        <w:tc>
          <w:tcPr>
            <w:tcW w:w="260" w:type="dxa"/>
            <w:vAlign w:val="bottom"/>
          </w:tcPr>
          <w:p>
            <w:pPr>
              <w:spacing w:after="0"/>
              <w:rPr>
                <w:sz w:val="15"/>
                <w:szCs w:val="15"/>
                <w:color w:val="auto"/>
              </w:rPr>
            </w:pPr>
          </w:p>
        </w:tc>
        <w:tc>
          <w:tcPr>
            <w:tcW w:w="340" w:type="dxa"/>
            <w:vAlign w:val="bottom"/>
          </w:tcPr>
          <w:p>
            <w:pPr>
              <w:jc w:val="right"/>
              <w:ind w:right="50"/>
              <w:spacing w:after="0" w:line="174"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rPr>
              <w:t>1,574</w:t>
            </w:r>
          </w:p>
        </w:tc>
        <w:tc>
          <w:tcPr>
            <w:tcW w:w="0" w:type="dxa"/>
            <w:vAlign w:val="bottom"/>
          </w:tcPr>
          <w:p>
            <w:pPr>
              <w:spacing w:after="0"/>
              <w:rPr>
                <w:sz w:val="1"/>
                <w:szCs w:val="1"/>
                <w:color w:val="auto"/>
              </w:rPr>
            </w:pPr>
          </w:p>
        </w:tc>
      </w:tr>
      <w:tr>
        <w:trPr>
          <w:trHeight w:val="238"/>
        </w:trPr>
        <w:tc>
          <w:tcPr>
            <w:tcW w:w="5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beginning of period</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0" w:type="dxa"/>
            <w:vAlign w:val="bottom"/>
          </w:tcPr>
          <w:p>
            <w:pPr>
              <w:spacing w:after="0"/>
              <w:rPr>
                <w:sz w:val="1"/>
                <w:szCs w:val="1"/>
                <w:color w:val="auto"/>
              </w:rPr>
            </w:pPr>
          </w:p>
        </w:tc>
      </w:tr>
      <w:tr>
        <w:trPr>
          <w:trHeight w:val="216"/>
        </w:trPr>
        <w:tc>
          <w:tcPr>
            <w:tcW w:w="5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5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Employer contributions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5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Fair value of plan assets assumed from former Parent**</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5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Benefits paid from trust</w:t>
            </w:r>
          </w:p>
        </w:tc>
        <w:tc>
          <w:tcPr>
            <w:tcW w:w="32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combination/divestiture</w:t>
            </w: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Foreign exchange impact</w:t>
            </w:r>
          </w:p>
        </w:tc>
        <w:tc>
          <w:tcPr>
            <w:tcW w:w="32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5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9"/>
        </w:trPr>
        <w:tc>
          <w:tcPr>
            <w:tcW w:w="56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end of period</w:t>
            </w:r>
          </w:p>
        </w:tc>
        <w:tc>
          <w:tcPr>
            <w:tcW w:w="3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2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0" w:type="dxa"/>
            <w:vAlign w:val="bottom"/>
          </w:tcPr>
          <w:p>
            <w:pPr>
              <w:spacing w:after="0"/>
              <w:rPr>
                <w:sz w:val="1"/>
                <w:szCs w:val="1"/>
                <w:color w:val="auto"/>
              </w:rPr>
            </w:pPr>
          </w:p>
        </w:tc>
      </w:tr>
      <w:tr>
        <w:trPr>
          <w:trHeight w:val="210"/>
        </w:trPr>
        <w:tc>
          <w:tcPr>
            <w:tcW w:w="5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Funded status at end of period</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hanging="330"/>
        <w:spacing w:after="0"/>
        <w:tabs>
          <w:tab w:leader="none" w:pos="3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year-over-year change was primarily driven by lower inflation rates and demographic factors.</w:t>
      </w:r>
    </w:p>
    <w:p>
      <w:pPr>
        <w:spacing w:after="0" w:line="4" w:lineRule="exact"/>
        <w:rPr>
          <w:sz w:val="20"/>
          <w:szCs w:val="20"/>
          <w:color w:val="auto"/>
        </w:rPr>
      </w:pPr>
    </w:p>
    <w:p>
      <w:pPr>
        <w:ind w:left="380" w:hanging="330"/>
        <w:spacing w:after="0"/>
        <w:tabs>
          <w:tab w:leader="none" w:pos="3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the separation of a pension plan that used to be co-sponsored by Kyndryl and the former Parent.</w:t>
      </w:r>
    </w:p>
    <w:p>
      <w:pPr>
        <w:spacing w:after="0" w:line="124" w:lineRule="exact"/>
        <w:rPr>
          <w:sz w:val="20"/>
          <w:szCs w:val="20"/>
          <w:color w:val="auto"/>
        </w:rPr>
      </w:pPr>
    </w:p>
    <w:p>
      <w:pPr>
        <w:ind w:left="60" w:right="5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amounts recorded in the Consolidated Balance Sheet for the defined benefit pension plans.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Pr>
          <w:p>
            <w:pPr>
              <w:spacing w:after="0"/>
              <w:rPr>
                <w:sz w:val="13"/>
                <w:szCs w:val="13"/>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At March 31,</w:t>
            </w:r>
          </w:p>
        </w:tc>
        <w:tc>
          <w:tcPr>
            <w:tcW w:w="220" w:type="dxa"/>
            <w:vAlign w:val="bottom"/>
          </w:tcPr>
          <w:p>
            <w:pPr>
              <w:spacing w:after="0"/>
              <w:rPr>
                <w:sz w:val="13"/>
                <w:szCs w:val="13"/>
                <w:color w:val="auto"/>
              </w:rPr>
            </w:pPr>
          </w:p>
        </w:tc>
        <w:tc>
          <w:tcPr>
            <w:tcW w:w="128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At March 31,</w:t>
            </w:r>
          </w:p>
        </w:tc>
        <w:tc>
          <w:tcPr>
            <w:tcW w:w="0" w:type="dxa"/>
            <w:vAlign w:val="bottom"/>
          </w:tcPr>
          <w:p>
            <w:pPr>
              <w:spacing w:after="0"/>
              <w:rPr>
                <w:sz w:val="1"/>
                <w:szCs w:val="1"/>
                <w:color w:val="auto"/>
              </w:rPr>
            </w:pPr>
          </w:p>
        </w:tc>
      </w:tr>
      <w:tr>
        <w:trPr>
          <w:trHeight w:val="173"/>
        </w:trPr>
        <w:tc>
          <w:tcPr>
            <w:tcW w:w="56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5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 – pension assets</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liabilities – accrued compensation and benefits</w:t>
            </w:r>
          </w:p>
        </w:tc>
        <w:tc>
          <w:tcPr>
            <w:tcW w:w="20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8"/>
        </w:trPr>
        <w:tc>
          <w:tcPr>
            <w:tcW w:w="566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Noncurrent liabilities – retirement and nonpension postretirement benefit</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w:t>
            </w:r>
          </w:p>
        </w:tc>
        <w:tc>
          <w:tcPr>
            <w:tcW w:w="20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(487)</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10"/>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Funded status, net</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for defined benefit pension plans with accumulated benefit obligations (ABO) or projected benefit obligations (PBO) in excess of plan assets.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At March 31, 2024</w:t>
            </w:r>
          </w:p>
        </w:tc>
        <w:tc>
          <w:tcPr>
            <w:tcW w:w="140" w:type="dxa"/>
            <w:vAlign w:val="bottom"/>
          </w:tcPr>
          <w:p>
            <w:pPr>
              <w:spacing w:after="0"/>
              <w:rPr>
                <w:sz w:val="15"/>
                <w:szCs w:val="15"/>
                <w:color w:val="auto"/>
              </w:rPr>
            </w:pPr>
          </w:p>
        </w:tc>
        <w:tc>
          <w:tcPr>
            <w:tcW w:w="2140" w:type="dxa"/>
            <w:vAlign w:val="bottom"/>
            <w:gridSpan w:val="4"/>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At March 31, 2023</w:t>
            </w:r>
          </w:p>
        </w:tc>
        <w:tc>
          <w:tcPr>
            <w:tcW w:w="0" w:type="dxa"/>
            <w:vAlign w:val="bottom"/>
          </w:tcPr>
          <w:p>
            <w:pPr>
              <w:spacing w:after="0"/>
              <w:rPr>
                <w:sz w:val="1"/>
                <w:szCs w:val="1"/>
                <w:color w:val="auto"/>
              </w:rPr>
            </w:pPr>
          </w:p>
        </w:tc>
      </w:tr>
      <w:tr>
        <w:trPr>
          <w:trHeight w:val="117"/>
        </w:trPr>
        <w:tc>
          <w:tcPr>
            <w:tcW w:w="4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Benefit</w:t>
            </w:r>
          </w:p>
        </w:tc>
        <w:tc>
          <w:tcPr>
            <w:tcW w:w="2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98"/>
              <w:spacing w:after="0" w:line="118" w:lineRule="exact"/>
              <w:rPr>
                <w:sz w:val="20"/>
                <w:szCs w:val="20"/>
                <w:color w:val="auto"/>
              </w:rPr>
            </w:pPr>
            <w:r>
              <w:rPr>
                <w:rFonts w:ascii="Times New Roman" w:cs="Times New Roman" w:eastAsia="Times New Roman" w:hAnsi="Times New Roman"/>
                <w:sz w:val="13"/>
                <w:szCs w:val="13"/>
                <w:b w:val="1"/>
                <w:bCs w:val="1"/>
                <w:color w:val="auto"/>
              </w:rPr>
              <w:t>Plan</w:t>
            </w: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Benefit</w:t>
            </w:r>
          </w:p>
        </w:tc>
        <w:tc>
          <w:tcPr>
            <w:tcW w:w="2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278"/>
              <w:spacing w:after="0" w:line="118" w:lineRule="exact"/>
              <w:rPr>
                <w:sz w:val="20"/>
                <w:szCs w:val="20"/>
                <w:color w:val="auto"/>
              </w:rPr>
            </w:pPr>
            <w:r>
              <w:rPr>
                <w:rFonts w:ascii="Times New Roman" w:cs="Times New Roman" w:eastAsia="Times New Roman" w:hAnsi="Times New Roman"/>
                <w:sz w:val="13"/>
                <w:szCs w:val="13"/>
                <w:b w:val="1"/>
                <w:bCs w:val="1"/>
                <w:color w:val="auto"/>
              </w:rPr>
              <w:t>Plan</w:t>
            </w:r>
          </w:p>
        </w:tc>
        <w:tc>
          <w:tcPr>
            <w:tcW w:w="0" w:type="dxa"/>
            <w:vAlign w:val="bottom"/>
          </w:tcPr>
          <w:p>
            <w:pPr>
              <w:spacing w:after="0"/>
              <w:rPr>
                <w:sz w:val="1"/>
                <w:szCs w:val="1"/>
                <w:color w:val="auto"/>
              </w:rPr>
            </w:pPr>
          </w:p>
        </w:tc>
      </w:tr>
      <w:tr>
        <w:trPr>
          <w:trHeight w:val="173"/>
        </w:trPr>
        <w:tc>
          <w:tcPr>
            <w:tcW w:w="41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Obligation</w:t>
            </w:r>
          </w:p>
        </w:tc>
        <w:tc>
          <w:tcPr>
            <w:tcW w:w="200" w:type="dxa"/>
            <w:vAlign w:val="bottom"/>
          </w:tcPr>
          <w:p>
            <w:pPr>
              <w:spacing w:after="0"/>
              <w:rPr>
                <w:sz w:val="15"/>
                <w:szCs w:val="15"/>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Obligation</w:t>
            </w:r>
          </w:p>
        </w:tc>
        <w:tc>
          <w:tcPr>
            <w:tcW w:w="200" w:type="dxa"/>
            <w:vAlign w:val="bottom"/>
          </w:tcPr>
          <w:p>
            <w:pPr>
              <w:spacing w:after="0"/>
              <w:rPr>
                <w:sz w:val="15"/>
                <w:szCs w:val="15"/>
                <w:color w:val="auto"/>
              </w:rPr>
            </w:pPr>
          </w:p>
        </w:tc>
        <w:tc>
          <w:tcPr>
            <w:tcW w:w="82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10"/>
        </w:trPr>
        <w:tc>
          <w:tcPr>
            <w:tcW w:w="3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Plans with PBO in excess of plan assets</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16"/>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Plans with ABO in excess of plan assets</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Plans with plan assets in excess of PBO</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pretax net loss and prior service costs (credits) recognized in OCI and the changes in pretax net loss and prior service costs (credits) as well as Separation-related transfers from Parent recognized in AOCI for the defined benefit pension plans.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Year</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left="242"/>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8"/>
        </w:trPr>
        <w:tc>
          <w:tcPr>
            <w:tcW w:w="6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60" w:type="dxa"/>
            <w:vAlign w:val="bottom"/>
          </w:tcPr>
          <w:p>
            <w:pPr>
              <w:jc w:val="center"/>
              <w:ind w:left="242"/>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6160" w:type="dxa"/>
            <w:vAlign w:val="bottom"/>
            <w:gridSpan w:val="3"/>
            <w:vMerge w:val="continue"/>
          </w:tcPr>
          <w:p>
            <w:pPr>
              <w:spacing w:after="0"/>
              <w:rPr>
                <w:sz w:val="15"/>
                <w:szCs w:val="15"/>
                <w:color w:val="auto"/>
              </w:rPr>
            </w:pPr>
          </w:p>
        </w:tc>
        <w:tc>
          <w:tcPr>
            <w:tcW w:w="960" w:type="dxa"/>
            <w:vAlign w:val="bottom"/>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60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(gain) at beginning of period</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02"/>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253</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16"/>
        </w:trPr>
        <w:tc>
          <w:tcPr>
            <w:tcW w:w="6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period loss (gain)</w:t>
            </w:r>
          </w:p>
        </w:tc>
        <w:tc>
          <w:tcPr>
            <w:tcW w:w="9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6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Curtailments and settlements</w:t>
            </w:r>
          </w:p>
        </w:tc>
        <w:tc>
          <w:tcPr>
            <w:tcW w:w="9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(10)</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6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Amortization of net loss included in net periodic benefit cost</w:t>
            </w:r>
          </w:p>
        </w:tc>
        <w:tc>
          <w:tcPr>
            <w:tcW w:w="96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9"/>
        </w:trPr>
        <w:tc>
          <w:tcPr>
            <w:tcW w:w="616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(gain) at end of period</w:t>
            </w:r>
          </w:p>
        </w:tc>
        <w:tc>
          <w:tcPr>
            <w:tcW w:w="960" w:type="dxa"/>
            <w:vAlign w:val="bottom"/>
            <w:tcBorders>
              <w:top w:val="single" w:sz="8" w:color="auto"/>
            </w:tcBorders>
            <w:shd w:val="clear" w:color="auto" w:fill="CCEEFF"/>
          </w:tcPr>
          <w:p>
            <w:pPr>
              <w:jc w:val="right"/>
              <w:ind w:right="802"/>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296</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6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Prior service costs (credits) at beginning of period</w:t>
            </w:r>
          </w:p>
        </w:tc>
        <w:tc>
          <w:tcPr>
            <w:tcW w:w="9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6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period prior service costs (credits)</w:t>
            </w:r>
          </w:p>
        </w:tc>
        <w:tc>
          <w:tcPr>
            <w:tcW w:w="9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Amortization for prior service costs (credits) included in net periodic benefit cost</w:t>
            </w:r>
          </w:p>
        </w:tc>
        <w:tc>
          <w:tcPr>
            <w:tcW w:w="96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616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service costs (credits) at end of period</w:t>
            </w:r>
          </w:p>
        </w:tc>
        <w:tc>
          <w:tcPr>
            <w:tcW w:w="960" w:type="dxa"/>
            <w:vAlign w:val="bottom"/>
            <w:tcBorders>
              <w:top w:val="single" w:sz="8" w:color="auto"/>
              <w:bottom w:val="single" w:sz="8" w:color="auto"/>
            </w:tcBorders>
            <w:shd w:val="clear" w:color="auto" w:fill="CCEEFF"/>
          </w:tcPr>
          <w:p>
            <w:pPr>
              <w:jc w:val="right"/>
              <w:ind w:right="802"/>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9"/>
        </w:trPr>
        <w:tc>
          <w:tcPr>
            <w:tcW w:w="6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amounts recognized in accumulated other comprehensive loss (income) *</w:t>
            </w:r>
          </w:p>
        </w:tc>
        <w:tc>
          <w:tcPr>
            <w:tcW w:w="960" w:type="dxa"/>
            <w:vAlign w:val="bottom"/>
            <w:tcBorders>
              <w:bottom w:val="single" w:sz="8" w:color="auto"/>
            </w:tcBorders>
          </w:tcPr>
          <w:p>
            <w:pPr>
              <w:jc w:val="right"/>
              <w:ind w:right="802"/>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301</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199" w:hanging="330"/>
        <w:spacing w:after="0" w:line="200" w:lineRule="auto"/>
        <w:tabs>
          <w:tab w:leader="none" w:pos="380" w:val="left"/>
        </w:tabs>
        <w:numPr>
          <w:ilvl w:val="0"/>
          <w:numId w:val="5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4"/>
          <w:szCs w:val="14"/>
          <w:color w:val="auto"/>
        </w:rPr>
        <w:t xml:space="preserve">See Note 14 </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Equity for the total change in AOCI and the Consolidated Statement of Comprehensive Income for the components of net periodic benefit cost, which includes components related to nonpension postretirement benefit plans as well as the related tax effects, recognized in OCI for the retirement-related benefit plans.</w:t>
      </w:r>
    </w:p>
    <w:p>
      <w:pPr>
        <w:spacing w:after="0" w:line="183"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weighted-average assumptions used to measure the net periodic pension cost and the year-end benefit obligations for the defined benefit pension plans.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1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1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60" w:type="dxa"/>
            <w:vAlign w:val="bottom"/>
          </w:tcPr>
          <w:p>
            <w:pPr>
              <w:jc w:val="center"/>
              <w:ind w:left="197"/>
              <w:spacing w:after="0"/>
              <w:rPr>
                <w:sz w:val="20"/>
                <w:szCs w:val="20"/>
                <w:color w:val="auto"/>
              </w:rPr>
            </w:pPr>
            <w:r>
              <w:rPr>
                <w:rFonts w:ascii="Times New Roman" w:cs="Times New Roman" w:eastAsia="Times New Roman" w:hAnsi="Times New Roman"/>
                <w:sz w:val="14"/>
                <w:szCs w:val="14"/>
                <w:b w:val="1"/>
                <w:bCs w:val="1"/>
                <w:color w:val="auto"/>
              </w:rPr>
              <w:t>Three</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1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assumptions used to measure:</w:t>
            </w: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14"/>
        </w:trPr>
        <w:tc>
          <w:tcPr>
            <w:tcW w:w="4380" w:type="dxa"/>
            <w:vAlign w:val="bottom"/>
            <w:tcBorders>
              <w:bottom w:val="single" w:sz="8" w:color="CCEEFF"/>
            </w:tcBorders>
            <w:vMerge w:val="continue"/>
          </w:tcPr>
          <w:p>
            <w:pPr>
              <w:spacing w:after="0"/>
              <w:rPr>
                <w:sz w:val="18"/>
                <w:szCs w:val="18"/>
                <w:color w:val="auto"/>
              </w:rPr>
            </w:pPr>
          </w:p>
        </w:tc>
        <w:tc>
          <w:tcPr>
            <w:tcW w:w="760" w:type="dxa"/>
            <w:vAlign w:val="bottom"/>
            <w:tcBorders>
              <w:bottom w:val="single" w:sz="8" w:color="auto"/>
            </w:tcBorders>
          </w:tcPr>
          <w:p>
            <w:pPr>
              <w:jc w:val="center"/>
              <w:ind w:left="19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center"/>
              <w:ind w:left="1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center"/>
              <w:ind w:left="1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center"/>
              <w:ind w:left="17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pension cost</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3.57 %</w:t>
            </w: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140" w:type="dxa"/>
            <w:vAlign w:val="bottom"/>
          </w:tcPr>
          <w:p>
            <w:pPr>
              <w:spacing w:after="0"/>
              <w:rPr>
                <w:sz w:val="18"/>
                <w:szCs w:val="18"/>
                <w:color w:val="auto"/>
              </w:rPr>
            </w:pP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1.19 %</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0.62 %</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long-term returns on plan assets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Benefit obligations</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3.30 %</w:t>
            </w: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3.57 %</w:t>
            </w:r>
          </w:p>
        </w:tc>
        <w:tc>
          <w:tcPr>
            <w:tcW w:w="140" w:type="dxa"/>
            <w:vAlign w:val="bottom"/>
          </w:tcPr>
          <w:p>
            <w:pPr>
              <w:spacing w:after="0"/>
              <w:rPr>
                <w:sz w:val="18"/>
                <w:szCs w:val="18"/>
                <w:color w:val="auto"/>
              </w:rPr>
            </w:pP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1.88 %</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crediting rate – cash balance plans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In certain countries, a hypothetical portfolio of high-quality corporate bonds is used to construct a yield curve. Projected cash flows from the Company’s expected benefit obligation payments are matched to the yield curve to derive discounts. In other countries where the markets for high-quality long-term bonds are not as well developed, a portfolio of long-term government bonds is used as a base and a credit spread is added to simulate corporate bond yields at these maturities in the jurisdiction of each plan. This is the benchmark for developing the respective discount rates.</w:t>
      </w:r>
    </w:p>
    <w:p>
      <w:pPr>
        <w:spacing w:after="0" w:line="183"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In developing the expected long-term rate of return on assets, the Company considers the long-term expectations for future returns. The use of expected returns may result in pension income that is greater or less than the actual return of those plan assets in a given year. Over time, however, the expected rate of return is expected to approximate the actual long-term results, leading to a pattern of income or loss recognition that more closely matches the pattern of services provided by the employees.</w:t>
      </w:r>
    </w:p>
    <w:p>
      <w:pPr>
        <w:spacing w:after="0" w:line="183"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investment objective of the defined benefit plans is to generate returns that will enable the plan to meet its future obligations. The weighted-average target allocation for the defined benefit plans is 27% equity securities, 46% fixed-income securities, 6% real estate, 15% insurance contracts and 6% other investments. Typically the responsibility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for determining the target allocation and managing the investments lies with a plan governing board that may include up to 50 percent of members elected by employees and retirees. Generally, these defined benefit plans do not invest in illiquid assets, and their use of derivatives is mainly for currency hedging, interest rate risk management, credit exposure and alternative investment strategies.</w:t>
      </w:r>
    </w:p>
    <w:p>
      <w:pPr>
        <w:spacing w:after="0" w:line="180"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defined benefit pension plans’ asset classes and their associated fair value at March 31, 2024 and 2023.</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At March 31, 2024</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At March 31, 2023</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80" w:type="dxa"/>
            <w:vAlign w:val="bottom"/>
            <w:gridSpan w:val="3"/>
            <w:vMerge w:val="continue"/>
          </w:tcPr>
          <w:p>
            <w:pPr>
              <w:spacing w:after="0"/>
              <w:rPr>
                <w:sz w:val="12"/>
                <w:szCs w:val="12"/>
                <w:color w:val="auto"/>
              </w:rPr>
            </w:pPr>
          </w:p>
        </w:tc>
        <w:tc>
          <w:tcPr>
            <w:tcW w:w="74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74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760" w:type="dxa"/>
            <w:vAlign w:val="bottom"/>
            <w:gridSpan w:val="3"/>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2"/>
                <w:szCs w:val="12"/>
                <w:color w:val="auto"/>
              </w:rPr>
            </w:pPr>
          </w:p>
        </w:tc>
        <w:tc>
          <w:tcPr>
            <w:tcW w:w="500" w:type="dxa"/>
            <w:vAlign w:val="bottom"/>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2"/>
                <w:szCs w:val="12"/>
                <w:color w:val="auto"/>
              </w:rPr>
            </w:pPr>
          </w:p>
        </w:tc>
        <w:tc>
          <w:tcPr>
            <w:tcW w:w="540" w:type="dxa"/>
            <w:vAlign w:val="bottom"/>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7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Equity securities</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3"/>
          </w:tcPr>
          <w:p>
            <w:pPr>
              <w:ind w:left="120"/>
              <w:spacing w:after="0" w:line="216" w:lineRule="exact"/>
              <w:rPr>
                <w:sz w:val="20"/>
                <w:szCs w:val="20"/>
                <w:color w:val="auto"/>
              </w:rPr>
            </w:pPr>
            <w:r>
              <w:rPr>
                <w:rFonts w:ascii="Times New Roman" w:cs="Times New Roman" w:eastAsia="Times New Roman" w:hAnsi="Times New Roman"/>
                <w:sz w:val="17"/>
                <w:szCs w:val="17"/>
                <w:color w:val="auto"/>
              </w:rPr>
              <w:t xml:space="preserve">Government and related </w:t>
            </w:r>
            <w:r>
              <w:rPr>
                <w:rFonts w:ascii="Times New Roman" w:cs="Times New Roman" w:eastAsia="Times New Roman" w:hAnsi="Times New Roman"/>
                <w:sz w:val="25"/>
                <w:szCs w:val="25"/>
                <w:color w:val="auto"/>
                <w:vertAlign w:val="superscript"/>
              </w:rPr>
              <w:t>(1)</w:t>
            </w:r>
          </w:p>
        </w:tc>
        <w:tc>
          <w:tcPr>
            <w:tcW w:w="2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28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Insurance contracts</w:t>
            </w:r>
          </w:p>
        </w:tc>
        <w:tc>
          <w:tcPr>
            <w:tcW w:w="2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2880" w:type="dxa"/>
            <w:vAlign w:val="bottom"/>
            <w:gridSpan w:val="3"/>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Cash and short-term investments </w:t>
            </w:r>
            <w:r>
              <w:rPr>
                <w:rFonts w:ascii="Times New Roman" w:cs="Times New Roman" w:eastAsia="Times New Roman" w:hAnsi="Times New Roman"/>
                <w:sz w:val="25"/>
                <w:szCs w:val="25"/>
                <w:color w:val="auto"/>
                <w:vertAlign w:val="superscript"/>
              </w:rPr>
              <w:t>(2)</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88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Derivative assets </w:t>
            </w:r>
            <w:r>
              <w:rPr>
                <w:rFonts w:ascii="Times New Roman" w:cs="Times New Roman" w:eastAsia="Times New Roman" w:hAnsi="Times New Roman"/>
                <w:sz w:val="25"/>
                <w:szCs w:val="25"/>
                <w:color w:val="auto"/>
                <w:vertAlign w:val="superscript"/>
              </w:rPr>
              <w:t>(3)</w:t>
            </w:r>
          </w:p>
        </w:tc>
        <w:tc>
          <w:tcPr>
            <w:tcW w:w="2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2880" w:type="dxa"/>
            <w:vAlign w:val="bottom"/>
            <w:tcBorders>
              <w:top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Subtotal</w:t>
            </w: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198"/>
        </w:trPr>
        <w:tc>
          <w:tcPr>
            <w:tcW w:w="288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Investments measured at net asset</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value using NAV as a practical</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880" w:type="dxa"/>
            <w:vAlign w:val="bottom"/>
            <w:gridSpan w:val="3"/>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expedient </w:t>
            </w:r>
            <w:r>
              <w:rPr>
                <w:rFonts w:ascii="Times New Roman" w:cs="Times New Roman" w:eastAsia="Times New Roman" w:hAnsi="Times New Roman"/>
                <w:sz w:val="26"/>
                <w:szCs w:val="26"/>
                <w:color w:val="auto"/>
                <w:vertAlign w:val="superscript"/>
              </w:rPr>
              <w:t>(4)</w:t>
            </w:r>
          </w:p>
        </w:tc>
        <w:tc>
          <w:tcPr>
            <w:tcW w:w="22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209"/>
        </w:trPr>
        <w:tc>
          <w:tcPr>
            <w:tcW w:w="28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hanging="330"/>
        <w:spacing w:after="0"/>
        <w:tabs>
          <w:tab w:leader="none" w:pos="3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debt issued by national, state and local governments and agencies.</w:t>
      </w:r>
    </w:p>
    <w:p>
      <w:pPr>
        <w:spacing w:after="0" w:line="3" w:lineRule="exact"/>
        <w:rPr>
          <w:rFonts w:ascii="Times New Roman" w:cs="Times New Roman" w:eastAsia="Times New Roman" w:hAnsi="Times New Roman"/>
          <w:sz w:val="14"/>
          <w:szCs w:val="14"/>
          <w:color w:val="auto"/>
        </w:rPr>
      </w:pPr>
    </w:p>
    <w:p>
      <w:pPr>
        <w:ind w:left="380" w:hanging="330"/>
        <w:spacing w:after="0" w:line="221" w:lineRule="auto"/>
        <w:tabs>
          <w:tab w:leader="none" w:pos="3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cash, cash equivalents and short-term marketable securities.</w:t>
      </w:r>
    </w:p>
    <w:p>
      <w:pPr>
        <w:ind w:left="380" w:hanging="330"/>
        <w:spacing w:after="0" w:line="221" w:lineRule="auto"/>
        <w:tabs>
          <w:tab w:leader="none" w:pos="3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forward contracts, interest rate swaps, exchange traded and other over-the-counter derivatives.</w:t>
      </w:r>
    </w:p>
    <w:p>
      <w:pPr>
        <w:ind w:left="380" w:right="599" w:hanging="330"/>
        <w:spacing w:after="0" w:line="239" w:lineRule="auto"/>
        <w:tabs>
          <w:tab w:leader="none" w:pos="3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measured at fair value using the net asset value (NAV) per share (or its equivalent), as a practical expedient. These investments include commingled funds, hedge funds, common collective trusts, private equity partnerships and real estate partnerships.</w:t>
      </w:r>
    </w:p>
    <w:p>
      <w:pPr>
        <w:spacing w:after="0" w:line="181"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Approximately 55 percent of plan assets are held in plans which are co-sponsored by the Company and the former Parent. The allocation of the fair value of co-sponsored plan assets is based on the initial pension assets assumed in connection with establishment of certain Kyndryl legal entities, Company contributions, distributions and market returns.</w:t>
      </w:r>
    </w:p>
    <w:p>
      <w:pPr>
        <w:spacing w:after="0" w:line="176"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Defined benefit pension plan assets are recognized and measured at fair value. Because of the inherent uncertainty of valuations, these fair value measurements may not necessarily reflect the amounts the Company could realize in current market transactions. The following is a description of the valuation techniques used to measure plan assets at fair value. There were no changes in valuation techniques during the periods presented.</w:t>
      </w:r>
    </w:p>
    <w:p>
      <w:pPr>
        <w:spacing w:after="0" w:line="180"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Equity securities and mutual funds: Equity securities are valued at the closing price reported on the stock exchange on which the individual securities are traded. Mutual funds are typically valued based on quoted market prices. These assets are generally classified as Level 1.</w:t>
      </w:r>
    </w:p>
    <w:p>
      <w:pPr>
        <w:spacing w:after="0" w:line="176"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Fixed income: Fixed-income securities, other than insurance contracts, are typically valued using the closing price reported on the major market on which the individual securities are traded, if available. Assets fair-valued using this methodology are generally classified as Level 2. If market prices are unavailable, the fair value is estimated using pricing models or quoted prices of securities with similar characteristics.</w:t>
      </w:r>
    </w:p>
    <w:p>
      <w:pPr>
        <w:spacing w:after="0" w:line="180"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Insurance contracts: Fair value is based on the expected value of the insurance benefits of the insurance contracts. The insurance benefits are assessed using the same interest rate and mortality table used to determine the liability. These assets are generally classified as Level 2.</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Cash and short-term investments: Cash includes money market accounts that are valued at their cost plus interest on a daily basis, which approximates fair value. Short-term investments represent securities with original maturities of one year or less. These assets are generally classified as Level 1.</w:t>
      </w:r>
    </w:p>
    <w:p>
      <w:pPr>
        <w:spacing w:after="0" w:line="176"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Derivatives assets: Exchange-traded derivatives are valued at the closing price reported on the exchange on which the individual securities are traded. Forward contracts are valued using a mid-close price. Over-the-counter derivatives are valued using pricing models. These models require a variety of inputs, yield curves, credit curves, measures of volatility and foreign exchange rates. Derivative assets are classified as Level 1 or Level 2 depending on availability of quoted market prices.</w:t>
      </w:r>
    </w:p>
    <w:p>
      <w:pPr>
        <w:spacing w:after="0" w:line="183" w:lineRule="exact"/>
        <w:rPr>
          <w:sz w:val="20"/>
          <w:szCs w:val="20"/>
          <w:color w:val="auto"/>
        </w:rPr>
      </w:pPr>
    </w:p>
    <w:p>
      <w:pPr>
        <w:jc w:val="both"/>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Investments measured at net asset value: Certain investments are measured at fair value using the net asset value (“NAV”) per share (or its equivalent) as a practical expedient. These investments, which may include commingled funds, hedge funds, common collective trusts, private equity partnerships and real estate partnerships, are typically valued using the NAV provided by the administrator of the fund. The NAV is based on the value of the underlying assets owned by the fund, minus liabilities multiplied by the plan’s ownership of the investment.</w:t>
      </w:r>
    </w:p>
    <w:p>
      <w:pPr>
        <w:spacing w:after="0" w:line="183"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It is the Company’s general practice to fund amounts for pensions sufficient to meet the minimum requirements set forth in applicable employee benefits laws and local tax laws. From time to time, the Company contributes additional amounts as it deems appropriate. The Company contributed $14 million, $27 million, $2 million, and $25 million to the defined benefit pension plans during the years ended March 31, 2024 and 2023, the three months ended March 31, 2022, and the year ended December 31, 2021, respectively. Additionally, the Company made direct payments of $46 million, $37 million, $11 million, and $33 million to participants of the defined benefit pension plans during the years ended March 31, 2024 and 2023, the three months ended March 31, 2022, and the year ended December 31, 2021, respectively.</w:t>
      </w:r>
    </w:p>
    <w:p>
      <w:pPr>
        <w:spacing w:after="0" w:line="189"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The Company estimates contributions to its defined benefit pension plans in fiscal year 2025 to be approximately $16 million. This amount generally represents legally mandated minimum contributions. Financial market performance in fiscal year 2025 could increase or decrease the legally mandated minimum contribution in certain countries that require monthly or daily remeasurement of the funded status. The Company could also elect to contribute more than the legally mandated amount based on market conditions or other factors.</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the total expected benefit payments to participants of the defined benefit pension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plans.</w:t>
      </w:r>
    </w:p>
    <w:p>
      <w:pPr>
        <w:spacing w:after="0" w:line="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80" w:type="dxa"/>
            <w:vAlign w:val="bottom"/>
          </w:tcPr>
          <w:p>
            <w:pPr>
              <w:spacing w:after="0"/>
              <w:rPr>
                <w:sz w:val="13"/>
                <w:szCs w:val="13"/>
                <w:color w:val="auto"/>
              </w:rPr>
            </w:pPr>
          </w:p>
        </w:tc>
        <w:tc>
          <w:tcPr>
            <w:tcW w:w="14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0" w:type="dxa"/>
            <w:vAlign w:val="bottom"/>
          </w:tcPr>
          <w:p>
            <w:pPr>
              <w:spacing w:after="0"/>
              <w:rPr>
                <w:sz w:val="1"/>
                <w:szCs w:val="1"/>
                <w:color w:val="auto"/>
              </w:rPr>
            </w:pPr>
          </w:p>
        </w:tc>
      </w:tr>
      <w:tr>
        <w:trPr>
          <w:trHeight w:val="173"/>
        </w:trPr>
        <w:tc>
          <w:tcPr>
            <w:tcW w:w="73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Benefit Payments</w:t>
            </w:r>
          </w:p>
        </w:tc>
        <w:tc>
          <w:tcPr>
            <w:tcW w:w="0" w:type="dxa"/>
            <w:vAlign w:val="bottom"/>
          </w:tcPr>
          <w:p>
            <w:pPr>
              <w:spacing w:after="0"/>
              <w:rPr>
                <w:sz w:val="1"/>
                <w:szCs w:val="1"/>
                <w:color w:val="auto"/>
              </w:rPr>
            </w:pPr>
          </w:p>
        </w:tc>
      </w:tr>
      <w:tr>
        <w:trPr>
          <w:trHeight w:val="142"/>
        </w:trPr>
        <w:tc>
          <w:tcPr>
            <w:tcW w:w="698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Fiscal year ending March 31,</w:t>
            </w:r>
          </w:p>
        </w:tc>
        <w:tc>
          <w:tcPr>
            <w:tcW w:w="3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34"/>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2030-2034</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The fiscal year 2025 expected benefit payments not covered by the respective plan assets represent a component of compensation and benefits, within current liabilities, in the Consolidated Balance Sheet.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Defined Contribution Retirement Plans</w:t>
      </w:r>
    </w:p>
    <w:p>
      <w:pPr>
        <w:spacing w:after="0" w:line="229"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The Company sponsors defined contribution retirement plans for certain eligible employees. The Company’s contribution expense associated with employer matching benefits was $140 million, $142 million, $35 million, and $165 million for the years ended March 31, 2024 and 2023, the three months ended March 31, 2022 and the year ended December 31, 2021, respectively.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Nonpension Postretirement Benefit Plans and Multi-Employer Plans</w:t>
      </w:r>
    </w:p>
    <w:p>
      <w:pPr>
        <w:spacing w:after="0" w:line="22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Certain Company employees participate in multi-employer defined benefit pension plans and post-retirement health plans which are sponsored by third parties and include other participants as well as other nonpension postretirement benefit plans that are sponsored by the Company. Accordingly, the Company does not record an asset or liability to recognize the funded status of the multi-employer plans. However, the Company records service cost attributable to its employees who participate in the multi-employer plans, as well as expense allocated for certain corporate and shared functional employees. These amounts are included in the Consolidated Income Statement, and were not material for any of the periods presented. The nonpension postretirement benefit plans provide a fixed monthly dollar credit for retiree health care expense. The related expenses for these plans are included in the consolidated financial statements, and were not material for any period presented.</w:t>
      </w:r>
    </w:p>
    <w:p>
      <w:pPr>
        <w:spacing w:after="0" w:line="188"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Contributions to the nonpension postretirement benefit plans and the multi-employer plans and components of net periodic benefit cost related to these plans and were not material for any period presented. Additionally, the components resulting in a change in benefit obligation and the activity recognized in AOCI related to the nonpension postretirement benefit plans were not material for the periods presented. The nonpension postretirement benefit plans had a noncurrent liability recorded in the retirement and nonpension postretirement benefit obligation Consolidated Balance Sheet of $10 million at March 31, 2024 and 2023. The weighted-average discount rate used to measure the nonpension postretirement benefit plan obligation was 2.89%, 3.02%, 1.23%, and 1.04% for the years ended March 31, 2024 and 2023, the three months ended March 31, 2022 and the year ended December 31, 2021, respectively. There were no plan assets in the nonpension postretirement benefit plans for any period presented. As a result, the noncurrent liability related to these plans represented the accumulated postretirement benefit obligation in excess of plan assets for each period presented. Future expected benefit payments to participants of the nonpension postretirement benefit plans are not expected to be material, and the Company expects contributions to the multi-employer and nonpension postretirement benefits plans to be immaterial in fiscal year 2025.</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17. TRANSACTIONS WITH FORMER PARENT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 in Beneficial Ownership</w:t>
      </w:r>
    </w:p>
    <w:p>
      <w:pPr>
        <w:spacing w:after="0" w:line="229"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IBM transferred all of its 19.9% initially retained interest in Kyndryl common stock to a third-party financial institution through exchange agreements in May and August 2022. IBM ceased to be a related party of Kyndryl in August 2022. Transactions related to former Parent after August 11, 2022 are no longer reported as related-party activities. As a result, there was no related-party revenue or cost of services recognized subsequent to August 11, 2022.</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 and Purchases Related to Former Parent</w:t>
      </w:r>
    </w:p>
    <w:p>
      <w:pPr>
        <w:spacing w:after="0" w:line="22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While IBM was a related party, Kyndryl provided various services to IBM, including those related to hosting data centers and servicing IBM’s information technology infrastructure, which are reported as revenue in the Company’s Consolidated Income Statement. Related-party revenue generated from these services was $287 million, $236 million and $704 million for the year ended March 31, 2023, the three months ended March 31, 2022 and the year ended December 31, 2021, respectively. No related-party revenue was recognized after August 2022. During the year ended March 31, 2024, the Company reached an agreement to collect previously reserved receivables from our former Parent, which resulted in a gain recorded within transaction-related costs (benefits).</w:t>
      </w:r>
    </w:p>
    <w:p>
      <w:pPr>
        <w:spacing w:after="0" w:line="189" w:lineRule="exact"/>
        <w:rPr>
          <w:sz w:val="20"/>
          <w:szCs w:val="20"/>
          <w:color w:val="auto"/>
        </w:rPr>
      </w:pPr>
    </w:p>
    <w:p>
      <w:pPr>
        <w:ind w:left="60" w:right="259" w:firstLine="648"/>
        <w:spacing w:after="0" w:line="258" w:lineRule="auto"/>
        <w:rPr>
          <w:sz w:val="20"/>
          <w:szCs w:val="20"/>
          <w:color w:val="auto"/>
        </w:rPr>
      </w:pPr>
      <w:r>
        <w:rPr>
          <w:rFonts w:ascii="Times New Roman" w:cs="Times New Roman" w:eastAsia="Times New Roman" w:hAnsi="Times New Roman"/>
          <w:sz w:val="18"/>
          <w:szCs w:val="18"/>
          <w:color w:val="auto"/>
        </w:rPr>
        <w:t>While IBM was a related party, Kyndryl utilized various IBM products and services, recognized as costs of services, in the fulfillment of services contracts. Total cost of services recognized from these related-party transactions in the Company’s Consolidated Income Statement was $1.4 billion, $924 million and $4.0 billion for the year ended March 31, 2023, the three months ended March 31, 2022, and the year ended December 31, 2021, respectively. No related-party cost of services was recognized after August 2022.</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Capital Expenditures with Former Parent</w:t>
      </w:r>
    </w:p>
    <w:p>
      <w:pPr>
        <w:spacing w:after="0" w:line="22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Related-party capital expenditures for purchases of IBM hardware were reflected as payments for property and equipment within the investing section of the Company’s Consolidated Statement of Cash Flows in the amounts of $89 million, $25 million, and $299 million for the year ended March 31, 2023, the three months ended March 31, 2022 and the year ended December 31, 2021, respectively. Additionally, as part of the Separation, IBM committed to provide Kyndryl, at no cost, up to approximately $265 million of upgraded hardware over an expected two-year period. The amounts committed by IBM are reflected within other assets (noncurrent) within the Consolidated Balance Sheet at March 31, 2023. For the year ended March 31, 2024, $265 million of the upgraded hardware committed by IBM was delivered to Kyndryl. Accordingly, such balance was transferred from other assets (noncurrent) to property and equipment on the Balance Sheet and recognized as non-cash investing activity. The Company intends to recognize depreciation expense related to such equipment over its useful life in accordance with the Company’s depreciation policy, as described in Note 1 – Significant Accounting Policies.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Allocation of Corporate Expenses</w:t>
      </w:r>
    </w:p>
    <w:p>
      <w:pPr>
        <w:spacing w:after="0" w:line="229" w:lineRule="exact"/>
        <w:rPr>
          <w:sz w:val="20"/>
          <w:szCs w:val="20"/>
          <w:color w:val="auto"/>
        </w:rPr>
      </w:pPr>
    </w:p>
    <w:p>
      <w:pPr>
        <w:jc w:val="both"/>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Following the Separation, general corporate expenses from IBM are no longer allocated to Kyndryl; therefore, no related amounts were reflected on the Company’s financial statements for the years ended March 31, 2024 and 2023 or the three months ended March 31, 2022.</w:t>
      </w:r>
    </w:p>
    <w:p>
      <w:pPr>
        <w:spacing w:after="0" w:line="176"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Prior to the Separation, IBM allocated certain general corporate expenses that would have been incurred by Kyndryl had it been a separate, standalone company. These allocated general corporate expenses from IBM were recorded in the historical Consolidated Income Statement, Consolidated Statement of Comprehensive Income (Loss) and Consolidated Statement of Cash Flows. Allocations for management costs and corporate support services provided to Kyndryl for the year ended December 31, 2021 were $989 million, which consisted of $10 million of allocated other expense, $46 million of allocated interest expense and $932 million of allocated selling, general and administrative expense. Allocated selling, general and administrative expense primarily represents expenses for corporate functions including, but not limited to, senior management, legal, human resources, finance and accounting, treasury, information technology and other shared services. All such amounts were deemed to have been incurred and settled by Kyndryl in the period in which the costs were recorded and are included in the net Parent investment. These costs were allocated based on direct usage as applicable, with the remainder allocated on a pro-rata basis of gross profit, headcount, assets or other measures.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Parent Investment</w:t>
      </w:r>
    </w:p>
    <w:p>
      <w:pPr>
        <w:spacing w:after="0" w:line="22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As a result of the Separation, net Parent investment in the Consolidated Balance Sheet and Consolidated Statement of Equity was fully settled on November 3, 2021. As such, there was no balance in net Parent investment at December 31, 2021, March 31, 2022, March 31, 2023 and March 31, 2024, and there was no activity within the account during the three months ended March 31, 2022 and the years ended March 31, 2023 and 2024. The total net effect of these settlement transactions was reflected as Net transfers (to) from Parent in the financing activities section in the Consolidated Statement of Cash Flows for the year ended December 31, 2021.</w:t>
      </w:r>
    </w:p>
    <w:p>
      <w:pPr>
        <w:spacing w:after="0" w:line="187"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Prior to the Separation, net Parent investment in the historical Balance Sheet and Statement of Equity represented IBM’s historical investment in Kyndryl, the net effect of transactions with and allocations from IBM, and Kyndryl’s accumulated earnings.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Lease Guarantees</w:t>
      </w:r>
    </w:p>
    <w:p>
      <w:pPr>
        <w:spacing w:after="0" w:line="229" w:lineRule="exact"/>
        <w:rPr>
          <w:sz w:val="20"/>
          <w:szCs w:val="20"/>
          <w:color w:val="auto"/>
        </w:rPr>
      </w:pPr>
    </w:p>
    <w:p>
      <w:pPr>
        <w:jc w:val="both"/>
        <w:ind w:left="60" w:right="379" w:firstLine="648"/>
        <w:spacing w:after="0" w:line="266" w:lineRule="auto"/>
        <w:rPr>
          <w:sz w:val="20"/>
          <w:szCs w:val="20"/>
          <w:color w:val="auto"/>
        </w:rPr>
      </w:pPr>
      <w:r>
        <w:rPr>
          <w:rFonts w:ascii="Times New Roman" w:cs="Times New Roman" w:eastAsia="Times New Roman" w:hAnsi="Times New Roman"/>
          <w:sz w:val="18"/>
          <w:szCs w:val="18"/>
          <w:color w:val="auto"/>
        </w:rPr>
        <w:t>Kyndryl has lease agreements with third parties with an estimated aggregate lease liability of $79 million that were guaranteed by IBM as of March 31, 2023. Lease agreements guaranteed by IBM were immaterial as of March 31, 2024.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18. TRANSITION PERIOD</w:t>
      </w:r>
    </w:p>
    <w:p>
      <w:pPr>
        <w:spacing w:after="0" w:line="243"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We are presenting our consolidated financial statements for the three-month period ended March 31, 2022, as required. The following tables provide certain unaudited comparative financial information for the same period of the prior year.</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6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340" w:type="dxa"/>
            <w:vAlign w:val="bottom"/>
          </w:tcPr>
          <w:p>
            <w:pPr>
              <w:spacing w:after="0"/>
              <w:rPr>
                <w:sz w:val="15"/>
                <w:szCs w:val="15"/>
                <w:color w:val="auto"/>
              </w:rPr>
            </w:pPr>
          </w:p>
        </w:tc>
        <w:tc>
          <w:tcPr>
            <w:tcW w:w="29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640" w:type="dxa"/>
            <w:vAlign w:val="bottom"/>
            <w:gridSpan w:val="3"/>
            <w:vMerge w:val="continue"/>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5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2021 (unaudited)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3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 **</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Workforce rebalancing charges</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Transaction-related costs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2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Weighted-average basic shares outstanding</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diluted shares outstanding</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3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Including related-party revenue of $236 million and $154 million for the three months ended March 31, 2022 and 2021, respectively</w:t>
      </w:r>
    </w:p>
    <w:p>
      <w:pPr>
        <w:spacing w:after="0" w:line="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 Including related-party cost of services of $924 million and $1,006 million for the three months ended March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Pr>
          <w:p>
            <w:pPr>
              <w:spacing w:after="0"/>
              <w:rPr>
                <w:sz w:val="15"/>
                <w:szCs w:val="15"/>
                <w:color w:val="auto"/>
              </w:rPr>
            </w:pPr>
          </w:p>
        </w:tc>
        <w:tc>
          <w:tcPr>
            <w:tcW w:w="22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520" w:type="dxa"/>
            <w:vAlign w:val="bottom"/>
            <w:gridSpan w:val="2"/>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2021 (unaudited)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(229)</w:t>
            </w:r>
          </w:p>
        </w:tc>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cash provided by operating activities:</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Depreciation of property and equipment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Depreciation of right-of-use assets</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transition costs and prepaid software</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Amortization of capitalized contract costs</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 taxes</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w:t>
            </w: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Net (gain) loss on asset sales and other</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Deferred costs (excluding amortization)</w:t>
            </w:r>
          </w:p>
        </w:tc>
        <w:tc>
          <w:tcPr>
            <w:tcW w:w="14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(672)</w:t>
            </w:r>
          </w:p>
        </w:tc>
        <w:tc>
          <w:tcPr>
            <w:tcW w:w="4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Right-of-use assets and liabilities (excluding depreciation)</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(117)</w:t>
            </w: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Workforce rebalancing liabilities</w:t>
            </w:r>
          </w:p>
        </w:tc>
        <w:tc>
          <w:tcPr>
            <w:tcW w:w="14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(73)</w:t>
            </w:r>
          </w:p>
        </w:tc>
        <w:tc>
          <w:tcPr>
            <w:tcW w:w="4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Receivables</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(31)</w:t>
            </w: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Taxes (including items settled with former Parent in prior-year period)</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(66)</w:t>
            </w: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6"/>
                <w:szCs w:val="16"/>
                <w:color w:val="auto"/>
              </w:rPr>
              <w:t>Other assets and other liabilities</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2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2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Payments for property and equipment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(180)</w:t>
            </w:r>
          </w:p>
        </w:tc>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Proceeds from disposition of property and equipment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Other investing activities, net</w:t>
            </w:r>
          </w:p>
        </w:tc>
        <w:tc>
          <w:tcPr>
            <w:tcW w:w="14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(53)</w:t>
            </w:r>
          </w:p>
        </w:tc>
        <w:tc>
          <w:tcPr>
            <w:tcW w:w="4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Debt repayments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(28)</w:t>
            </w:r>
          </w:p>
        </w:tc>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transfers from Parent</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Common stock repurchases for tax withholdings</w:t>
            </w:r>
          </w:p>
        </w:tc>
        <w:tc>
          <w:tcPr>
            <w:tcW w:w="14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w:t>
            </w:r>
          </w:p>
        </w:tc>
        <w:tc>
          <w:tcPr>
            <w:tcW w:w="4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financing activities, net</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w:t>
            </w: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2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w:t>
            </w:r>
          </w:p>
        </w:tc>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January 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w:t>
            </w:r>
          </w:p>
        </w:tc>
        <w:tc>
          <w:tcPr>
            <w:tcW w:w="2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March 31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2,154</w:t>
            </w:r>
          </w:p>
        </w:tc>
        <w:tc>
          <w:tcPr>
            <w:tcW w:w="2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data</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paid, net of refunds received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paid on debt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19. WORKFORCE REBALANCING AND SITE-RATIONALIZATION CHARGES</w:t>
      </w:r>
    </w:p>
    <w:p>
      <w:pPr>
        <w:spacing w:after="0" w:line="229"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During the year ended March 31, 2023, the Company initiated actions to reduce our overall cost structure and increase our operating efficiency, which continued through the fiscal year ended March 31, 2024. These actions resulted in workforce rebalancing charges, charges related to ceasing to use leased and owned fixed assets, and lease termination charges (collectively, the “charges”). Total charges for this program through March 31, 2024 were $310 million, consisting of approximately 60% for workforce rebalancing charges and approximately 40% for charges related to ceasing to use leased and owned fixed assets and lease termination charges. The Company expects that these actions will reduce future payroll costs, rent expenses and depreciation of property and equipment. We will continue to seek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opportunities to increase our operational efficiency and reduce costs, which may result in additional charges in future periods.</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The following table presents the segment breakout of charges incurred during the years ended March 31, 2024 and</w:t>
      </w:r>
    </w:p>
    <w:p>
      <w:pPr>
        <w:spacing w:after="0" w:line="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2023.</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 w:type="dxa"/>
            <w:vAlign w:val="bottom"/>
          </w:tcPr>
          <w:p>
            <w:pPr>
              <w:spacing w:after="0"/>
              <w:rPr>
                <w:sz w:val="13"/>
                <w:szCs w:val="13"/>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Costs Incurred</w:t>
            </w:r>
          </w:p>
        </w:tc>
        <w:tc>
          <w:tcPr>
            <w:tcW w:w="0" w:type="dxa"/>
            <w:vAlign w:val="bottom"/>
          </w:tcPr>
          <w:p>
            <w:pPr>
              <w:spacing w:after="0"/>
              <w:rPr>
                <w:sz w:val="1"/>
                <w:szCs w:val="1"/>
                <w:color w:val="auto"/>
              </w:rPr>
            </w:pPr>
          </w:p>
        </w:tc>
      </w:tr>
      <w:tr>
        <w:trPr>
          <w:trHeight w:val="173"/>
        </w:trPr>
        <w:tc>
          <w:tcPr>
            <w:tcW w:w="4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15"/>
                <w:szCs w:val="15"/>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20" w:type="dxa"/>
            <w:vAlign w:val="bottom"/>
          </w:tcPr>
          <w:p>
            <w:pPr>
              <w:spacing w:after="0"/>
              <w:rPr>
                <w:sz w:val="15"/>
                <w:szCs w:val="15"/>
                <w:color w:val="auto"/>
              </w:rPr>
            </w:pPr>
          </w:p>
        </w:tc>
        <w:tc>
          <w:tcPr>
            <w:tcW w:w="104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to Date</w:t>
            </w:r>
          </w:p>
        </w:tc>
        <w:tc>
          <w:tcPr>
            <w:tcW w:w="0" w:type="dxa"/>
            <w:vAlign w:val="bottom"/>
          </w:tcPr>
          <w:p>
            <w:pPr>
              <w:spacing w:after="0"/>
              <w:rPr>
                <w:sz w:val="1"/>
                <w:szCs w:val="1"/>
                <w:color w:val="auto"/>
              </w:rPr>
            </w:pPr>
          </w:p>
        </w:tc>
      </w:tr>
      <w:tr>
        <w:trPr>
          <w:trHeight w:val="209"/>
        </w:trPr>
        <w:tc>
          <w:tcPr>
            <w:tcW w:w="4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Markets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Strategic Markets</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09"/>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charges by segment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Corporate charges not allocated to the segments</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0"/>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charges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4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classification of workforce rebalancing and site-rationalization activity in the Consolidated Income Statement during the years ended March 31, 2024 and 2023.</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 w:type="dxa"/>
            <w:vAlign w:val="bottom"/>
          </w:tcPr>
          <w:p>
            <w:pPr>
              <w:spacing w:after="0"/>
              <w:rPr>
                <w:sz w:val="13"/>
                <w:szCs w:val="13"/>
                <w:color w:val="auto"/>
              </w:rPr>
            </w:pPr>
          </w:p>
        </w:tc>
        <w:tc>
          <w:tcPr>
            <w:tcW w:w="106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Costs Incurred</w:t>
            </w:r>
          </w:p>
        </w:tc>
        <w:tc>
          <w:tcPr>
            <w:tcW w:w="0" w:type="dxa"/>
            <w:vAlign w:val="bottom"/>
          </w:tcPr>
          <w:p>
            <w:pPr>
              <w:spacing w:after="0"/>
              <w:rPr>
                <w:sz w:val="1"/>
                <w:szCs w:val="1"/>
                <w:color w:val="auto"/>
              </w:rPr>
            </w:pPr>
          </w:p>
        </w:tc>
      </w:tr>
      <w:tr>
        <w:trPr>
          <w:trHeight w:val="173"/>
        </w:trPr>
        <w:tc>
          <w:tcPr>
            <w:tcW w:w="49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00" w:type="dxa"/>
            <w:vAlign w:val="bottom"/>
          </w:tcPr>
          <w:p>
            <w:pPr>
              <w:spacing w:after="0"/>
              <w:rPr>
                <w:sz w:val="15"/>
                <w:szCs w:val="15"/>
                <w:color w:val="auto"/>
              </w:rPr>
            </w:pPr>
          </w:p>
        </w:tc>
        <w:tc>
          <w:tcPr>
            <w:tcW w:w="106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to Date</w:t>
            </w:r>
          </w:p>
        </w:tc>
        <w:tc>
          <w:tcPr>
            <w:tcW w:w="0" w:type="dxa"/>
            <w:vAlign w:val="bottom"/>
          </w:tcPr>
          <w:p>
            <w:pPr>
              <w:spacing w:after="0"/>
              <w:rPr>
                <w:sz w:val="1"/>
                <w:szCs w:val="1"/>
                <w:color w:val="auto"/>
              </w:rPr>
            </w:pPr>
          </w:p>
        </w:tc>
      </w:tr>
      <w:tr>
        <w:trPr>
          <w:trHeight w:val="210"/>
        </w:trPr>
        <w:tc>
          <w:tcPr>
            <w:tcW w:w="46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4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4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Workforce rebalancing charges</w:t>
            </w: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10"/>
        </w:trPr>
        <w:tc>
          <w:tcPr>
            <w:tcW w:w="4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charges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hanging="330"/>
        <w:spacing w:after="0"/>
        <w:tabs>
          <w:tab w:leader="none" w:pos="3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$4 million liability adjustment related to workforce rebalancing actions taken by the former Parent prior to Separation.</w:t>
      </w:r>
    </w:p>
    <w:p>
      <w:pPr>
        <w:spacing w:after="0" w:line="208"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and changes in our workforce rebalancing and site-rationalization charges accrual during the years ended March 31, 2024 and 2023.</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Workforce</w:t>
            </w:r>
          </w:p>
        </w:tc>
        <w:tc>
          <w:tcPr>
            <w:tcW w:w="100" w:type="dxa"/>
            <w:vAlign w:val="bottom"/>
          </w:tcPr>
          <w:p>
            <w:pPr>
              <w:spacing w:after="0"/>
              <w:rPr>
                <w:sz w:val="13"/>
                <w:szCs w:val="13"/>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rPr>
                <w:sz w:val="13"/>
                <w:szCs w:val="13"/>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Related to</w:t>
            </w:r>
          </w:p>
        </w:tc>
        <w:tc>
          <w:tcPr>
            <w:tcW w:w="12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Related to</w:t>
            </w:r>
          </w:p>
        </w:tc>
        <w:tc>
          <w:tcPr>
            <w:tcW w:w="1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Related to</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Rebalancing</w:t>
            </w:r>
          </w:p>
        </w:tc>
        <w:tc>
          <w:tcPr>
            <w:tcW w:w="1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Ceasing to Use</w:t>
            </w:r>
          </w:p>
        </w:tc>
        <w:tc>
          <w:tcPr>
            <w:tcW w:w="12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Lease</w:t>
            </w:r>
          </w:p>
        </w:tc>
        <w:tc>
          <w:tcPr>
            <w:tcW w:w="1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Ceasing to Use</w:t>
            </w:r>
          </w:p>
        </w:tc>
        <w:tc>
          <w:tcPr>
            <w:tcW w:w="260" w:type="dxa"/>
            <w:vAlign w:val="bottom"/>
          </w:tcPr>
          <w:p>
            <w:pPr>
              <w:spacing w:after="0"/>
              <w:rPr>
                <w:sz w:val="12"/>
                <w:szCs w:val="12"/>
                <w:color w:val="auto"/>
              </w:rPr>
            </w:pPr>
          </w:p>
        </w:tc>
        <w:tc>
          <w:tcPr>
            <w:tcW w:w="90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3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rPr>
                <w:sz w:val="15"/>
                <w:szCs w:val="15"/>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Leased Assets</w:t>
            </w:r>
          </w:p>
        </w:tc>
        <w:tc>
          <w:tcPr>
            <w:tcW w:w="1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Terminations</w:t>
            </w:r>
          </w:p>
        </w:tc>
        <w:tc>
          <w:tcPr>
            <w:tcW w:w="100" w:type="dxa"/>
            <w:vAlign w:val="bottom"/>
          </w:tcPr>
          <w:p>
            <w:pPr>
              <w:spacing w:after="0"/>
              <w:rPr>
                <w:sz w:val="15"/>
                <w:szCs w:val="15"/>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Fixed Assets</w:t>
            </w:r>
          </w:p>
        </w:tc>
        <w:tc>
          <w:tcPr>
            <w:tcW w:w="2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2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Non-cash adjustments</w:t>
            </w:r>
          </w:p>
        </w:tc>
        <w:tc>
          <w:tcPr>
            <w:tcW w:w="1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0"/>
        </w:trPr>
        <w:tc>
          <w:tcPr>
            <w:tcW w:w="234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0"/>
        </w:trPr>
        <w:tc>
          <w:tcPr>
            <w:tcW w:w="2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Charges (benefits)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6"/>
        </w:trPr>
        <w:tc>
          <w:tcPr>
            <w:tcW w:w="2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6"/>
        </w:trPr>
        <w:tc>
          <w:tcPr>
            <w:tcW w:w="2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Non-cash adjustments</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0"/>
        </w:trPr>
        <w:tc>
          <w:tcPr>
            <w:tcW w:w="234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right="139" w:hanging="330"/>
        <w:spacing w:after="0" w:line="236" w:lineRule="auto"/>
        <w:tabs>
          <w:tab w:leader="none" w:pos="38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Prior-year movement excludes workforce rebalancing liabilities inherited from the former Parent of $57 million as of March 31, 2022, charges of $16 million related to one-off terminations, cash payments of $32 million, and ending balance of $42 million as of March 31, 2023. Current-year movement excludes additional charges of $4 million, cash payments of $15 million and ending balance of $29 million related to actions initiated by the former Parent. Workforce rebalancing liabilities are recorded within Other Liabilities; refer to Note 12 – Other Liabilities for further details.</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20. SUBSEQUENT EVENTS</w:t>
      </w:r>
    </w:p>
    <w:p>
      <w:pPr>
        <w:spacing w:after="0" w:line="229" w:lineRule="exact"/>
        <w:rPr>
          <w:sz w:val="20"/>
          <w:szCs w:val="20"/>
          <w:color w:val="auto"/>
        </w:rPr>
      </w:pPr>
    </w:p>
    <w:p>
      <w:pPr>
        <w:ind w:left="60" w:right="239" w:firstLine="648"/>
        <w:spacing w:after="0" w:line="312" w:lineRule="auto"/>
        <w:rPr>
          <w:sz w:val="20"/>
          <w:szCs w:val="20"/>
          <w:color w:val="auto"/>
        </w:rPr>
      </w:pPr>
      <w:r>
        <w:rPr>
          <w:rFonts w:ascii="Times New Roman" w:cs="Times New Roman" w:eastAsia="Times New Roman" w:hAnsi="Times New Roman"/>
          <w:sz w:val="17"/>
          <w:szCs w:val="17"/>
          <w:color w:val="auto"/>
        </w:rPr>
        <w:t>On April 26, 2024, the Company completed its acquisition of Skytap, Inc. for $51 million of cash consideration, reflecting customary closing adjustments. The acquisition will be accounted for using the acquisition method and the</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results of the acquired business will be included in the Company’s results of operations from the acquisition date. The purchase price allocation is subject to adjustments as we obtain additional information during the measurement period. We are currently in the process of completing the accounting for this transaction and expect to have our preliminary allocation of the purchase consideration to the assets acquired and liabilities assumed in the first half of fiscal year 2025.</w:t>
      </w:r>
    </w:p>
    <w:p>
      <w:pPr>
        <w:spacing w:after="0" w:line="180"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In May 2024, the Company entered into a definitive agreement to divest its Securities Industry Services (SIS) business for approximately $200 million. The Company has determined the assets associated with the business to be held-for-sale as of the first quarter of our 2025 fiscal year. Closing of the transaction is subject to customary closing conditions, including regulatory approval. The Company is currently evaluating the accounting impact resulting from the disposal, which it expects to include in its financial results in the first quarter of 2025.</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Company’s management evaluated, with the participation of the Chief Executive Officer and Chief Financial Officer, the effectiveness of the Company’s disclosure controls and procedures (as such term is defined in Rule 13a-15(e) of the Securities Exchange Act of 1934, as amended (the “Exchange Act”)) as of March 31, 2024, the end of the period covered by this report. Based on that evaluation, the Chief Executive Officer and Chief Financial Officer have concluded that the Company’s disclosure controls and procedures were not considered to be effective as of March 31, 2024 due to a material weakness in internal control over financial reporting (as such term is defined in Rule 12b-2 of the Exchange Act) in the area of our information technology general controls (“ITGCs”). The deficiencies in ITGCs were related to access and program development and change management controls associated with the Company’s large-scale migration in a compressed timeframe of its internal operating systems to a new enterprise resource planning system (“ERP”), which was required to replace the systems temporarily being made available to the Company by our former parent following our Spin-off. These control deficiencies did not result in a misstatement to the annual or interim consolidated financial statements previously filed or included in this Annual Report on Form 10-K.</w:t>
      </w:r>
    </w:p>
    <w:p>
      <w:pPr>
        <w:spacing w:after="0" w:line="190"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auto"/>
        </w:rPr>
        <w:t>Subsequent to the identification of the ITGC deficiencies and prior to the issuance of this Annual Report on Form 10-K, the Company performed a lookback review of the users making changes to relevant systems and conducted other supplemental procedures. As a result of these procedures we did not identify any material misstatements in our consolidated financial statements or disclosures in the fiscal year ended March 31, 2024.</w:t>
      </w:r>
    </w:p>
    <w:p>
      <w:pPr>
        <w:spacing w:after="0" w:line="180" w:lineRule="exact"/>
        <w:rPr>
          <w:sz w:val="20"/>
          <w:szCs w:val="20"/>
          <w:color w:val="auto"/>
        </w:rPr>
      </w:pPr>
    </w:p>
    <w:p>
      <w:pPr>
        <w:jc w:val="both"/>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Our management has concluded that the consolidated financial statements for the periods covered by and included in this Annual Report on Form 10-K fairly present, in all material respects, our financial position, results of operations and cash flows in conformity with GAAP.</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229"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 13a-15(f) of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w:t>
      </w:r>
    </w:p>
    <w:p>
      <w:pPr>
        <w:spacing w:after="0" w:line="183" w:lineRule="exact"/>
        <w:rPr>
          <w:sz w:val="20"/>
          <w:szCs w:val="20"/>
          <w:color w:val="auto"/>
        </w:rPr>
      </w:pPr>
    </w:p>
    <w:p>
      <w:pPr>
        <w:ind w:left="720" w:right="359" w:hanging="319"/>
        <w:spacing w:after="0" w:line="261" w:lineRule="auto"/>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jc w:val="both"/>
        <w:ind w:left="720" w:right="339" w:hanging="319"/>
        <w:spacing w:after="0" w:line="277" w:lineRule="auto"/>
        <w:tabs>
          <w:tab w:leader="none" w:pos="7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that the transactions are recorded as necessary to permit preparation of financial statements in accordance with generally accepted accounting principles, and that our receipts and expenditures are being made only in accordance with authorizations of management and our Board of Directors; and</w:t>
      </w:r>
    </w:p>
    <w:p>
      <w:pPr>
        <w:sectPr>
          <w:pgSz w:w="11900" w:h="16838" w:orient="portrait"/>
          <w:cols w:equalWidth="0" w:num="1">
            <w:col w:w="9019"/>
          </w:cols>
          <w:pgMar w:left="1440" w:top="513" w:right="1440" w:bottom="1440"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699" w:hanging="319"/>
        <w:spacing w:after="0" w:line="282" w:lineRule="auto"/>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62"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due to changes in conditions, or that the degree of compliance with the policies or procedures may deteriorate.</w:t>
      </w:r>
    </w:p>
    <w:p>
      <w:pPr>
        <w:spacing w:after="0" w:line="180"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Management, with the participation of the Chief Executive Officer and Chief Financial Officer, conducted an assessment of the effectiveness of our internal control over financial reporting as of March 31, 2024 based on the criteria set forth in Internal Control – Integrated Framework (“2013 Framework”) issued by the Committee of Sponsoring Organizations of the Treadway Commission (“COSO”).</w:t>
      </w:r>
    </w:p>
    <w:p>
      <w:pPr>
        <w:spacing w:after="0" w:line="180" w:lineRule="exact"/>
        <w:rPr>
          <w:sz w:val="20"/>
          <w:szCs w:val="20"/>
          <w:color w:val="auto"/>
        </w:rPr>
      </w:pPr>
    </w:p>
    <w:p>
      <w:pPr>
        <w:ind w:left="60" w:right="99" w:firstLine="648"/>
        <w:spacing w:after="0" w:line="276" w:lineRule="auto"/>
        <w:rPr>
          <w:sz w:val="20"/>
          <w:szCs w:val="20"/>
          <w:color w:val="auto"/>
        </w:rPr>
      </w:pPr>
      <w:r>
        <w:rPr>
          <w:rFonts w:ascii="Times New Roman" w:cs="Times New Roman" w:eastAsia="Times New Roman" w:hAnsi="Times New Roman"/>
          <w:sz w:val="17"/>
          <w:szCs w:val="17"/>
          <w:color w:val="auto"/>
        </w:rPr>
        <w:t>In connection with our assessment of the effectiveness of internal control over financial reporting, management identified certain control deficiencies associated with the Company’s new ERP environment in the area of ITGCs related to</w:t>
      </w:r>
    </w:p>
    <w:p>
      <w:pPr>
        <w:spacing w:after="0" w:line="1" w:lineRule="exact"/>
        <w:rPr>
          <w:sz w:val="20"/>
          <w:szCs w:val="20"/>
          <w:color w:val="auto"/>
        </w:rPr>
      </w:pPr>
    </w:p>
    <w:p>
      <w:pPr>
        <w:ind w:left="60" w:right="99" w:hanging="10"/>
        <w:spacing w:after="0" w:line="251" w:lineRule="auto"/>
        <w:tabs>
          <w:tab w:leader="none" w:pos="27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 access and segregation of duty controls that restrict user and privileged access to appropriate personnel; (ii) program development and change management controls; and (iii) certain computer operations controls that, when aggregated, are considered to be a material weakness which is defined in Rule 12b-2 of the Exchange Act as a deficiency, or a combination of deficiencies, in internal control over financial reporting, such that there is a reasonable possibility that a material misstatement of a company’s annual or interim financial statements will not be prevented or detected on a timely basis. Because of this, management has determined our internal control over financial reporting was not effective as of March 31, 2024. These control deficiencies did not result in a misstatement to the annual or interim consolidated financial statements previously filed or included in this Annual Report on Form 10-K.</w:t>
      </w:r>
    </w:p>
    <w:p>
      <w:pPr>
        <w:spacing w:after="0" w:line="194"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included in this Annual Report on Form 10-K and the effectiveness of our internal control over financial reporting as of March 31, 2024 have been audited by PricewaterhouseCoopers LLP, an independent registered public accounting firm, as stated in their report included in this Annual Report on Form 10-K. See “Report of Independent Registered Public Accounting Firm” on page 50.</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Remediation Plan</w:t>
      </w:r>
    </w:p>
    <w:p>
      <w:pPr>
        <w:spacing w:after="0" w:line="229"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Management has evaluated the deficiencies described above and has developed and is implementing a remediation plan designed to strengthen our ITGC processes and controls associated with our new ERP environment. This plan includes but is not limited to (i) implementing and/or formalizing additional controls across our information technology environment, including user access and segregation of duty controls, program development and change management controls, and certain computer operations controls, and (ii) training of relevant personnel on the design and operation of any new or modified ITGCs. The remediation plan is subject to ongoing management review, as well as oversight by the Audit Committee of our Board of Directors.</w:t>
      </w:r>
    </w:p>
    <w:p>
      <w:pPr>
        <w:spacing w:after="0" w:line="18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Company expects to complete the implementation of its remediation plan during fiscal year 2025. We believe our remediation plan will address the deficiencies described above; however, deficiencies will not be considered fully remediated until the applicable controls operate for a sufficient period of time and management has concluded, through testing, that these controls are operating effectively. We will continue to monitor the design and effectiveness of these and other processes, procedures and controls and make further changes as appropriate.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Other than the deficiencies and remediation activities described above, there has been no change in the Company’s internal control over financial reporting (as such term is defined in Rule 13a-15(f) of the Exchange Act) that occurred during the Company’s last fiscal quarter ended March 31, 2024 that has materially affected, or is reasonably likely to materially affect, the Company’s internal control over financial reporting.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jc w:val="both"/>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none of the Company’s directors or executive officers adopted, terminated or modified a “Rule 10b5-1 trading arrangement” or a “non-Rule 10b5-1 trading arrangement” as such terms are defined in Item 408 of Regulation S-K.</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Information about our executive officers may be found under the caption “Information about our Executive Officers” in Part I of this Form 10-K and is incorporated by reference in this Item 10. Other information called for by this Item 10 will be included in the subsections titled “Proposal 1 - Election of Directors,” “Kyndryl Code of Conduct,” “Securities Trading Policy,” and “Committees of the Board” under the section entitled “Corporate Governance and Board Matters” in our Proxy Statement for our 2024 Annual Meeting of Stockholders (our “2024 Proxy Statement”) and is incorporated herein by reference.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left="60" w:right="399" w:firstLine="648"/>
        <w:spacing w:after="0" w:line="266" w:lineRule="auto"/>
        <w:rPr>
          <w:sz w:val="20"/>
          <w:szCs w:val="20"/>
          <w:color w:val="auto"/>
        </w:rPr>
      </w:pPr>
      <w:r>
        <w:rPr>
          <w:rFonts w:ascii="Times New Roman" w:cs="Times New Roman" w:eastAsia="Times New Roman" w:hAnsi="Times New Roman"/>
          <w:sz w:val="18"/>
          <w:szCs w:val="18"/>
          <w:color w:val="auto"/>
        </w:rPr>
        <w:t>The information called for by this Item 11 will be included in the sections titled “Director Compensation” and “2024 Executive Compensation” in our 2024 Proxy Statement for our 2024 Annual Meeting of Stockholders and is incorporated herein by reference.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02" w:lineRule="exact"/>
        <w:rPr>
          <w:sz w:val="20"/>
          <w:szCs w:val="20"/>
          <w:color w:val="auto"/>
        </w:rPr>
      </w:pPr>
    </w:p>
    <w:p>
      <w:pPr>
        <w:ind w:left="60" w:right="359" w:firstLine="648"/>
        <w:spacing w:after="0" w:line="312" w:lineRule="auto"/>
        <w:rPr>
          <w:sz w:val="20"/>
          <w:szCs w:val="20"/>
          <w:color w:val="auto"/>
        </w:rPr>
      </w:pPr>
      <w:r>
        <w:rPr>
          <w:rFonts w:ascii="Times New Roman" w:cs="Times New Roman" w:eastAsia="Times New Roman" w:hAnsi="Times New Roman"/>
          <w:sz w:val="17"/>
          <w:szCs w:val="17"/>
          <w:color w:val="auto"/>
        </w:rPr>
        <w:t>The information called for by this Item 12 will be included in the sections titled “Equity Compensation Plan Information” and “Stock Ownership Information” in our 2024 Proxy Statement and is incorporated herein by reference.</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60" w:right="439" w:firstLine="648"/>
        <w:spacing w:after="0" w:line="266" w:lineRule="auto"/>
        <w:rPr>
          <w:sz w:val="20"/>
          <w:szCs w:val="20"/>
          <w:color w:val="auto"/>
        </w:rPr>
      </w:pPr>
      <w:r>
        <w:rPr>
          <w:rFonts w:ascii="Times New Roman" w:cs="Times New Roman" w:eastAsia="Times New Roman" w:hAnsi="Times New Roman"/>
          <w:sz w:val="18"/>
          <w:szCs w:val="18"/>
          <w:color w:val="auto"/>
        </w:rPr>
        <w:t>The information called for by this Item 13 will be included in the sections titled “Director Independence” and “Certain Relationships and Related Person Transactions” in our 2024 Proxy Statement and is incorporated herein by reference.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jc w:val="both"/>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The information called for by this Item 14 will be included in the sections titled “Audit and Non-Audit Fees” and “Pre-Approval of Services Provided by the Independent Registered Public Accounting Firm” in our 2024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100" w:type="dxa"/>
            <w:vAlign w:val="bottom"/>
            <w:gridSpan w:val="29"/>
          </w:tcPr>
          <w:p>
            <w:pPr>
              <w:jc w:val="center"/>
              <w:ind w:right="3820"/>
              <w:spacing w:after="0"/>
              <w:rPr>
                <w:sz w:val="20"/>
                <w:szCs w:val="20"/>
                <w:color w:val="auto"/>
              </w:rPr>
            </w:pPr>
            <w:r>
              <w:rPr>
                <w:rFonts w:ascii="Times New Roman" w:cs="Times New Roman" w:eastAsia="Times New Roman" w:hAnsi="Times New Roman"/>
                <w:sz w:val="18"/>
                <w:szCs w:val="18"/>
                <w:b w:val="1"/>
                <w:bCs w:val="1"/>
                <w:color w:val="auto"/>
                <w:w w:val="97"/>
              </w:rPr>
              <w:t>PART IV</w:t>
            </w:r>
          </w:p>
        </w:tc>
      </w:tr>
      <w:tr>
        <w:trPr>
          <w:trHeight w:val="432"/>
        </w:trPr>
        <w:tc>
          <w:tcPr>
            <w:tcW w:w="8920" w:type="dxa"/>
            <w:vAlign w:val="bottom"/>
            <w:gridSpan w:val="34"/>
          </w:tcPr>
          <w:p>
            <w:pPr>
              <w:ind w:left="20"/>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tc>
      </w:tr>
      <w:tr>
        <w:trPr>
          <w:trHeight w:val="427"/>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7540" w:type="dxa"/>
            <w:vAlign w:val="bottom"/>
            <w:gridSpan w:val="33"/>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94"/>
        </w:trPr>
        <w:tc>
          <w:tcPr>
            <w:tcW w:w="13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2.1</w:t>
            </w:r>
          </w:p>
        </w:tc>
        <w:tc>
          <w:tcPr>
            <w:tcW w:w="7540" w:type="dxa"/>
            <w:vAlign w:val="bottom"/>
            <w:gridSpan w:val="33"/>
          </w:tcPr>
          <w:p>
            <w:pPr>
              <w:spacing w:after="0" w:line="194"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Separation and Distribution Agreement, dated as of November 2, 2021, by and between International</w:t>
              </w:r>
            </w:hyperlink>
          </w:p>
        </w:tc>
      </w:tr>
      <w:tr>
        <w:trPr>
          <w:trHeight w:val="196"/>
        </w:trPr>
        <w:tc>
          <w:tcPr>
            <w:tcW w:w="1380" w:type="dxa"/>
            <w:vAlign w:val="bottom"/>
          </w:tcPr>
          <w:p>
            <w:pPr>
              <w:spacing w:after="0"/>
              <w:rPr>
                <w:sz w:val="17"/>
                <w:szCs w:val="17"/>
                <w:color w:val="auto"/>
              </w:rPr>
            </w:pPr>
          </w:p>
        </w:tc>
        <w:tc>
          <w:tcPr>
            <w:tcW w:w="728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Business Machines Corporation and the registrant was filed as Exhibit 2.1 to the registrant’s Current</w:t>
              </w:r>
            </w:hyperlink>
          </w:p>
        </w:tc>
        <w:tc>
          <w:tcPr>
            <w:tcW w:w="260" w:type="dxa"/>
            <w:vAlign w:val="bottom"/>
            <w:gridSpan w:val="10"/>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642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Report on Form 8-K filed on November 4, 2021 and is hereby incorporated by reference.</w:t>
              </w:r>
            </w:hyperlink>
          </w:p>
        </w:tc>
        <w:tc>
          <w:tcPr>
            <w:tcW w:w="800" w:type="dxa"/>
            <w:vAlign w:val="bottom"/>
            <w:tcBorders>
              <w:top w:val="single" w:sz="8" w:color="0000EE"/>
            </w:tcBorders>
            <w:gridSpan w:val="12"/>
          </w:tcPr>
          <w:p>
            <w:pPr>
              <w:spacing w:after="0"/>
              <w:rPr>
                <w:sz w:val="17"/>
                <w:szCs w:val="17"/>
                <w:color w:val="auto"/>
              </w:rPr>
            </w:pPr>
          </w:p>
        </w:tc>
        <w:tc>
          <w:tcPr>
            <w:tcW w:w="320" w:type="dxa"/>
            <w:vAlign w:val="bottom"/>
            <w:gridSpan w:val="12"/>
          </w:tcPr>
          <w:p>
            <w:pPr>
              <w:spacing w:after="0"/>
              <w:rPr>
                <w:sz w:val="17"/>
                <w:szCs w:val="17"/>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70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Amended and Restated Certificate of Incorporation of the registrant was filed as Exhibit 3.1 to the</w:t>
              </w:r>
            </w:hyperlink>
          </w:p>
        </w:tc>
        <w:tc>
          <w:tcPr>
            <w:tcW w:w="460" w:type="dxa"/>
            <w:vAlign w:val="bottom"/>
            <w:gridSpan w:val="16"/>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1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registrant’s Current Report on Form 8-K filed on November 4, 2021 and is hereby incorporated by</w:t>
              </w:r>
            </w:hyperlink>
          </w:p>
        </w:tc>
        <w:tc>
          <w:tcPr>
            <w:tcW w:w="440" w:type="dxa"/>
            <w:vAlign w:val="bottom"/>
            <w:gridSpan w:val="15"/>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540" w:type="dxa"/>
            <w:vAlign w:val="bottom"/>
            <w:gridSpan w:val="33"/>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reference.</w:t>
              </w:r>
            </w:hyperlink>
          </w:p>
        </w:tc>
      </w:tr>
      <w:tr>
        <w:trPr>
          <w:trHeight w:val="20"/>
        </w:trPr>
        <w:tc>
          <w:tcPr>
            <w:tcW w:w="13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742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Amended and Restated Bylaws of the registrant, effective January 25, 2023, was filed as Exhibit 3.1 to</w:t>
              </w:r>
            </w:hyperlink>
          </w:p>
        </w:tc>
        <w:tc>
          <w:tcPr>
            <w:tcW w:w="120" w:type="dxa"/>
            <w:vAlign w:val="bottom"/>
            <w:gridSpan w:val="5"/>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540" w:type="dxa"/>
            <w:vAlign w:val="bottom"/>
            <w:gridSpan w:val="33"/>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the registrant’s Current Report on Form 8-K filed on January 27, 2023 and is hereby incorporated by</w:t>
              </w:r>
            </w:hyperlink>
          </w:p>
        </w:tc>
      </w:tr>
      <w:tr>
        <w:trPr>
          <w:trHeight w:val="196"/>
        </w:trPr>
        <w:tc>
          <w:tcPr>
            <w:tcW w:w="1380" w:type="dxa"/>
            <w:vAlign w:val="bottom"/>
          </w:tcPr>
          <w:p>
            <w:pPr>
              <w:spacing w:after="0"/>
              <w:rPr>
                <w:sz w:val="17"/>
                <w:szCs w:val="17"/>
                <w:color w:val="auto"/>
              </w:rPr>
            </w:pPr>
          </w:p>
        </w:tc>
        <w:tc>
          <w:tcPr>
            <w:tcW w:w="724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reference.</w:t>
              </w:r>
            </w:hyperlink>
          </w:p>
        </w:tc>
        <w:tc>
          <w:tcPr>
            <w:tcW w:w="300" w:type="dxa"/>
            <w:vAlign w:val="bottom"/>
            <w:gridSpan w:val="11"/>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730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Indenture, dated as of October 15, 2021, between Kyndryl Holdings, Inc. and The Bank of New York</w:t>
              </w:r>
            </w:hyperlink>
          </w:p>
        </w:tc>
        <w:tc>
          <w:tcPr>
            <w:tcW w:w="240" w:type="dxa"/>
            <w:vAlign w:val="bottom"/>
            <w:gridSpan w:val="9"/>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30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8"/>
              </w:rPr>
            </w:pPr>
            <w:hyperlink r:id="rId128">
              <w:r>
                <w:rPr>
                  <w:rFonts w:ascii="Times New Roman" w:cs="Times New Roman" w:eastAsia="Times New Roman" w:hAnsi="Times New Roman"/>
                  <w:sz w:val="18"/>
                  <w:szCs w:val="18"/>
                  <w:color w:val="0000EE"/>
                  <w:w w:val="98"/>
                </w:rPr>
                <w:t>Mellon Trust Company, N.A., as trustee, was filed as Exhibit 4.1 to the registrant’s Current Report on</w:t>
              </w:r>
            </w:hyperlink>
          </w:p>
        </w:tc>
        <w:tc>
          <w:tcPr>
            <w:tcW w:w="240" w:type="dxa"/>
            <w:vAlign w:val="bottom"/>
            <w:gridSpan w:val="9"/>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540" w:type="dxa"/>
            <w:vAlign w:val="bottom"/>
            <w:gridSpan w:val="33"/>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Form 8-K filed on October 15, 2021 and is hereby incorporated by reference.</w:t>
              </w:r>
            </w:hyperlink>
          </w:p>
        </w:tc>
      </w:tr>
      <w:tr>
        <w:trPr>
          <w:trHeight w:val="20"/>
        </w:trPr>
        <w:tc>
          <w:tcPr>
            <w:tcW w:w="13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730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First Supplemental Indenture, dated as of October 15, 2021, between Kyndryl Holdings, Inc. and The</w:t>
              </w:r>
            </w:hyperlink>
          </w:p>
        </w:tc>
        <w:tc>
          <w:tcPr>
            <w:tcW w:w="240" w:type="dxa"/>
            <w:vAlign w:val="bottom"/>
            <w:gridSpan w:val="9"/>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540" w:type="dxa"/>
            <w:vAlign w:val="bottom"/>
            <w:gridSpan w:val="33"/>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Bank of New York Mellon Trust Company, N.A., as trustee, was filed as Exhibit 4.2 to the registrant’s</w:t>
              </w:r>
            </w:hyperlink>
          </w:p>
        </w:tc>
      </w:tr>
      <w:tr>
        <w:trPr>
          <w:trHeight w:val="196"/>
        </w:trPr>
        <w:tc>
          <w:tcPr>
            <w:tcW w:w="1380" w:type="dxa"/>
            <w:vAlign w:val="bottom"/>
          </w:tcPr>
          <w:p>
            <w:pPr>
              <w:spacing w:after="0"/>
              <w:rPr>
                <w:sz w:val="17"/>
                <w:szCs w:val="17"/>
                <w:color w:val="auto"/>
              </w:rPr>
            </w:pPr>
          </w:p>
        </w:tc>
        <w:tc>
          <w:tcPr>
            <w:tcW w:w="692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Current Report on Form 8-K filed on October 15, 2021 and is hereby incorporated by reference.</w:t>
              </w:r>
            </w:hyperlink>
          </w:p>
        </w:tc>
        <w:tc>
          <w:tcPr>
            <w:tcW w:w="440" w:type="dxa"/>
            <w:vAlign w:val="bottom"/>
            <w:tcBorders>
              <w:top w:val="single" w:sz="8" w:color="0000EE"/>
            </w:tcBorders>
            <w:gridSpan w:val="12"/>
          </w:tcPr>
          <w:p>
            <w:pPr>
              <w:spacing w:after="0"/>
              <w:rPr>
                <w:sz w:val="17"/>
                <w:szCs w:val="17"/>
                <w:color w:val="auto"/>
              </w:rPr>
            </w:pPr>
          </w:p>
        </w:tc>
        <w:tc>
          <w:tcPr>
            <w:tcW w:w="180" w:type="dxa"/>
            <w:vAlign w:val="bottom"/>
            <w:gridSpan w:val="8"/>
          </w:tcPr>
          <w:p>
            <w:pPr>
              <w:spacing w:after="0"/>
              <w:rPr>
                <w:sz w:val="17"/>
                <w:szCs w:val="17"/>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7520" w:type="dxa"/>
            <w:vAlign w:val="bottom"/>
            <w:tcBorders>
              <w:bottom w:val="single" w:sz="8" w:color="0000EE"/>
            </w:tcBorders>
            <w:gridSpan w:val="32"/>
          </w:tcPr>
          <w:p>
            <w:pPr>
              <w:spacing w:after="0" w:line="19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Second Supplemental Indenture, dated as of February 15, 2024, between Kyndryl Holdings, Inc. and the</w:t>
              </w:r>
            </w:hyperlink>
          </w:p>
        </w:tc>
        <w:tc>
          <w:tcPr>
            <w:tcW w:w="2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540" w:type="dxa"/>
            <w:vAlign w:val="bottom"/>
            <w:gridSpan w:val="33"/>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Bank of New York Mellon Trust Company, N.A., as trustee, was filed as Exhibit 4.1 to the registrant’s</w:t>
              </w:r>
            </w:hyperlink>
          </w:p>
        </w:tc>
      </w:tr>
      <w:tr>
        <w:trPr>
          <w:trHeight w:val="196"/>
        </w:trPr>
        <w:tc>
          <w:tcPr>
            <w:tcW w:w="1380" w:type="dxa"/>
            <w:vAlign w:val="bottom"/>
          </w:tcPr>
          <w:p>
            <w:pPr>
              <w:spacing w:after="0"/>
              <w:rPr>
                <w:sz w:val="17"/>
                <w:szCs w:val="17"/>
                <w:color w:val="auto"/>
              </w:rPr>
            </w:pPr>
          </w:p>
        </w:tc>
        <w:tc>
          <w:tcPr>
            <w:tcW w:w="736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Current Report on Form 8-K filed on February 20, 2024 and is hereby incorporated by reference.</w:t>
              </w:r>
            </w:hyperlink>
          </w:p>
        </w:tc>
        <w:tc>
          <w:tcPr>
            <w:tcW w:w="180" w:type="dxa"/>
            <w:vAlign w:val="bottom"/>
            <w:gridSpan w:val="8"/>
          </w:tcPr>
          <w:p>
            <w:pPr>
              <w:spacing w:after="0"/>
              <w:rPr>
                <w:sz w:val="17"/>
                <w:szCs w:val="17"/>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674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Guarantee Agreement, dated as of October 15, 2021, among International Business Machines</w:t>
              </w:r>
            </w:hyperlink>
          </w:p>
        </w:tc>
        <w:tc>
          <w:tcPr>
            <w:tcW w:w="240" w:type="dxa"/>
            <w:vAlign w:val="bottom"/>
            <w:tcBorders>
              <w:top w:val="single" w:sz="8" w:color="0000EE"/>
            </w:tcBorders>
            <w:gridSpan w:val="4"/>
          </w:tcPr>
          <w:p>
            <w:pPr>
              <w:spacing w:after="0"/>
              <w:rPr>
                <w:sz w:val="17"/>
                <w:szCs w:val="17"/>
                <w:color w:val="auto"/>
              </w:rPr>
            </w:pPr>
          </w:p>
        </w:tc>
        <w:tc>
          <w:tcPr>
            <w:tcW w:w="560" w:type="dxa"/>
            <w:vAlign w:val="bottom"/>
            <w:gridSpan w:val="19"/>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0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Corporation, Kyndryl Holdings, Inc. and the Bank of New York Mellon Trust Company, N.A., as</w:t>
              </w:r>
            </w:hyperlink>
          </w:p>
        </w:tc>
        <w:tc>
          <w:tcPr>
            <w:tcW w:w="520" w:type="dxa"/>
            <w:vAlign w:val="bottom"/>
            <w:gridSpan w:val="17"/>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44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trustee, in favor of the holders of the notes was filed as Exhibit 4.3 to the registrant’s Annual Report on</w:t>
              </w:r>
            </w:hyperlink>
          </w:p>
        </w:tc>
        <w:tc>
          <w:tcPr>
            <w:tcW w:w="100" w:type="dxa"/>
            <w:vAlign w:val="bottom"/>
            <w:gridSpan w:val="4"/>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540" w:type="dxa"/>
            <w:vAlign w:val="bottom"/>
            <w:gridSpan w:val="33"/>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Form 10-K for the year ended December 31, 2021 filed on March 10, 2022 and is hereby incorporated</w:t>
              </w:r>
            </w:hyperlink>
          </w:p>
        </w:tc>
      </w:tr>
      <w:tr>
        <w:trPr>
          <w:trHeight w:val="196"/>
        </w:trPr>
        <w:tc>
          <w:tcPr>
            <w:tcW w:w="1380" w:type="dxa"/>
            <w:vAlign w:val="bottom"/>
          </w:tcPr>
          <w:p>
            <w:pPr>
              <w:spacing w:after="0"/>
              <w:rPr>
                <w:sz w:val="17"/>
                <w:szCs w:val="17"/>
                <w:color w:val="auto"/>
              </w:rPr>
            </w:pPr>
          </w:p>
        </w:tc>
        <w:tc>
          <w:tcPr>
            <w:tcW w:w="736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by reference.</w:t>
              </w:r>
            </w:hyperlink>
          </w:p>
        </w:tc>
        <w:tc>
          <w:tcPr>
            <w:tcW w:w="180" w:type="dxa"/>
            <w:vAlign w:val="bottom"/>
            <w:gridSpan w:val="8"/>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754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the registrant’s securities registered under Section 12 of the Exchange Act (filed</w:t>
            </w:r>
          </w:p>
        </w:tc>
      </w:tr>
      <w:tr>
        <w:trPr>
          <w:trHeight w:val="196"/>
        </w:trPr>
        <w:tc>
          <w:tcPr>
            <w:tcW w:w="1380" w:type="dxa"/>
            <w:vAlign w:val="bottom"/>
          </w:tcPr>
          <w:p>
            <w:pPr>
              <w:spacing w:after="0"/>
              <w:rPr>
                <w:sz w:val="17"/>
                <w:szCs w:val="17"/>
                <w:color w:val="auto"/>
              </w:rPr>
            </w:pPr>
          </w:p>
        </w:tc>
        <w:tc>
          <w:tcPr>
            <w:tcW w:w="684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herewith).</w:t>
            </w:r>
          </w:p>
        </w:tc>
        <w:tc>
          <w:tcPr>
            <w:tcW w:w="700" w:type="dxa"/>
            <w:vAlign w:val="bottom"/>
            <w:gridSpan w:val="22"/>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7540" w:type="dxa"/>
            <w:vAlign w:val="bottom"/>
            <w:gridSpan w:val="33"/>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Term Loan Credit Agreement, dated as of October 18, 2021, by and among Kyndryl Holdings, Inc., the</w:t>
              </w:r>
            </w:hyperlink>
          </w:p>
        </w:tc>
      </w:tr>
      <w:tr>
        <w:trPr>
          <w:trHeight w:val="196"/>
        </w:trPr>
        <w:tc>
          <w:tcPr>
            <w:tcW w:w="1380" w:type="dxa"/>
            <w:vAlign w:val="bottom"/>
          </w:tcPr>
          <w:p>
            <w:pPr>
              <w:spacing w:after="0"/>
              <w:rPr>
                <w:sz w:val="17"/>
                <w:szCs w:val="17"/>
                <w:color w:val="auto"/>
              </w:rPr>
            </w:pPr>
          </w:p>
        </w:tc>
        <w:tc>
          <w:tcPr>
            <w:tcW w:w="7440" w:type="dxa"/>
            <w:vAlign w:val="bottom"/>
            <w:tcBorders>
              <w:top w:val="single" w:sz="8" w:color="0000EE"/>
            </w:tcBorders>
            <w:gridSpan w:val="29"/>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lenders party thereto and JPMorgan Chase Bank, N.A. as administrative agent, and the other financial</w:t>
              </w:r>
            </w:hyperlink>
          </w:p>
        </w:tc>
        <w:tc>
          <w:tcPr>
            <w:tcW w:w="100" w:type="dxa"/>
            <w:vAlign w:val="bottom"/>
            <w:gridSpan w:val="4"/>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760" w:type="dxa"/>
            <w:vAlign w:val="bottom"/>
            <w:gridSpan w:val="5"/>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7540" w:type="dxa"/>
            <w:vAlign w:val="bottom"/>
            <w:gridSpan w:val="33"/>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institutions party thereto, was filed as Exhibit 10.1 to the registrant’s Current Report on Form 8-K filed</w:t>
              </w:r>
            </w:hyperlink>
          </w:p>
        </w:tc>
      </w:tr>
      <w:tr>
        <w:trPr>
          <w:trHeight w:val="196"/>
        </w:trPr>
        <w:tc>
          <w:tcPr>
            <w:tcW w:w="1380" w:type="dxa"/>
            <w:vAlign w:val="bottom"/>
          </w:tcPr>
          <w:p>
            <w:pPr>
              <w:spacing w:after="0"/>
              <w:rPr>
                <w:sz w:val="17"/>
                <w:szCs w:val="17"/>
                <w:color w:val="auto"/>
              </w:rPr>
            </w:pPr>
          </w:p>
        </w:tc>
        <w:tc>
          <w:tcPr>
            <w:tcW w:w="7420" w:type="dxa"/>
            <w:vAlign w:val="bottom"/>
            <w:tcBorders>
              <w:top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on October 22, 2021 and is hereby incorporated by reference.</w:t>
              </w:r>
            </w:hyperlink>
          </w:p>
        </w:tc>
        <w:tc>
          <w:tcPr>
            <w:tcW w:w="120" w:type="dxa"/>
            <w:vAlign w:val="bottom"/>
            <w:gridSpan w:val="5"/>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748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Amendment No. 1 to Term Loan Credit Agreement dated as of June 21, 2023, among the Company, the</w:t>
              </w:r>
            </w:hyperlink>
          </w:p>
        </w:tc>
        <w:tc>
          <w:tcPr>
            <w:tcW w:w="60" w:type="dxa"/>
            <w:vAlign w:val="bottom"/>
            <w:gridSpan w:val="2"/>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30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Lenders party thereto and JPMorgan Chase Bank N.A., as Administrative Agent, was filed as Exhibit</w:t>
              </w:r>
            </w:hyperlink>
          </w:p>
        </w:tc>
        <w:tc>
          <w:tcPr>
            <w:tcW w:w="240" w:type="dxa"/>
            <w:vAlign w:val="bottom"/>
            <w:gridSpan w:val="9"/>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540" w:type="dxa"/>
            <w:vAlign w:val="bottom"/>
            <w:gridSpan w:val="33"/>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0000EE"/>
                </w:rPr>
                <w:t xml:space="preserve"> to the registrant’s Current Report on Form 8-K filed on June 23, 2023, and is hereby incorporated</w:t>
              </w:r>
            </w:hyperlink>
          </w:p>
        </w:tc>
      </w:tr>
      <w:tr>
        <w:trPr>
          <w:trHeight w:val="196"/>
        </w:trPr>
        <w:tc>
          <w:tcPr>
            <w:tcW w:w="1380" w:type="dxa"/>
            <w:vAlign w:val="bottom"/>
          </w:tcPr>
          <w:p>
            <w:pPr>
              <w:spacing w:after="0"/>
              <w:rPr>
                <w:sz w:val="17"/>
                <w:szCs w:val="17"/>
                <w:color w:val="auto"/>
              </w:rPr>
            </w:pPr>
          </w:p>
        </w:tc>
        <w:tc>
          <w:tcPr>
            <w:tcW w:w="738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by reference.</w:t>
              </w:r>
            </w:hyperlink>
          </w:p>
        </w:tc>
        <w:tc>
          <w:tcPr>
            <w:tcW w:w="160" w:type="dxa"/>
            <w:vAlign w:val="bottom"/>
            <w:gridSpan w:val="7"/>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7540" w:type="dxa"/>
            <w:vAlign w:val="bottom"/>
            <w:gridSpan w:val="33"/>
          </w:tcPr>
          <w:p>
            <w:pPr>
              <w:spacing w:after="0" w:line="196" w:lineRule="exact"/>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Five-Year Revolving Credit Agreement, dated as of October 18, 2021, by and among Kyndryl Holdings,</w:t>
              </w:r>
            </w:hyperlink>
          </w:p>
        </w:tc>
      </w:tr>
      <w:tr>
        <w:trPr>
          <w:trHeight w:val="196"/>
        </w:trPr>
        <w:tc>
          <w:tcPr>
            <w:tcW w:w="1380" w:type="dxa"/>
            <w:vAlign w:val="bottom"/>
          </w:tcPr>
          <w:p>
            <w:pPr>
              <w:spacing w:after="0"/>
              <w:rPr>
                <w:sz w:val="17"/>
                <w:szCs w:val="17"/>
                <w:color w:val="auto"/>
              </w:rPr>
            </w:pPr>
          </w:p>
        </w:tc>
        <w:tc>
          <w:tcPr>
            <w:tcW w:w="7520" w:type="dxa"/>
            <w:vAlign w:val="bottom"/>
            <w:tcBorders>
              <w:top w:val="single" w:sz="8" w:color="0000EE"/>
            </w:tcBorders>
            <w:gridSpan w:val="32"/>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Inc., the lenders party thereto and JPMorgan Chase Bank, N.A. as administrative agent, and the other</w:t>
              </w:r>
            </w:hyperlink>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1760" w:type="dxa"/>
            <w:vAlign w:val="bottom"/>
            <w:gridSpan w:val="5"/>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740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financial institutions party thereto, was filed as Exhibit 10.2 to the registrant’s Current Report on Form</w:t>
              </w:r>
            </w:hyperlink>
          </w:p>
        </w:tc>
        <w:tc>
          <w:tcPr>
            <w:tcW w:w="140" w:type="dxa"/>
            <w:vAlign w:val="bottom"/>
            <w:gridSpan w:val="6"/>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540" w:type="dxa"/>
            <w:vAlign w:val="bottom"/>
            <w:gridSpan w:val="33"/>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8-K filed on October 22, 2021 and is hereby incorporated by reference.</w:t>
              </w:r>
            </w:hyperlink>
          </w:p>
        </w:tc>
      </w:tr>
      <w:tr>
        <w:trPr>
          <w:trHeight w:val="20"/>
        </w:trPr>
        <w:tc>
          <w:tcPr>
            <w:tcW w:w="1380" w:type="dxa"/>
            <w:vAlign w:val="bottom"/>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7540" w:type="dxa"/>
            <w:vAlign w:val="bottom"/>
            <w:gridSpan w:val="33"/>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Amendment No. 1 to Five-Year Revolving Credit Agreement, dated as of June 21, 2023, among the</w:t>
              </w:r>
            </w:hyperlink>
          </w:p>
        </w:tc>
      </w:tr>
      <w:tr>
        <w:trPr>
          <w:trHeight w:val="20"/>
        </w:trPr>
        <w:tc>
          <w:tcPr>
            <w:tcW w:w="1380" w:type="dxa"/>
            <w:vAlign w:val="bottom"/>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980" w:type="dxa"/>
            <w:vAlign w:val="bottom"/>
            <w:gridSpan w:val="7"/>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72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Company, the Lenders party thereto and JPMorgan Chase Bank N.A., as Administrative Agent, was</w:t>
              </w:r>
            </w:hyperlink>
          </w:p>
        </w:tc>
        <w:tc>
          <w:tcPr>
            <w:tcW w:w="340" w:type="dxa"/>
            <w:vAlign w:val="bottom"/>
            <w:gridSpan w:val="13"/>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0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filed as Exhibit 10.1 to the registrant’s Current Report on Form 8-K filed on June 23, 2023 and is</w:t>
              </w:r>
            </w:hyperlink>
          </w:p>
        </w:tc>
        <w:tc>
          <w:tcPr>
            <w:tcW w:w="540" w:type="dxa"/>
            <w:vAlign w:val="bottom"/>
            <w:gridSpan w:val="18"/>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24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hereby incorporated by reference.</w:t>
              </w:r>
            </w:hyperlink>
          </w:p>
        </w:tc>
        <w:tc>
          <w:tcPr>
            <w:tcW w:w="5100" w:type="dxa"/>
            <w:vAlign w:val="bottom"/>
            <w:gridSpan w:val="29"/>
          </w:tcPr>
          <w:p>
            <w:pPr>
              <w:spacing w:after="0"/>
              <w:rPr>
                <w:sz w:val="17"/>
                <w:szCs w:val="17"/>
                <w:color w:val="auto"/>
              </w:rPr>
            </w:pPr>
          </w:p>
        </w:tc>
      </w:tr>
      <w:tr>
        <w:trPr>
          <w:trHeight w:val="196"/>
        </w:trPr>
        <w:tc>
          <w:tcPr>
            <w:tcW w:w="1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68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Amended and Restated Receivables Purchase Agreement, dated as of October 28, 2021, among</w:t>
              </w:r>
            </w:hyperlink>
          </w:p>
        </w:tc>
        <w:tc>
          <w:tcPr>
            <w:tcW w:w="660" w:type="dxa"/>
            <w:vAlign w:val="bottom"/>
            <w:gridSpan w:val="21"/>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540" w:type="dxa"/>
            <w:vAlign w:val="bottom"/>
            <w:gridSpan w:val="33"/>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Kyndryl, Inc., Banco Santander S.A. and solely for the purposes of Section 13.19, Kyndryl Holdings,</w:t>
              </w:r>
            </w:hyperlink>
          </w:p>
        </w:tc>
      </w:tr>
      <w:tr>
        <w:trPr>
          <w:trHeight w:val="20"/>
        </w:trPr>
        <w:tc>
          <w:tcPr>
            <w:tcW w:w="1380" w:type="dxa"/>
            <w:vAlign w:val="bottom"/>
          </w:tcPr>
          <w:p>
            <w:pPr>
              <w:spacing w:after="0" w:line="20" w:lineRule="exact"/>
              <w:rPr>
                <w:sz w:val="1"/>
                <w:szCs w:val="1"/>
                <w:color w:val="auto"/>
              </w:rPr>
            </w:pPr>
          </w:p>
        </w:tc>
        <w:tc>
          <w:tcPr>
            <w:tcW w:w="2900" w:type="dxa"/>
            <w:vAlign w:val="bottom"/>
            <w:gridSpan w:val="5"/>
            <w:shd w:val="clear" w:color="auto" w:fill="0000EE"/>
          </w:tcPr>
          <w:p>
            <w:pPr>
              <w:spacing w:after="0" w:line="20" w:lineRule="exact"/>
              <w:rPr>
                <w:sz w:val="1"/>
                <w:szCs w:val="1"/>
                <w:color w:val="auto"/>
              </w:rPr>
            </w:pPr>
          </w:p>
        </w:tc>
        <w:tc>
          <w:tcPr>
            <w:tcW w:w="4400" w:type="dxa"/>
            <w:vAlign w:val="bottom"/>
            <w:gridSpan w:val="19"/>
            <w:shd w:val="clear" w:color="auto" w:fill="0000EE"/>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746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Inc., was filed as Exhibit 10.1 to the registrant’s current report on Form 8-K filed on November 1, 2021</w:t>
              </w:r>
            </w:hyperlink>
          </w:p>
        </w:tc>
        <w:tc>
          <w:tcPr>
            <w:tcW w:w="80" w:type="dxa"/>
            <w:vAlign w:val="bottom"/>
            <w:gridSpan w:val="3"/>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7540" w:type="dxa"/>
            <w:vAlign w:val="bottom"/>
            <w:gridSpan w:val="33"/>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and is hereby incorporated by reference.</w:t>
              </w:r>
            </w:hyperlink>
          </w:p>
        </w:tc>
      </w:tr>
      <w:tr>
        <w:trPr>
          <w:trHeight w:val="884"/>
        </w:trPr>
        <w:tc>
          <w:tcPr>
            <w:tcW w:w="1380" w:type="dxa"/>
            <w:vAlign w:val="bottom"/>
          </w:tcPr>
          <w:p>
            <w:pPr>
              <w:spacing w:after="0"/>
              <w:rPr>
                <w:sz w:val="24"/>
                <w:szCs w:val="24"/>
                <w:color w:val="auto"/>
              </w:rPr>
            </w:pPr>
          </w:p>
        </w:tc>
        <w:tc>
          <w:tcPr>
            <w:tcW w:w="2900" w:type="dxa"/>
            <w:vAlign w:val="bottom"/>
            <w:tcBorders>
              <w:top w:val="single" w:sz="8" w:color="0000EE"/>
            </w:tcBorders>
            <w:gridSpan w:val="5"/>
          </w:tcPr>
          <w:p>
            <w:pPr>
              <w:spacing w:after="0"/>
              <w:rPr>
                <w:sz w:val="24"/>
                <w:szCs w:val="24"/>
                <w:color w:val="auto"/>
              </w:rPr>
            </w:pPr>
          </w:p>
        </w:tc>
        <w:tc>
          <w:tcPr>
            <w:tcW w:w="152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109</w:t>
            </w: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1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738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First Amendment to Amended and Restated Receivables Purchase Agreement, dated as of January 26,</w:t>
              </w:r>
            </w:hyperlink>
          </w:p>
        </w:tc>
        <w:tc>
          <w:tcPr>
            <w:tcW w:w="140" w:type="dxa"/>
            <w:vAlign w:val="bottom"/>
            <w:gridSpan w:val="6"/>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20" w:type="dxa"/>
            <w:vAlign w:val="bottom"/>
            <w:gridSpan w:val="34"/>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2022, among Kyndryl, Inc., Kyndryl Holdings, Inc. and Banco Santander S.A. was filed as Exhibit 10.4</w:t>
              </w:r>
            </w:hyperlink>
          </w:p>
        </w:tc>
      </w:tr>
      <w:tr>
        <w:trPr>
          <w:trHeight w:val="196"/>
        </w:trPr>
        <w:tc>
          <w:tcPr>
            <w:tcW w:w="1360" w:type="dxa"/>
            <w:vAlign w:val="bottom"/>
          </w:tcPr>
          <w:p>
            <w:pPr>
              <w:spacing w:after="0"/>
              <w:rPr>
                <w:sz w:val="17"/>
                <w:szCs w:val="17"/>
                <w:color w:val="auto"/>
              </w:rPr>
            </w:pPr>
          </w:p>
        </w:tc>
        <w:tc>
          <w:tcPr>
            <w:tcW w:w="7380" w:type="dxa"/>
            <w:vAlign w:val="bottom"/>
            <w:tcBorders>
              <w:top w:val="single" w:sz="8" w:color="0000EE"/>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to the registrant’s Annual Report on Form 10-K for the year ended December 31, 2021 filed on March</w:t>
              </w:r>
            </w:hyperlink>
          </w:p>
        </w:tc>
        <w:tc>
          <w:tcPr>
            <w:tcW w:w="100" w:type="dxa"/>
            <w:vAlign w:val="bottom"/>
            <w:tcBorders>
              <w:top w:val="single" w:sz="8" w:color="0000EE"/>
            </w:tcBorders>
            <w:gridSpan w:val="4"/>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35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10, 2022 and is hereby incorporated by reference.</w:t>
              </w:r>
            </w:hyperlink>
          </w:p>
        </w:tc>
        <w:tc>
          <w:tcPr>
            <w:tcW w:w="3940" w:type="dxa"/>
            <w:vAlign w:val="bottom"/>
            <w:gridSpan w:val="29"/>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732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Second Amendment to Amended and Restated Receivable Purchase Agreement, dated September 21,</w:t>
              </w:r>
            </w:hyperlink>
          </w:p>
        </w:tc>
        <w:tc>
          <w:tcPr>
            <w:tcW w:w="200" w:type="dxa"/>
            <w:vAlign w:val="bottom"/>
            <w:gridSpan w:val="9"/>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0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2022, by and among Banco Santander S.A., Kyndryl, Inc. and Kyndryl Holdings, Inc. was filed as</w:t>
              </w:r>
            </w:hyperlink>
          </w:p>
        </w:tc>
        <w:tc>
          <w:tcPr>
            <w:tcW w:w="440" w:type="dxa"/>
            <w:vAlign w:val="bottom"/>
            <w:gridSpan w:val="19"/>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2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Exhibit 10.1 to the registrant’s Quarterly Report on Form 10-Q for the quarterly period ended December</w:t>
              </w:r>
            </w:hyperlink>
          </w:p>
        </w:tc>
      </w:tr>
      <w:tr>
        <w:trPr>
          <w:trHeight w:val="196"/>
        </w:trPr>
        <w:tc>
          <w:tcPr>
            <w:tcW w:w="1360" w:type="dxa"/>
            <w:vAlign w:val="bottom"/>
          </w:tcPr>
          <w:p>
            <w:pPr>
              <w:spacing w:after="0"/>
              <w:rPr>
                <w:sz w:val="17"/>
                <w:szCs w:val="17"/>
                <w:color w:val="auto"/>
              </w:rPr>
            </w:pPr>
          </w:p>
        </w:tc>
        <w:tc>
          <w:tcPr>
            <w:tcW w:w="54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31, 2022 filed on February 9, 2023 and is hereby incorporated by reference.</w:t>
              </w:r>
            </w:hyperlink>
          </w:p>
        </w:tc>
        <w:tc>
          <w:tcPr>
            <w:tcW w:w="2060" w:type="dxa"/>
            <w:vAlign w:val="bottom"/>
            <w:gridSpan w:val="27"/>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730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Third Amendment to Amended and Restated Receivable Purchase Agreement, dated as of December</w:t>
              </w:r>
            </w:hyperlink>
          </w:p>
        </w:tc>
        <w:tc>
          <w:tcPr>
            <w:tcW w:w="220" w:type="dxa"/>
            <w:vAlign w:val="bottom"/>
            <w:gridSpan w:val="10"/>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36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21, 2022, by and among Banco Santander S.A., Kyndryl, Inc. and Kyndryl Holdings, Inc. was filed as</w:t>
              </w:r>
            </w:hyperlink>
          </w:p>
        </w:tc>
        <w:tc>
          <w:tcPr>
            <w:tcW w:w="160" w:type="dxa"/>
            <w:vAlign w:val="bottom"/>
            <w:gridSpan w:val="7"/>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2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Exhibit 10.2 to the registrant’s Quarterly Report on Form 10-Q for the quarterly period ended December</w:t>
              </w:r>
            </w:hyperlink>
          </w:p>
        </w:tc>
      </w:tr>
      <w:tr>
        <w:trPr>
          <w:trHeight w:val="196"/>
        </w:trPr>
        <w:tc>
          <w:tcPr>
            <w:tcW w:w="1360" w:type="dxa"/>
            <w:vAlign w:val="bottom"/>
          </w:tcPr>
          <w:p>
            <w:pPr>
              <w:spacing w:after="0"/>
              <w:rPr>
                <w:sz w:val="17"/>
                <w:szCs w:val="17"/>
                <w:color w:val="auto"/>
              </w:rPr>
            </w:pPr>
          </w:p>
        </w:tc>
        <w:tc>
          <w:tcPr>
            <w:tcW w:w="54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31, 2022 filed on February 9, 2023 and is hereby incorporated by reference.</w:t>
              </w:r>
            </w:hyperlink>
          </w:p>
        </w:tc>
        <w:tc>
          <w:tcPr>
            <w:tcW w:w="2060" w:type="dxa"/>
            <w:vAlign w:val="bottom"/>
            <w:gridSpan w:val="27"/>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70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Tax Matters Agreement, dated as of November 2, 2021, between International Business Machines</w:t>
              </w:r>
            </w:hyperlink>
          </w:p>
        </w:tc>
        <w:tc>
          <w:tcPr>
            <w:tcW w:w="460" w:type="dxa"/>
            <w:vAlign w:val="bottom"/>
            <w:gridSpan w:val="20"/>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38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Corporation and Kyndryl Holdings, Inc. was filed as Exhibit 10.2 to the registrant’s Current Report on</w:t>
              </w:r>
            </w:hyperlink>
          </w:p>
        </w:tc>
        <w:tc>
          <w:tcPr>
            <w:tcW w:w="140" w:type="dxa"/>
            <w:vAlign w:val="bottom"/>
            <w:gridSpan w:val="6"/>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6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Form 8-K filed on November 4, 2021 and is hereby incorporated by reference.</w:t>
              </w:r>
            </w:hyperlink>
          </w:p>
        </w:tc>
        <w:tc>
          <w:tcPr>
            <w:tcW w:w="1860" w:type="dxa"/>
            <w:vAlign w:val="bottom"/>
            <w:gridSpan w:val="26"/>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7520" w:type="dxa"/>
            <w:vAlign w:val="bottom"/>
            <w:tcBorders>
              <w:bottom w:val="single" w:sz="8" w:color="0000EE"/>
            </w:tcBorders>
            <w:gridSpan w:val="34"/>
          </w:tcPr>
          <w:p>
            <w:pPr>
              <w:spacing w:after="0" w:line="196" w:lineRule="exact"/>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Employee Matters Agreement, dated as of November 2, 2021, between International Business Machines</w:t>
              </w:r>
            </w:hyperlink>
          </w:p>
        </w:tc>
      </w:tr>
      <w:tr>
        <w:trPr>
          <w:trHeight w:val="196"/>
        </w:trPr>
        <w:tc>
          <w:tcPr>
            <w:tcW w:w="1360" w:type="dxa"/>
            <w:vAlign w:val="bottom"/>
          </w:tcPr>
          <w:p>
            <w:pPr>
              <w:spacing w:after="0"/>
              <w:rPr>
                <w:sz w:val="17"/>
                <w:szCs w:val="17"/>
                <w:color w:val="auto"/>
              </w:rPr>
            </w:pPr>
          </w:p>
        </w:tc>
        <w:tc>
          <w:tcPr>
            <w:tcW w:w="738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Corporation and Kyndryl Holdings, Inc. was filed as Exhibit 10.3 to the registrant’s Current Report on</w:t>
              </w:r>
            </w:hyperlink>
          </w:p>
        </w:tc>
        <w:tc>
          <w:tcPr>
            <w:tcW w:w="140" w:type="dxa"/>
            <w:vAlign w:val="bottom"/>
            <w:gridSpan w:val="6"/>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6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Form 8-K filed on November 4, 2021 and is hereby incorporated by reference.</w:t>
              </w:r>
            </w:hyperlink>
          </w:p>
        </w:tc>
        <w:tc>
          <w:tcPr>
            <w:tcW w:w="1860" w:type="dxa"/>
            <w:vAlign w:val="bottom"/>
            <w:gridSpan w:val="26"/>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7520" w:type="dxa"/>
            <w:vAlign w:val="bottom"/>
            <w:gridSpan w:val="34"/>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Intellectual Property Agreement, dated as of November 2, 2021, between International Business</w:t>
              </w:r>
            </w:hyperlink>
          </w:p>
        </w:tc>
      </w:tr>
      <w:tr>
        <w:trPr>
          <w:trHeight w:val="20"/>
        </w:trPr>
        <w:tc>
          <w:tcPr>
            <w:tcW w:w="13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744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Machines Corporation and Kyndryl, Inc. was filed as Exhibit 10.4 to the registrant’s Current Report on</w:t>
              </w:r>
            </w:hyperlink>
          </w:p>
        </w:tc>
        <w:tc>
          <w:tcPr>
            <w:tcW w:w="8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6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Form 8-K filed on November 4, 2021 and is hereby incorporated by reference.</w:t>
              </w:r>
            </w:hyperlink>
          </w:p>
        </w:tc>
        <w:tc>
          <w:tcPr>
            <w:tcW w:w="1860" w:type="dxa"/>
            <w:vAlign w:val="bottom"/>
            <w:gridSpan w:val="26"/>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69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Real Estate Matters Agreement, dated as of November 2, 2021, between International Business</w:t>
              </w:r>
            </w:hyperlink>
          </w:p>
        </w:tc>
        <w:tc>
          <w:tcPr>
            <w:tcW w:w="600" w:type="dxa"/>
            <w:vAlign w:val="bottom"/>
            <w:gridSpan w:val="2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36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Machines Corporation and Kyndryl Holdings, Inc. was filed as Exhibit 10.5 to the registrant’s Current</w:t>
              </w:r>
            </w:hyperlink>
          </w:p>
        </w:tc>
        <w:tc>
          <w:tcPr>
            <w:tcW w:w="160" w:type="dxa"/>
            <w:vAlign w:val="bottom"/>
            <w:gridSpan w:val="7"/>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64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Report on Form 8-K filed on November 4, 2021 and is hereby incorporated by reference.</w:t>
              </w:r>
            </w:hyperlink>
          </w:p>
        </w:tc>
        <w:tc>
          <w:tcPr>
            <w:tcW w:w="1100" w:type="dxa"/>
            <w:vAlign w:val="bottom"/>
            <w:gridSpan w:val="25"/>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7520" w:type="dxa"/>
            <w:vAlign w:val="bottom"/>
            <w:gridSpan w:val="34"/>
          </w:tcPr>
          <w:p>
            <w:pPr>
              <w:spacing w:after="0" w:line="196" w:lineRule="exact"/>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IBM International Client Relationship Agreement, dated as of November 2, 2021, between International</w:t>
              </w:r>
            </w:hyperlink>
          </w:p>
        </w:tc>
      </w:tr>
      <w:tr>
        <w:trPr>
          <w:trHeight w:val="196"/>
        </w:trPr>
        <w:tc>
          <w:tcPr>
            <w:tcW w:w="1360" w:type="dxa"/>
            <w:vAlign w:val="bottom"/>
          </w:tcPr>
          <w:p>
            <w:pPr>
              <w:spacing w:after="0"/>
              <w:rPr>
                <w:sz w:val="17"/>
                <w:szCs w:val="17"/>
                <w:color w:val="auto"/>
              </w:rPr>
            </w:pPr>
          </w:p>
        </w:tc>
        <w:tc>
          <w:tcPr>
            <w:tcW w:w="7340" w:type="dxa"/>
            <w:vAlign w:val="bottom"/>
            <w:tcBorders>
              <w:top w:val="single" w:sz="8" w:color="0000EE"/>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Business Machines Corporation and Kyndryl, Inc. was filed as Exhibit 10.6 to the registrant’s Current</w:t>
              </w:r>
            </w:hyperlink>
          </w:p>
        </w:tc>
        <w:tc>
          <w:tcPr>
            <w:tcW w:w="16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20" w:type="dxa"/>
            <w:vAlign w:val="bottom"/>
            <w:gridSpan w:val="34"/>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Report on Form 8-K filed on November 4, 2021 and is hereby incorporated by reference.*</w:t>
              </w:r>
            </w:hyperlink>
          </w:p>
        </w:tc>
      </w:tr>
      <w:tr>
        <w:trPr>
          <w:trHeight w:val="20"/>
        </w:trPr>
        <w:tc>
          <w:tcPr>
            <w:tcW w:w="13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72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Master Subcontracting Framework Agreement, dated as of November 2, 2021, between International</w:t>
              </w:r>
            </w:hyperlink>
          </w:p>
        </w:tc>
        <w:tc>
          <w:tcPr>
            <w:tcW w:w="240" w:type="dxa"/>
            <w:vAlign w:val="bottom"/>
            <w:gridSpan w:val="11"/>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34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Business Machines Corporation and Kyndryl, Inc. was filed as Exhibit 10.7 to the registrant’s Current</w:t>
              </w:r>
            </w:hyperlink>
          </w:p>
        </w:tc>
        <w:tc>
          <w:tcPr>
            <w:tcW w:w="180" w:type="dxa"/>
            <w:vAlign w:val="bottom"/>
            <w:gridSpan w:val="8"/>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20" w:type="dxa"/>
            <w:vAlign w:val="bottom"/>
            <w:gridSpan w:val="34"/>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Report on Form 8-K filed on November 4, 2021 and is hereby incorporated by reference.*</w:t>
              </w:r>
            </w:hyperlink>
          </w:p>
        </w:tc>
      </w:tr>
      <w:tr>
        <w:trPr>
          <w:trHeight w:val="20"/>
        </w:trPr>
        <w:tc>
          <w:tcPr>
            <w:tcW w:w="13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71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Amended and Restated Kyndryl 2021 Long-Term Performance Plan was filed as Exhibit 4.3 to the</w:t>
              </w:r>
            </w:hyperlink>
          </w:p>
        </w:tc>
        <w:tc>
          <w:tcPr>
            <w:tcW w:w="400" w:type="dxa"/>
            <w:vAlign w:val="bottom"/>
            <w:gridSpan w:val="17"/>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2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registrant’s Registration Statement on Form S-8 filed on July 29, 2022 and is hereby incorporated by</w:t>
              </w:r>
            </w:hyperlink>
          </w:p>
        </w:tc>
        <w:tc>
          <w:tcPr>
            <w:tcW w:w="260" w:type="dxa"/>
            <w:vAlign w:val="bottom"/>
            <w:gridSpan w:val="1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reference.†</w:t>
              </w:r>
            </w:hyperlink>
          </w:p>
        </w:tc>
        <w:tc>
          <w:tcPr>
            <w:tcW w:w="6700" w:type="dxa"/>
            <w:vAlign w:val="bottom"/>
            <w:gridSpan w:val="33"/>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742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Amended and Restated Kyndryl 2021 Long-Term Performance Plan (LTPP) was filed as Exhibit 4.3 to</w:t>
              </w:r>
            </w:hyperlink>
          </w:p>
        </w:tc>
        <w:tc>
          <w:tcPr>
            <w:tcW w:w="100" w:type="dxa"/>
            <w:vAlign w:val="bottom"/>
            <w:gridSpan w:val="4"/>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40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the Registrant’s Registration Statement on Form S-8 filed on July 31, 2023, and is hereby incorporated</w:t>
              </w:r>
            </w:hyperlink>
          </w:p>
        </w:tc>
        <w:tc>
          <w:tcPr>
            <w:tcW w:w="120" w:type="dxa"/>
            <w:vAlign w:val="bottom"/>
            <w:gridSpan w:val="5"/>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0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by reference.†</w:t>
              </w:r>
            </w:hyperlink>
          </w:p>
        </w:tc>
        <w:tc>
          <w:tcPr>
            <w:tcW w:w="6480" w:type="dxa"/>
            <w:vAlign w:val="bottom"/>
            <w:gridSpan w:val="32"/>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72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Forms of LTPP equity award agreements for (i) stock options, restricted stock, restricted stock units,</w:t>
              </w:r>
            </w:hyperlink>
          </w:p>
        </w:tc>
        <w:tc>
          <w:tcPr>
            <w:tcW w:w="280" w:type="dxa"/>
            <w:vAlign w:val="bottom"/>
            <w:gridSpan w:val="1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14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cash-settled restricted stock units and (ii) retention restricted stock unit awards was filed as Exhibit</w:t>
              </w:r>
            </w:hyperlink>
          </w:p>
        </w:tc>
        <w:tc>
          <w:tcPr>
            <w:tcW w:w="380" w:type="dxa"/>
            <w:vAlign w:val="bottom"/>
            <w:gridSpan w:val="16"/>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68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10</w:t>
              </w:r>
              <w:r>
                <w:rPr>
                  <w:rFonts w:ascii="Times New Roman" w:cs="Times New Roman" w:eastAsia="Times New Roman" w:hAnsi="Times New Roman"/>
                  <w:sz w:val="18"/>
                  <w:szCs w:val="18"/>
                  <w:color w:val="0000EE"/>
                  <w:w w:val="99"/>
                </w:rPr>
                <w:t xml:space="preserve"> to the registrant’s Current Report on Form 8-K filed on November 4, 2021 and is hereby</w:t>
              </w:r>
            </w:hyperlink>
          </w:p>
        </w:tc>
        <w:tc>
          <w:tcPr>
            <w:tcW w:w="700" w:type="dxa"/>
            <w:vAlign w:val="bottom"/>
            <w:gridSpan w:val="2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0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incorporated by reference.†</w:t>
              </w:r>
            </w:hyperlink>
          </w:p>
        </w:tc>
        <w:tc>
          <w:tcPr>
            <w:tcW w:w="5520" w:type="dxa"/>
            <w:vAlign w:val="bottom"/>
            <w:gridSpan w:val="31"/>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7520" w:type="dxa"/>
            <w:vAlign w:val="bottom"/>
            <w:gridSpan w:val="34"/>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Form of LTPP equity award agreement for performance share units was filed as Exhibit 10.11 to the</w:t>
              </w:r>
            </w:hyperlink>
          </w:p>
        </w:tc>
      </w:tr>
      <w:tr>
        <w:trPr>
          <w:trHeight w:val="196"/>
        </w:trPr>
        <w:tc>
          <w:tcPr>
            <w:tcW w:w="1360" w:type="dxa"/>
            <w:vAlign w:val="bottom"/>
          </w:tcPr>
          <w:p>
            <w:pPr>
              <w:spacing w:after="0"/>
              <w:rPr>
                <w:sz w:val="17"/>
                <w:szCs w:val="17"/>
                <w:color w:val="auto"/>
              </w:rPr>
            </w:pPr>
          </w:p>
        </w:tc>
        <w:tc>
          <w:tcPr>
            <w:tcW w:w="710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registrant’s Current Report on Form 8-K filed on November 4, 2021 and is hereby incorporated by</w:t>
              </w:r>
            </w:hyperlink>
          </w:p>
        </w:tc>
        <w:tc>
          <w:tcPr>
            <w:tcW w:w="100" w:type="dxa"/>
            <w:vAlign w:val="bottom"/>
            <w:tcBorders>
              <w:top w:val="single" w:sz="8" w:color="0000EE"/>
            </w:tcBorders>
            <w:gridSpan w:val="3"/>
          </w:tcPr>
          <w:p>
            <w:pPr>
              <w:spacing w:after="0"/>
              <w:rPr>
                <w:sz w:val="17"/>
                <w:szCs w:val="17"/>
                <w:color w:val="auto"/>
              </w:rPr>
            </w:pPr>
          </w:p>
        </w:tc>
        <w:tc>
          <w:tcPr>
            <w:tcW w:w="320" w:type="dxa"/>
            <w:vAlign w:val="bottom"/>
            <w:gridSpan w:val="15"/>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reference.†</w:t>
              </w:r>
            </w:hyperlink>
          </w:p>
        </w:tc>
        <w:tc>
          <w:tcPr>
            <w:tcW w:w="6700" w:type="dxa"/>
            <w:vAlign w:val="bottom"/>
            <w:gridSpan w:val="33"/>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70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Form of Terms and Conditions of LTPP equity award agreements was filed as Exhibit 10.12 to the</w:t>
              </w:r>
            </w:hyperlink>
          </w:p>
        </w:tc>
        <w:tc>
          <w:tcPr>
            <w:tcW w:w="440" w:type="dxa"/>
            <w:vAlign w:val="bottom"/>
            <w:gridSpan w:val="19"/>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1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registrant’s Current Report on Form 8-K filed on November 4, 2021 and is hereby incorporated by</w:t>
              </w:r>
            </w:hyperlink>
          </w:p>
        </w:tc>
        <w:tc>
          <w:tcPr>
            <w:tcW w:w="420" w:type="dxa"/>
            <w:vAlign w:val="bottom"/>
            <w:gridSpan w:val="18"/>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reference.†</w:t>
              </w:r>
            </w:hyperlink>
          </w:p>
        </w:tc>
        <w:tc>
          <w:tcPr>
            <w:tcW w:w="6700" w:type="dxa"/>
            <w:vAlign w:val="bottom"/>
            <w:gridSpan w:val="33"/>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69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Form of LTPP equity award agreement for directors was filed as Exhibit 10.25 to the registrant’s</w:t>
              </w:r>
            </w:hyperlink>
          </w:p>
        </w:tc>
        <w:tc>
          <w:tcPr>
            <w:tcW w:w="560" w:type="dxa"/>
            <w:vAlign w:val="bottom"/>
            <w:gridSpan w:val="21"/>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2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Annual Report on Form 10-K for the year ended December 31, 2021 filed on March 10, 2022 and is</w:t>
              </w:r>
            </w:hyperlink>
          </w:p>
        </w:tc>
        <w:tc>
          <w:tcPr>
            <w:tcW w:w="300" w:type="dxa"/>
            <w:vAlign w:val="bottom"/>
            <w:gridSpan w:val="14"/>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20" w:type="dxa"/>
            <w:vAlign w:val="bottom"/>
            <w:gridSpan w:val="34"/>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hereby incorporated by reference.†</w:t>
              </w:r>
            </w:hyperlink>
          </w:p>
        </w:tc>
      </w:tr>
      <w:tr>
        <w:trPr>
          <w:trHeight w:val="20"/>
        </w:trPr>
        <w:tc>
          <w:tcPr>
            <w:tcW w:w="1360" w:type="dxa"/>
            <w:vAlign w:val="bottom"/>
          </w:tcPr>
          <w:p>
            <w:pPr>
              <w:spacing w:after="0" w:line="20" w:lineRule="exact"/>
              <w:rPr>
                <w:sz w:val="1"/>
                <w:szCs w:val="1"/>
                <w:color w:val="auto"/>
              </w:rPr>
            </w:pPr>
          </w:p>
        </w:tc>
        <w:tc>
          <w:tcPr>
            <w:tcW w:w="2520" w:type="dxa"/>
            <w:vAlign w:val="bottom"/>
            <w:gridSpan w:val="4"/>
            <w:shd w:val="clear" w:color="auto" w:fill="0000EE"/>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920" w:type="dxa"/>
            <w:vAlign w:val="bottom"/>
            <w:gridSpan w:val="10"/>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220" w:type="dxa"/>
            <w:vAlign w:val="bottom"/>
            <w:gridSpan w:val="10"/>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71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Form of Terms and Conditions for LTPP equity award agreement for directors was filed as Exhibit</w:t>
              </w:r>
            </w:hyperlink>
          </w:p>
        </w:tc>
        <w:tc>
          <w:tcPr>
            <w:tcW w:w="420" w:type="dxa"/>
            <w:vAlign w:val="bottom"/>
            <w:gridSpan w:val="18"/>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30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26</w:t>
              </w:r>
              <w:r>
                <w:rPr>
                  <w:rFonts w:ascii="Times New Roman" w:cs="Times New Roman" w:eastAsia="Times New Roman" w:hAnsi="Times New Roman"/>
                  <w:sz w:val="18"/>
                  <w:szCs w:val="18"/>
                  <w:color w:val="0000EE"/>
                  <w:w w:val="99"/>
                </w:rPr>
                <w:t xml:space="preserve"> to the registrant’s Annual Report on Form 10-K for the year ended December 31, 2021 filed on</w:t>
              </w:r>
            </w:hyperlink>
          </w:p>
        </w:tc>
        <w:tc>
          <w:tcPr>
            <w:tcW w:w="220" w:type="dxa"/>
            <w:vAlign w:val="bottom"/>
            <w:gridSpan w:val="10"/>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20" w:type="dxa"/>
            <w:vAlign w:val="bottom"/>
            <w:gridSpan w:val="34"/>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March 10, 2022 and is hereby incorporated by reference.†</w:t>
              </w:r>
            </w:hyperlink>
          </w:p>
        </w:tc>
      </w:tr>
      <w:tr>
        <w:trPr>
          <w:trHeight w:val="20"/>
        </w:trPr>
        <w:tc>
          <w:tcPr>
            <w:tcW w:w="13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732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Form of LTPP equity award agreement for performance share units (Fiscal 2023) was filed as Exhibit</w:t>
              </w:r>
            </w:hyperlink>
          </w:p>
        </w:tc>
        <w:tc>
          <w:tcPr>
            <w:tcW w:w="200" w:type="dxa"/>
            <w:vAlign w:val="bottom"/>
            <w:gridSpan w:val="8"/>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26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3</w:t>
              </w:r>
              <w:r>
                <w:rPr>
                  <w:rFonts w:ascii="Times New Roman" w:cs="Times New Roman" w:eastAsia="Times New Roman" w:hAnsi="Times New Roman"/>
                  <w:sz w:val="18"/>
                  <w:szCs w:val="18"/>
                  <w:color w:val="0000EE"/>
                  <w:w w:val="99"/>
                </w:rPr>
                <w:t xml:space="preserve"> to the registrant’s Quarterly Report on Form 10-Q for the quarterly period ended September 30,</w:t>
              </w:r>
            </w:hyperlink>
          </w:p>
        </w:tc>
        <w:tc>
          <w:tcPr>
            <w:tcW w:w="260" w:type="dxa"/>
            <w:vAlign w:val="bottom"/>
            <w:gridSpan w:val="10"/>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4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2022 filed on November 4, 2022 and is hereby incorporated by reference. †</w:t>
              </w:r>
            </w:hyperlink>
          </w:p>
        </w:tc>
        <w:tc>
          <w:tcPr>
            <w:tcW w:w="2080" w:type="dxa"/>
            <w:vAlign w:val="bottom"/>
            <w:gridSpan w:val="21"/>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10.23</w:t>
            </w:r>
          </w:p>
        </w:tc>
        <w:tc>
          <w:tcPr>
            <w:tcW w:w="69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Form of LTPP equity award agreements for restricted stock units was filed as Exhibit 10.5 to the</w:t>
              </w:r>
            </w:hyperlink>
          </w:p>
        </w:tc>
        <w:tc>
          <w:tcPr>
            <w:tcW w:w="560" w:type="dxa"/>
            <w:vAlign w:val="bottom"/>
            <w:gridSpan w:val="16"/>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20" w:type="dxa"/>
            <w:vAlign w:val="bottom"/>
            <w:gridSpan w:val="31"/>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registrants Quarterly Report on Form 10-Q for the quarterly period ended September 30, 2023 filed on</w:t>
              </w:r>
            </w:hyperlink>
          </w:p>
        </w:tc>
      </w:tr>
      <w:tr>
        <w:trPr>
          <w:trHeight w:val="196"/>
        </w:trPr>
        <w:tc>
          <w:tcPr>
            <w:tcW w:w="1360" w:type="dxa"/>
            <w:vAlign w:val="bottom"/>
          </w:tcPr>
          <w:p>
            <w:pPr>
              <w:spacing w:after="0"/>
              <w:rPr>
                <w:sz w:val="17"/>
                <w:szCs w:val="17"/>
                <w:color w:val="auto"/>
              </w:rPr>
            </w:pPr>
          </w:p>
        </w:tc>
        <w:tc>
          <w:tcPr>
            <w:tcW w:w="738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November 8, 2023, and is hereby incorporated by reference.†</w:t>
              </w:r>
            </w:hyperlink>
          </w:p>
        </w:tc>
        <w:tc>
          <w:tcPr>
            <w:tcW w:w="140" w:type="dxa"/>
            <w:vAlign w:val="bottom"/>
            <w:gridSpan w:val="6"/>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10.24</w:t>
            </w:r>
          </w:p>
        </w:tc>
        <w:tc>
          <w:tcPr>
            <w:tcW w:w="7520" w:type="dxa"/>
            <w:vAlign w:val="bottom"/>
            <w:gridSpan w:val="31"/>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Form of LTPP equity award agreement for performance share units was filed as Exhibit 10.6 to the</w:t>
              </w:r>
            </w:hyperlink>
          </w:p>
        </w:tc>
      </w:tr>
      <w:tr>
        <w:trPr>
          <w:trHeight w:val="20"/>
        </w:trPr>
        <w:tc>
          <w:tcPr>
            <w:tcW w:w="13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7520" w:type="dxa"/>
            <w:vAlign w:val="bottom"/>
            <w:gridSpan w:val="31"/>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registrants Quarterly Report on Form 10-Q for the quarterly period ended September 30, 2023 filed on</w:t>
              </w:r>
            </w:hyperlink>
          </w:p>
        </w:tc>
      </w:tr>
      <w:tr>
        <w:trPr>
          <w:trHeight w:val="196"/>
        </w:trPr>
        <w:tc>
          <w:tcPr>
            <w:tcW w:w="1360" w:type="dxa"/>
            <w:vAlign w:val="bottom"/>
          </w:tcPr>
          <w:p>
            <w:pPr>
              <w:spacing w:after="0"/>
              <w:rPr>
                <w:sz w:val="17"/>
                <w:szCs w:val="17"/>
                <w:color w:val="auto"/>
              </w:rPr>
            </w:pPr>
          </w:p>
        </w:tc>
        <w:tc>
          <w:tcPr>
            <w:tcW w:w="738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November 8, 2023, and is hereby incorporated by reference.†</w:t>
              </w:r>
            </w:hyperlink>
          </w:p>
        </w:tc>
        <w:tc>
          <w:tcPr>
            <w:tcW w:w="140" w:type="dxa"/>
            <w:vAlign w:val="bottom"/>
            <w:gridSpan w:val="6"/>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10.25</w:t>
            </w:r>
          </w:p>
        </w:tc>
        <w:tc>
          <w:tcPr>
            <w:tcW w:w="746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57">
              <w:r>
                <w:rPr>
                  <w:rFonts w:ascii="Times New Roman" w:cs="Times New Roman" w:eastAsia="Times New Roman" w:hAnsi="Times New Roman"/>
                  <w:sz w:val="18"/>
                  <w:szCs w:val="18"/>
                  <w:color w:val="0000EE"/>
                  <w:w w:val="99"/>
                </w:rPr>
                <w:t>Kyndryl Excess Plan was filed as Exhibit 10.13 to the registrant’s Current Report on Form 8-K filed on</w:t>
              </w:r>
            </w:hyperlink>
          </w:p>
        </w:tc>
        <w:tc>
          <w:tcPr>
            <w:tcW w:w="6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20" w:type="dxa"/>
            <w:vAlign w:val="bottom"/>
            <w:gridSpan w:val="31"/>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November 4, 2021 and is hereby incorporated by reference.†</w:t>
              </w:r>
            </w:hyperlink>
          </w:p>
        </w:tc>
      </w:tr>
      <w:tr>
        <w:trPr>
          <w:trHeight w:val="20"/>
        </w:trPr>
        <w:tc>
          <w:tcPr>
            <w:tcW w:w="13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10.26</w:t>
            </w:r>
          </w:p>
        </w:tc>
        <w:tc>
          <w:tcPr>
            <w:tcW w:w="738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Offer Letter by and between International Business Machines Corporation and Martin Schroeter, dated</w:t>
              </w:r>
            </w:hyperlink>
          </w:p>
        </w:tc>
        <w:tc>
          <w:tcPr>
            <w:tcW w:w="140" w:type="dxa"/>
            <w:vAlign w:val="bottom"/>
            <w:gridSpan w:val="6"/>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20" w:type="dxa"/>
            <w:vAlign w:val="bottom"/>
            <w:gridSpan w:val="31"/>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January 2, 2021, the LTPP performance share unit award agreement, dated February 1, 2021, and the</w:t>
              </w:r>
            </w:hyperlink>
          </w:p>
        </w:tc>
      </w:tr>
      <w:tr>
        <w:trPr>
          <w:trHeight w:val="196"/>
        </w:trPr>
        <w:tc>
          <w:tcPr>
            <w:tcW w:w="1360" w:type="dxa"/>
            <w:vAlign w:val="bottom"/>
          </w:tcPr>
          <w:p>
            <w:pPr>
              <w:spacing w:after="0"/>
              <w:rPr>
                <w:sz w:val="17"/>
                <w:szCs w:val="17"/>
                <w:color w:val="auto"/>
              </w:rPr>
            </w:pPr>
          </w:p>
        </w:tc>
        <w:tc>
          <w:tcPr>
            <w:tcW w:w="676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related terms and conditions document, effective December 15, 2020, and the noncompetition</w:t>
              </w:r>
            </w:hyperlink>
          </w:p>
        </w:tc>
        <w:tc>
          <w:tcPr>
            <w:tcW w:w="500" w:type="dxa"/>
            <w:vAlign w:val="bottom"/>
            <w:tcBorders>
              <w:top w:val="single" w:sz="8" w:color="0000EE"/>
            </w:tcBorders>
            <w:gridSpan w:val="8"/>
          </w:tcPr>
          <w:p>
            <w:pPr>
              <w:spacing w:after="0"/>
              <w:rPr>
                <w:sz w:val="17"/>
                <w:szCs w:val="17"/>
                <w:color w:val="auto"/>
              </w:rPr>
            </w:pPr>
          </w:p>
        </w:tc>
        <w:tc>
          <w:tcPr>
            <w:tcW w:w="260" w:type="dxa"/>
            <w:vAlign w:val="bottom"/>
            <w:gridSpan w:val="10"/>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38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agreement, dated January 3, 2021, was filed as Exhibit 10.13 to the registrant’s Registration Statement</w:t>
              </w:r>
            </w:hyperlink>
          </w:p>
        </w:tc>
        <w:tc>
          <w:tcPr>
            <w:tcW w:w="140" w:type="dxa"/>
            <w:vAlign w:val="bottom"/>
            <w:gridSpan w:val="6"/>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57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on Form 10 filed on October 12, 2021 and is hereby incorporated by reference.†</w:t>
              </w:r>
            </w:hyperlink>
          </w:p>
        </w:tc>
        <w:tc>
          <w:tcPr>
            <w:tcW w:w="1740" w:type="dxa"/>
            <w:vAlign w:val="bottom"/>
            <w:gridSpan w:val="20"/>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10.27</w:t>
            </w:r>
          </w:p>
        </w:tc>
        <w:tc>
          <w:tcPr>
            <w:tcW w:w="730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Offer Letter by and between International Business Machines Corporation and David Wyshner, dated</w:t>
              </w:r>
            </w:hyperlink>
          </w:p>
        </w:tc>
        <w:tc>
          <w:tcPr>
            <w:tcW w:w="220" w:type="dxa"/>
            <w:vAlign w:val="bottom"/>
            <w:gridSpan w:val="9"/>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0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July 23, 2021, and the noncompetition agreement, dated July 25, 2021, was filed as Exhibit 10.14 to the</w:t>
              </w:r>
            </w:hyperlink>
          </w:p>
        </w:tc>
        <w:tc>
          <w:tcPr>
            <w:tcW w:w="2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20" w:type="dxa"/>
            <w:vAlign w:val="bottom"/>
            <w:gridSpan w:val="31"/>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registrant’s Registration Statement on Form 10 filed on October 12, 2021 and is hereby incorporated by</w:t>
              </w:r>
            </w:hyperlink>
          </w:p>
        </w:tc>
      </w:tr>
      <w:tr>
        <w:trPr>
          <w:trHeight w:val="196"/>
        </w:trPr>
        <w:tc>
          <w:tcPr>
            <w:tcW w:w="1360" w:type="dxa"/>
            <w:vAlign w:val="bottom"/>
          </w:tcPr>
          <w:p>
            <w:pPr>
              <w:spacing w:after="0"/>
              <w:rPr>
                <w:sz w:val="17"/>
                <w:szCs w:val="17"/>
                <w:color w:val="auto"/>
              </w:rPr>
            </w:pPr>
          </w:p>
        </w:tc>
        <w:tc>
          <w:tcPr>
            <w:tcW w:w="8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reference.†</w:t>
              </w:r>
            </w:hyperlink>
          </w:p>
        </w:tc>
        <w:tc>
          <w:tcPr>
            <w:tcW w:w="6640" w:type="dxa"/>
            <w:vAlign w:val="bottom"/>
            <w:tcBorders>
              <w:top w:val="single" w:sz="8" w:color="0000EE"/>
            </w:tcBorders>
            <w:gridSpan w:val="27"/>
          </w:tcPr>
          <w:p>
            <w:pPr>
              <w:spacing w:after="0"/>
              <w:rPr>
                <w:sz w:val="17"/>
                <w:szCs w:val="17"/>
                <w:color w:val="auto"/>
              </w:rPr>
            </w:pPr>
          </w:p>
        </w:tc>
        <w:tc>
          <w:tcPr>
            <w:tcW w:w="60" w:type="dxa"/>
            <w:vAlign w:val="bottom"/>
            <w:gridSpan w:val="3"/>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10.28</w:t>
            </w:r>
          </w:p>
        </w:tc>
        <w:tc>
          <w:tcPr>
            <w:tcW w:w="70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Offer Letter by and between International Business Machines Corporation and Elly Keinan, dated</w:t>
              </w:r>
            </w:hyperlink>
          </w:p>
        </w:tc>
        <w:tc>
          <w:tcPr>
            <w:tcW w:w="460" w:type="dxa"/>
            <w:vAlign w:val="bottom"/>
            <w:gridSpan w:val="14"/>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46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March 1, 2021, the LTPP performance share unit award agreement, dated April 1, 2021, and the related</w:t>
              </w:r>
            </w:hyperlink>
          </w:p>
        </w:tc>
        <w:tc>
          <w:tcPr>
            <w:tcW w:w="6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48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terms and conditions document, effective March 1, 2021, the Executive Sign-on Repayment Agreement</w:t>
              </w:r>
            </w:hyperlink>
          </w:p>
        </w:tc>
        <w:tc>
          <w:tcPr>
            <w:tcW w:w="40" w:type="dxa"/>
            <w:vAlign w:val="bottom"/>
            <w:gridSpan w:val="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3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and the noncompetition agreement, dated March 2, 2021, was filed as Exhibit 10.15 to the registrant’s</w:t>
              </w:r>
            </w:hyperlink>
          </w:p>
        </w:tc>
        <w:tc>
          <w:tcPr>
            <w:tcW w:w="180" w:type="dxa"/>
            <w:vAlign w:val="bottom"/>
            <w:gridSpan w:val="7"/>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20" w:type="dxa"/>
            <w:vAlign w:val="bottom"/>
            <w:gridSpan w:val="31"/>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Registration Statement on Form 10 filed on October 12, 2021 and is hereby incorporated by reference.†</w:t>
              </w:r>
            </w:hyperlink>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10.29</w:t>
            </w:r>
          </w:p>
        </w:tc>
        <w:tc>
          <w:tcPr>
            <w:tcW w:w="7220" w:type="dxa"/>
            <w:vAlign w:val="bottom"/>
            <w:tcBorders>
              <w:top w:val="single" w:sz="8" w:color="0000EE"/>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Offer Letter by and between International Business Machines Corporation and Maryjo Charbonnier,</w:t>
              </w:r>
            </w:hyperlink>
          </w:p>
        </w:tc>
        <w:tc>
          <w:tcPr>
            <w:tcW w:w="240" w:type="dxa"/>
            <w:vAlign w:val="bottom"/>
            <w:tcBorders>
              <w:top w:val="single" w:sz="8" w:color="0000EE"/>
            </w:tcBorders>
            <w:gridSpan w:val="9"/>
          </w:tcPr>
          <w:p>
            <w:pPr>
              <w:spacing w:after="0"/>
              <w:rPr>
                <w:sz w:val="17"/>
                <w:szCs w:val="17"/>
                <w:color w:val="auto"/>
              </w:rPr>
            </w:pPr>
          </w:p>
        </w:tc>
        <w:tc>
          <w:tcPr>
            <w:tcW w:w="6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44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dated May 28, 2021, the LTPP performance share unit award agreement, dated August 2, 2021, and the</w:t>
              </w:r>
            </w:hyperlink>
          </w:p>
        </w:tc>
        <w:tc>
          <w:tcPr>
            <w:tcW w:w="80" w:type="dxa"/>
            <w:vAlign w:val="bottom"/>
            <w:gridSpan w:val="4"/>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2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related terms and conditions document, effective March 1, 2021, the LTPP retention restricted stock unit</w:t>
              </w:r>
            </w:hyperlink>
          </w:p>
        </w:tc>
      </w:tr>
      <w:tr>
        <w:trPr>
          <w:trHeight w:val="196"/>
        </w:trPr>
        <w:tc>
          <w:tcPr>
            <w:tcW w:w="1360" w:type="dxa"/>
            <w:vAlign w:val="bottom"/>
          </w:tcPr>
          <w:p>
            <w:pPr>
              <w:spacing w:after="0"/>
              <w:rPr>
                <w:sz w:val="17"/>
                <w:szCs w:val="17"/>
                <w:color w:val="auto"/>
              </w:rPr>
            </w:pPr>
          </w:p>
        </w:tc>
        <w:tc>
          <w:tcPr>
            <w:tcW w:w="7520" w:type="dxa"/>
            <w:vAlign w:val="bottom"/>
            <w:gridSpan w:val="31"/>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award agreement, dated August 2, 2021, and the related terms and conditions document, effective June</w:t>
              </w:r>
            </w:hyperlink>
          </w:p>
        </w:tc>
      </w:tr>
      <w:tr>
        <w:trPr>
          <w:trHeight w:val="20"/>
        </w:trPr>
        <w:tc>
          <w:tcPr>
            <w:tcW w:w="1360" w:type="dxa"/>
            <w:vAlign w:val="bottom"/>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5"/>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752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1, 2020, the Executive Sign-on Repayment Agreement and the noncompetition agreement, dated June 1,</w:t>
              </w:r>
            </w:hyperlink>
          </w:p>
        </w:tc>
      </w:tr>
      <w:tr>
        <w:trPr>
          <w:trHeight w:val="196"/>
        </w:trPr>
        <w:tc>
          <w:tcPr>
            <w:tcW w:w="1360" w:type="dxa"/>
            <w:vAlign w:val="bottom"/>
          </w:tcPr>
          <w:p>
            <w:pPr>
              <w:spacing w:after="0"/>
              <w:rPr>
                <w:sz w:val="17"/>
                <w:szCs w:val="17"/>
                <w:color w:val="auto"/>
              </w:rPr>
            </w:pPr>
          </w:p>
        </w:tc>
        <w:tc>
          <w:tcPr>
            <w:tcW w:w="7520" w:type="dxa"/>
            <w:vAlign w:val="bottom"/>
            <w:gridSpan w:val="31"/>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2021, was filed as Exhibit 10.16 to the registrant’s Registration Statement on Form 10 filed on October</w:t>
              </w:r>
            </w:hyperlink>
          </w:p>
        </w:tc>
      </w:tr>
      <w:tr>
        <w:trPr>
          <w:trHeight w:val="196"/>
        </w:trPr>
        <w:tc>
          <w:tcPr>
            <w:tcW w:w="1360" w:type="dxa"/>
            <w:vAlign w:val="bottom"/>
          </w:tcPr>
          <w:p>
            <w:pPr>
              <w:spacing w:after="0"/>
              <w:rPr>
                <w:sz w:val="17"/>
                <w:szCs w:val="17"/>
                <w:color w:val="auto"/>
              </w:rPr>
            </w:pPr>
          </w:p>
        </w:tc>
        <w:tc>
          <w:tcPr>
            <w:tcW w:w="742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12, 2021 and is hereby incorporated by reference.†</w:t>
              </w:r>
            </w:hyperlink>
          </w:p>
        </w:tc>
        <w:tc>
          <w:tcPr>
            <w:tcW w:w="100" w:type="dxa"/>
            <w:vAlign w:val="bottom"/>
            <w:gridSpan w:val="5"/>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10.30</w:t>
            </w:r>
          </w:p>
        </w:tc>
        <w:tc>
          <w:tcPr>
            <w:tcW w:w="7520" w:type="dxa"/>
            <w:vAlign w:val="bottom"/>
            <w:gridSpan w:val="31"/>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LTPP performance share unit award agreement for Edward Sebold, dated May 3, 2021, and the related</w:t>
              </w:r>
            </w:hyperlink>
          </w:p>
        </w:tc>
      </w:tr>
      <w:tr>
        <w:trPr>
          <w:trHeight w:val="20"/>
        </w:trPr>
        <w:tc>
          <w:tcPr>
            <w:tcW w:w="1360" w:type="dxa"/>
            <w:vAlign w:val="bottom"/>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7520" w:type="dxa"/>
            <w:vAlign w:val="bottom"/>
            <w:gridSpan w:val="31"/>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terms and conditions document, effective May 1, 2021, and the noncompetition agreement, dated April</w:t>
              </w:r>
            </w:hyperlink>
          </w:p>
        </w:tc>
      </w:tr>
      <w:tr>
        <w:trPr>
          <w:trHeight w:val="196"/>
        </w:trPr>
        <w:tc>
          <w:tcPr>
            <w:tcW w:w="1360" w:type="dxa"/>
            <w:vAlign w:val="bottom"/>
          </w:tcPr>
          <w:p>
            <w:pPr>
              <w:spacing w:after="0"/>
              <w:rPr>
                <w:sz w:val="17"/>
                <w:szCs w:val="17"/>
                <w:color w:val="auto"/>
              </w:rPr>
            </w:pPr>
          </w:p>
        </w:tc>
        <w:tc>
          <w:tcPr>
            <w:tcW w:w="712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25, 2012, was filed as Exhibit 10.17 to the registrant’s Registration Statement on Form 10 filed on</w:t>
              </w:r>
            </w:hyperlink>
          </w:p>
        </w:tc>
        <w:tc>
          <w:tcPr>
            <w:tcW w:w="300" w:type="dxa"/>
            <w:vAlign w:val="bottom"/>
            <w:tcBorders>
              <w:top w:val="single" w:sz="8" w:color="0000EE"/>
            </w:tcBorders>
            <w:gridSpan w:val="8"/>
          </w:tcPr>
          <w:p>
            <w:pPr>
              <w:spacing w:after="0"/>
              <w:rPr>
                <w:sz w:val="17"/>
                <w:szCs w:val="17"/>
                <w:color w:val="auto"/>
              </w:rPr>
            </w:pPr>
          </w:p>
        </w:tc>
        <w:tc>
          <w:tcPr>
            <w:tcW w:w="100" w:type="dxa"/>
            <w:vAlign w:val="bottom"/>
            <w:gridSpan w:val="5"/>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43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62">
              <w:r>
                <w:rPr>
                  <w:rFonts w:ascii="Times New Roman" w:cs="Times New Roman" w:eastAsia="Times New Roman" w:hAnsi="Times New Roman"/>
                  <w:sz w:val="18"/>
                  <w:szCs w:val="18"/>
                  <w:color w:val="0000EE"/>
                  <w:w w:val="99"/>
                </w:rPr>
                <w:t>October 12, 2021 and is hereby incorporated by reference.†</w:t>
              </w:r>
            </w:hyperlink>
          </w:p>
        </w:tc>
        <w:tc>
          <w:tcPr>
            <w:tcW w:w="3220" w:type="dxa"/>
            <w:vAlign w:val="bottom"/>
            <w:gridSpan w:val="24"/>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10.31</w:t>
            </w:r>
          </w:p>
        </w:tc>
        <w:tc>
          <w:tcPr>
            <w:tcW w:w="72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Kyndryl Executive Severance Plan and Executive Retirement Policy was filed as Exhibit 10.2 to the</w:t>
              </w:r>
            </w:hyperlink>
          </w:p>
        </w:tc>
        <w:tc>
          <w:tcPr>
            <w:tcW w:w="280" w:type="dxa"/>
            <w:vAlign w:val="bottom"/>
            <w:gridSpan w:val="11"/>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1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registrant’s Current Report on Form 8-K filed on February 25, 2022 and is hereby incorporated by</w:t>
              </w:r>
            </w:hyperlink>
          </w:p>
        </w:tc>
        <w:tc>
          <w:tcPr>
            <w:tcW w:w="400" w:type="dxa"/>
            <w:vAlign w:val="bottom"/>
            <w:gridSpan w:val="1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8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63">
              <w:r>
                <w:rPr>
                  <w:rFonts w:ascii="Times New Roman" w:cs="Times New Roman" w:eastAsia="Times New Roman" w:hAnsi="Times New Roman"/>
                  <w:sz w:val="18"/>
                  <w:szCs w:val="18"/>
                  <w:color w:val="0000EE"/>
                  <w:w w:val="99"/>
                </w:rPr>
                <w:t>reference.†</w:t>
              </w:r>
            </w:hyperlink>
          </w:p>
        </w:tc>
        <w:tc>
          <w:tcPr>
            <w:tcW w:w="6700" w:type="dxa"/>
            <w:vAlign w:val="bottom"/>
            <w:gridSpan w:val="30"/>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10.32</w:t>
            </w:r>
          </w:p>
        </w:tc>
        <w:tc>
          <w:tcPr>
            <w:tcW w:w="72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64">
              <w:r>
                <w:rPr>
                  <w:rFonts w:ascii="Times New Roman" w:cs="Times New Roman" w:eastAsia="Times New Roman" w:hAnsi="Times New Roman"/>
                  <w:sz w:val="18"/>
                  <w:szCs w:val="18"/>
                  <w:color w:val="0000EE"/>
                  <w:w w:val="99"/>
                </w:rPr>
                <w:t>Amendment to the Kyndryl Executive Severance Plan and Executive Retirement Policy was filed as</w:t>
              </w:r>
            </w:hyperlink>
          </w:p>
        </w:tc>
        <w:tc>
          <w:tcPr>
            <w:tcW w:w="300" w:type="dxa"/>
            <w:vAlign w:val="bottom"/>
            <w:gridSpan w:val="1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0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64">
              <w:r>
                <w:rPr>
                  <w:rFonts w:ascii="Times New Roman" w:cs="Times New Roman" w:eastAsia="Times New Roman" w:hAnsi="Times New Roman"/>
                  <w:sz w:val="18"/>
                  <w:szCs w:val="18"/>
                  <w:color w:val="0000EE"/>
                  <w:w w:val="99"/>
                </w:rPr>
                <w:t>Exhibit 10.2 to the registrant’s Current Report on Form 8-K filed on August 1, 2022 and is hereby</w:t>
              </w:r>
            </w:hyperlink>
          </w:p>
        </w:tc>
        <w:tc>
          <w:tcPr>
            <w:tcW w:w="460" w:type="dxa"/>
            <w:vAlign w:val="bottom"/>
            <w:gridSpan w:val="14"/>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0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64">
              <w:r>
                <w:rPr>
                  <w:rFonts w:ascii="Times New Roman" w:cs="Times New Roman" w:eastAsia="Times New Roman" w:hAnsi="Times New Roman"/>
                  <w:sz w:val="18"/>
                  <w:szCs w:val="18"/>
                  <w:color w:val="0000EE"/>
                  <w:w w:val="99"/>
                </w:rPr>
                <w:t>incorporated by reference. †</w:t>
              </w:r>
            </w:hyperlink>
          </w:p>
        </w:tc>
        <w:tc>
          <w:tcPr>
            <w:tcW w:w="5480" w:type="dxa"/>
            <w:vAlign w:val="bottom"/>
            <w:gridSpan w:val="28"/>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10.33</w:t>
            </w:r>
          </w:p>
        </w:tc>
        <w:tc>
          <w:tcPr>
            <w:tcW w:w="72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65">
              <w:r>
                <w:rPr>
                  <w:rFonts w:ascii="Times New Roman" w:cs="Times New Roman" w:eastAsia="Times New Roman" w:hAnsi="Times New Roman"/>
                  <w:sz w:val="18"/>
                  <w:szCs w:val="18"/>
                  <w:color w:val="0000EE"/>
                  <w:w w:val="99"/>
                </w:rPr>
                <w:t>Amendment to the Kyndryl Executive Severance Plan and Executive Retirement Policy was filed as</w:t>
              </w:r>
            </w:hyperlink>
          </w:p>
        </w:tc>
        <w:tc>
          <w:tcPr>
            <w:tcW w:w="300" w:type="dxa"/>
            <w:vAlign w:val="bottom"/>
            <w:gridSpan w:val="1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0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65">
              <w:r>
                <w:rPr>
                  <w:rFonts w:ascii="Times New Roman" w:cs="Times New Roman" w:eastAsia="Times New Roman" w:hAnsi="Times New Roman"/>
                  <w:sz w:val="18"/>
                  <w:szCs w:val="18"/>
                  <w:color w:val="0000EE"/>
                  <w:w w:val="99"/>
                </w:rPr>
                <w:t>Exhibit 10.2 to the Registrant’s Current Report on Form 8-K filed on July 31, 2023, and is hereby</w:t>
              </w:r>
            </w:hyperlink>
          </w:p>
        </w:tc>
        <w:tc>
          <w:tcPr>
            <w:tcW w:w="480" w:type="dxa"/>
            <w:vAlign w:val="bottom"/>
            <w:gridSpan w:val="15"/>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20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65">
              <w:r>
                <w:rPr>
                  <w:rFonts w:ascii="Times New Roman" w:cs="Times New Roman" w:eastAsia="Times New Roman" w:hAnsi="Times New Roman"/>
                  <w:sz w:val="18"/>
                  <w:szCs w:val="18"/>
                  <w:color w:val="0000EE"/>
                  <w:w w:val="99"/>
                </w:rPr>
                <w:t>incorporated by reference.†</w:t>
              </w:r>
            </w:hyperlink>
          </w:p>
        </w:tc>
        <w:tc>
          <w:tcPr>
            <w:tcW w:w="5520" w:type="dxa"/>
            <w:vAlign w:val="bottom"/>
            <w:gridSpan w:val="29"/>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10.34</w:t>
            </w:r>
          </w:p>
        </w:tc>
        <w:tc>
          <w:tcPr>
            <w:tcW w:w="72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Amendment to the Kyndryl Executive Severance Plan and Executive Retirement Policy was filed as</w:t>
              </w:r>
            </w:hyperlink>
          </w:p>
        </w:tc>
        <w:tc>
          <w:tcPr>
            <w:tcW w:w="300" w:type="dxa"/>
            <w:vAlign w:val="bottom"/>
            <w:gridSpan w:val="1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520" w:type="dxa"/>
            <w:vAlign w:val="bottom"/>
            <w:gridSpan w:val="31"/>
          </w:tcPr>
          <w:p>
            <w:pPr>
              <w:spacing w:after="0" w:line="19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Exhibit 10.7 to the Registrant’s Quarterly Report on Form 10-Q for the quarterly period ended</w:t>
              </w:r>
            </w:hyperlink>
          </w:p>
        </w:tc>
      </w:tr>
      <w:tr>
        <w:trPr>
          <w:trHeight w:val="196"/>
        </w:trPr>
        <w:tc>
          <w:tcPr>
            <w:tcW w:w="1360" w:type="dxa"/>
            <w:vAlign w:val="bottom"/>
          </w:tcPr>
          <w:p>
            <w:pPr>
              <w:spacing w:after="0"/>
              <w:rPr>
                <w:sz w:val="17"/>
                <w:szCs w:val="17"/>
                <w:color w:val="auto"/>
              </w:rPr>
            </w:pPr>
          </w:p>
        </w:tc>
        <w:tc>
          <w:tcPr>
            <w:tcW w:w="652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September 30, 2023 filed on November 8, 2023, and is hereby incorporated by reference.†</w:t>
              </w:r>
            </w:hyperlink>
          </w:p>
        </w:tc>
        <w:tc>
          <w:tcPr>
            <w:tcW w:w="260" w:type="dxa"/>
            <w:vAlign w:val="bottom"/>
            <w:tcBorders>
              <w:top w:val="single" w:sz="8" w:color="0000EE"/>
            </w:tcBorders>
            <w:gridSpan w:val="2"/>
          </w:tcPr>
          <w:p>
            <w:pPr>
              <w:spacing w:after="0"/>
              <w:rPr>
                <w:sz w:val="17"/>
                <w:szCs w:val="17"/>
                <w:color w:val="auto"/>
              </w:rPr>
            </w:pPr>
          </w:p>
        </w:tc>
        <w:tc>
          <w:tcPr>
            <w:tcW w:w="740" w:type="dxa"/>
            <w:vAlign w:val="bottom"/>
            <w:gridSpan w:val="17"/>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10.35</w:t>
            </w:r>
          </w:p>
        </w:tc>
        <w:tc>
          <w:tcPr>
            <w:tcW w:w="7520" w:type="dxa"/>
            <w:vAlign w:val="bottom"/>
            <w:gridSpan w:val="31"/>
          </w:tcPr>
          <w:p>
            <w:pPr>
              <w:spacing w:after="0" w:line="19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Kyndryl Annual Incentive Plan for Executives was filed as Exhibit 10.1 to the registrant’s Current</w:t>
              </w:r>
            </w:hyperlink>
          </w:p>
        </w:tc>
      </w:tr>
      <w:tr>
        <w:trPr>
          <w:trHeight w:val="196"/>
        </w:trPr>
        <w:tc>
          <w:tcPr>
            <w:tcW w:w="1360" w:type="dxa"/>
            <w:vAlign w:val="bottom"/>
          </w:tcPr>
          <w:p>
            <w:pPr>
              <w:spacing w:after="0"/>
              <w:rPr>
                <w:sz w:val="17"/>
                <w:szCs w:val="17"/>
                <w:color w:val="auto"/>
              </w:rPr>
            </w:pPr>
          </w:p>
        </w:tc>
        <w:tc>
          <w:tcPr>
            <w:tcW w:w="706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Report on Form 8-K filed on February 25, 2022 and is hereby incorporated by reference. †</w:t>
              </w:r>
            </w:hyperlink>
          </w:p>
        </w:tc>
        <w:tc>
          <w:tcPr>
            <w:tcW w:w="460" w:type="dxa"/>
            <w:vAlign w:val="bottom"/>
            <w:gridSpan w:val="14"/>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476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Kyndryl Holdings, Inc. Securities Trading Policy (filed herewith).</w:t>
            </w:r>
          </w:p>
        </w:tc>
        <w:tc>
          <w:tcPr>
            <w:tcW w:w="1760" w:type="dxa"/>
            <w:vAlign w:val="bottom"/>
            <w:tcBorders>
              <w:top w:val="single" w:sz="8" w:color="0000EE"/>
            </w:tcBorders>
            <w:gridSpan w:val="3"/>
          </w:tcPr>
          <w:p>
            <w:pPr>
              <w:spacing w:after="0"/>
              <w:rPr>
                <w:sz w:val="17"/>
                <w:szCs w:val="17"/>
                <w:color w:val="auto"/>
              </w:rPr>
            </w:pPr>
          </w:p>
        </w:tc>
        <w:tc>
          <w:tcPr>
            <w:tcW w:w="1000" w:type="dxa"/>
            <w:vAlign w:val="bottom"/>
            <w:gridSpan w:val="19"/>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75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Subsidiaries of the registrant (filed herewith).</w:t>
            </w:r>
          </w:p>
        </w:tc>
      </w:tr>
      <w:tr>
        <w:trPr>
          <w:trHeight w:val="20"/>
        </w:trPr>
        <w:tc>
          <w:tcPr>
            <w:tcW w:w="1360" w:type="dxa"/>
            <w:vAlign w:val="bottom"/>
          </w:tcPr>
          <w:p>
            <w:pPr>
              <w:spacing w:after="0" w:line="20" w:lineRule="exact"/>
              <w:rPr>
                <w:sz w:val="1"/>
                <w:szCs w:val="1"/>
                <w:color w:val="auto"/>
              </w:rPr>
            </w:pPr>
          </w:p>
        </w:tc>
        <w:tc>
          <w:tcPr>
            <w:tcW w:w="3280" w:type="dxa"/>
            <w:vAlign w:val="bottom"/>
            <w:gridSpan w:val="4"/>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320" w:type="dxa"/>
            <w:vAlign w:val="bottom"/>
            <w:gridSpan w:val="25"/>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75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Consent of PricewaterhouseCoopers LLP (filed herewith).</w:t>
            </w:r>
          </w:p>
        </w:tc>
      </w:tr>
      <w:tr>
        <w:trPr>
          <w:trHeight w:val="20"/>
        </w:trPr>
        <w:tc>
          <w:tcPr>
            <w:tcW w:w="13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25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Power of attorney (filed herewith).</w:t>
            </w:r>
          </w:p>
        </w:tc>
        <w:tc>
          <w:tcPr>
            <w:tcW w:w="5000" w:type="dxa"/>
            <w:vAlign w:val="bottom"/>
            <w:gridSpan w:val="4"/>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75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as required by Section 302 of the Sarbanes-Oxley Act of</w:t>
            </w:r>
          </w:p>
        </w:tc>
      </w:tr>
      <w:tr>
        <w:trPr>
          <w:trHeight w:val="196"/>
        </w:trPr>
        <w:tc>
          <w:tcPr>
            <w:tcW w:w="1360" w:type="dxa"/>
            <w:vAlign w:val="bottom"/>
          </w:tcPr>
          <w:p>
            <w:pPr>
              <w:spacing w:after="0"/>
              <w:rPr>
                <w:sz w:val="17"/>
                <w:szCs w:val="17"/>
                <w:color w:val="auto"/>
              </w:rPr>
            </w:pPr>
          </w:p>
        </w:tc>
        <w:tc>
          <w:tcPr>
            <w:tcW w:w="720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2002 (filed herewith).</w:t>
            </w:r>
          </w:p>
        </w:tc>
        <w:tc>
          <w:tcPr>
            <w:tcW w:w="3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75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as required by Section 302 of the Sarbanes-Oxley Act of</w:t>
            </w:r>
          </w:p>
        </w:tc>
      </w:tr>
      <w:tr>
        <w:trPr>
          <w:trHeight w:val="196"/>
        </w:trPr>
        <w:tc>
          <w:tcPr>
            <w:tcW w:w="1360" w:type="dxa"/>
            <w:vAlign w:val="bottom"/>
          </w:tcPr>
          <w:p>
            <w:pPr>
              <w:spacing w:after="0"/>
              <w:rPr>
                <w:sz w:val="17"/>
                <w:szCs w:val="17"/>
                <w:color w:val="auto"/>
              </w:rPr>
            </w:pPr>
          </w:p>
        </w:tc>
        <w:tc>
          <w:tcPr>
            <w:tcW w:w="714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2002 (filed herewith).</w:t>
            </w:r>
          </w:p>
        </w:tc>
        <w:tc>
          <w:tcPr>
            <w:tcW w:w="380" w:type="dxa"/>
            <w:vAlign w:val="bottom"/>
            <w:gridSpan w:val="2"/>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75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as required by Section 906 of the Sarbanes-Oxley Act of</w:t>
            </w:r>
          </w:p>
        </w:tc>
      </w:tr>
      <w:tr>
        <w:trPr>
          <w:trHeight w:val="196"/>
        </w:trPr>
        <w:tc>
          <w:tcPr>
            <w:tcW w:w="1360" w:type="dxa"/>
            <w:vAlign w:val="bottom"/>
          </w:tcPr>
          <w:p>
            <w:pPr>
              <w:spacing w:after="0"/>
              <w:rPr>
                <w:sz w:val="17"/>
                <w:szCs w:val="17"/>
                <w:color w:val="auto"/>
              </w:rPr>
            </w:pPr>
          </w:p>
        </w:tc>
        <w:tc>
          <w:tcPr>
            <w:tcW w:w="194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2002 (furnished herewith).</w:t>
            </w:r>
          </w:p>
        </w:tc>
        <w:tc>
          <w:tcPr>
            <w:tcW w:w="5260" w:type="dxa"/>
            <w:vAlign w:val="bottom"/>
            <w:tcBorders>
              <w:top w:val="single" w:sz="8" w:color="0000EE"/>
            </w:tcBorders>
            <w:gridSpan w:val="4"/>
          </w:tcPr>
          <w:p>
            <w:pPr>
              <w:spacing w:after="0"/>
              <w:rPr>
                <w:sz w:val="17"/>
                <w:szCs w:val="17"/>
                <w:color w:val="auto"/>
              </w:rPr>
            </w:pPr>
          </w:p>
        </w:tc>
        <w:tc>
          <w:tcPr>
            <w:tcW w:w="320" w:type="dxa"/>
            <w:vAlign w:val="bottom"/>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75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as required by Section 906 of the Sarbanes-Oxley Act of</w:t>
            </w:r>
          </w:p>
        </w:tc>
      </w:tr>
      <w:tr>
        <w:trPr>
          <w:trHeight w:val="196"/>
        </w:trPr>
        <w:tc>
          <w:tcPr>
            <w:tcW w:w="1360" w:type="dxa"/>
            <w:vAlign w:val="bottom"/>
          </w:tcPr>
          <w:p>
            <w:pPr>
              <w:spacing w:after="0"/>
              <w:rPr>
                <w:sz w:val="17"/>
                <w:szCs w:val="17"/>
                <w:color w:val="auto"/>
              </w:rPr>
            </w:pPr>
          </w:p>
        </w:tc>
        <w:tc>
          <w:tcPr>
            <w:tcW w:w="194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2002 (furnished herewith).</w:t>
            </w:r>
          </w:p>
        </w:tc>
        <w:tc>
          <w:tcPr>
            <w:tcW w:w="5200" w:type="dxa"/>
            <w:vAlign w:val="bottom"/>
            <w:tcBorders>
              <w:top w:val="single" w:sz="8" w:color="0000EE"/>
            </w:tcBorders>
            <w:gridSpan w:val="3"/>
          </w:tcPr>
          <w:p>
            <w:pPr>
              <w:spacing w:after="0"/>
              <w:rPr>
                <w:sz w:val="17"/>
                <w:szCs w:val="17"/>
                <w:color w:val="auto"/>
              </w:rPr>
            </w:pPr>
          </w:p>
        </w:tc>
        <w:tc>
          <w:tcPr>
            <w:tcW w:w="380" w:type="dxa"/>
            <w:vAlign w:val="bottom"/>
            <w:gridSpan w:val="2"/>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75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Kyndryl Financial Statement Clawback Policy (filed herewith).</w:t>
            </w:r>
          </w:p>
        </w:tc>
      </w:tr>
      <w:tr>
        <w:trPr>
          <w:trHeight w:val="20"/>
        </w:trPr>
        <w:tc>
          <w:tcPr>
            <w:tcW w:w="1360" w:type="dxa"/>
            <w:vAlign w:val="bottom"/>
          </w:tcPr>
          <w:p>
            <w:pPr>
              <w:spacing w:after="0" w:line="20" w:lineRule="exact"/>
              <w:rPr>
                <w:sz w:val="1"/>
                <w:szCs w:val="1"/>
                <w:color w:val="auto"/>
              </w:rPr>
            </w:pPr>
          </w:p>
        </w:tc>
        <w:tc>
          <w:tcPr>
            <w:tcW w:w="4560" w:type="dxa"/>
            <w:vAlign w:val="bottom"/>
            <w:gridSpan w:val="4"/>
            <w:shd w:val="clear" w:color="auto" w:fill="0000EE"/>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r>
      <w:tr>
        <w:trPr>
          <w:trHeight w:val="21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52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XBRL Instance Document – the instance document does not appear on the Interactive Data File because</w:t>
            </w:r>
          </w:p>
        </w:tc>
      </w:tr>
      <w:tr>
        <w:trPr>
          <w:trHeight w:val="216"/>
        </w:trPr>
        <w:tc>
          <w:tcPr>
            <w:tcW w:w="1360" w:type="dxa"/>
            <w:vAlign w:val="bottom"/>
          </w:tcPr>
          <w:p>
            <w:pPr>
              <w:spacing w:after="0"/>
              <w:rPr>
                <w:sz w:val="18"/>
                <w:szCs w:val="18"/>
                <w:color w:val="auto"/>
              </w:rPr>
            </w:pPr>
          </w:p>
        </w:tc>
        <w:tc>
          <w:tcPr>
            <w:tcW w:w="75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its XBRL tags are embedded within the Inline XBRL document.</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5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5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5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5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5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ind w:left="1420" w:right="139" w:hanging="1370"/>
        <w:spacing w:after="0" w:line="260" w:lineRule="auto"/>
        <w:tabs>
          <w:tab w:leader="none" w:pos="14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58420</wp:posOffset>
            </wp:positionV>
            <wp:extent cx="141414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61" w:lineRule="exact"/>
        <w:rPr>
          <w:sz w:val="20"/>
          <w:szCs w:val="20"/>
          <w:color w:val="auto"/>
        </w:rPr>
      </w:pPr>
    </w:p>
    <w:p>
      <w:pPr>
        <w:ind w:left="60" w:right="419" w:hanging="10"/>
        <w:spacing w:after="0" w:line="261" w:lineRule="auto"/>
        <w:tabs>
          <w:tab w:leader="none" w:pos="19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redacted pursuant to Item 601(b)(10)(iv) of Regulation S-K. The Company agrees to furnish supplementally an unredacted copy of the exhibit to the Commission upon its request.</w:t>
      </w: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Management contract or compensatory plan in which directors and/or executive officers are eligible to participate.</w:t>
      </w:r>
    </w:p>
    <w:p>
      <w:pPr>
        <w:spacing w:after="0" w:line="207"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the Company in these agreements or other documents were made solely within the specific context of the relevant agreement or document and do not apply in any other context or at any time other than the date they were made.</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p>
      <w:pPr>
        <w:jc w:val="center"/>
        <w:ind w:left="4540"/>
        <w:spacing w:after="0"/>
        <w:rPr>
          <w:sz w:val="20"/>
          <w:szCs w:val="20"/>
          <w:color w:val="auto"/>
        </w:rPr>
      </w:pPr>
      <w:r>
        <w:rPr>
          <w:rFonts w:ascii="Times New Roman" w:cs="Times New Roman" w:eastAsia="Times New Roman" w:hAnsi="Times New Roman"/>
          <w:sz w:val="18"/>
          <w:szCs w:val="18"/>
          <w:color w:val="auto"/>
        </w:rPr>
        <w:t>Kyndryl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17145</wp:posOffset>
            </wp:positionV>
            <wp:extent cx="276034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1">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7" w:lineRule="exact"/>
        <w:rPr>
          <w:sz w:val="20"/>
          <w:szCs w:val="20"/>
          <w:color w:val="auto"/>
        </w:rPr>
      </w:pPr>
    </w:p>
    <w:p>
      <w:pPr>
        <w:jc w:val="center"/>
        <w:ind w:left="4540"/>
        <w:spacing w:after="0"/>
        <w:rPr>
          <w:sz w:val="20"/>
          <w:szCs w:val="20"/>
          <w:color w:val="auto"/>
        </w:rPr>
      </w:pPr>
      <w:r>
        <w:rPr>
          <w:rFonts w:ascii="Times New Roman" w:cs="Times New Roman" w:eastAsia="Times New Roman" w:hAnsi="Times New Roman"/>
          <w:sz w:val="18"/>
          <w:szCs w:val="18"/>
          <w:color w:val="auto"/>
        </w:rPr>
        <w:t>(Registrant)</w:t>
      </w:r>
    </w:p>
    <w:p>
      <w:pPr>
        <w:spacing w:after="0" w:line="220" w:lineRule="exact"/>
        <w:rPr>
          <w:sz w:val="20"/>
          <w:szCs w:val="20"/>
          <w:color w:val="auto"/>
        </w:rPr>
      </w:pPr>
    </w:p>
    <w:p>
      <w:pPr>
        <w:ind w:left="6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May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17145</wp:posOffset>
            </wp:positionV>
            <wp:extent cx="23317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2">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By: /s/ Martin J. Schroeter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5715</wp:posOffset>
            </wp:positionV>
            <wp:extent cx="257175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3">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Martin J. Schroeter</w:t>
      </w:r>
    </w:p>
    <w:p>
      <w:pPr>
        <w:spacing w:after="0" w:line="2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p>
      <w:pPr>
        <w:spacing w:after="0" w:line="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7"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Martin J. Schroeter</w:t>
            </w:r>
          </w:p>
        </w:tc>
      </w:tr>
      <w:tr>
        <w:trPr>
          <w:trHeight w:val="216"/>
        </w:trPr>
        <w:tc>
          <w:tcPr>
            <w:tcW w:w="660" w:type="dxa"/>
            <w:vAlign w:val="bottom"/>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r>
      <w:tr>
        <w:trPr>
          <w:trHeight w:val="228"/>
        </w:trPr>
        <w:tc>
          <w:tcPr>
            <w:tcW w:w="660" w:type="dxa"/>
            <w:vAlign w:val="bottom"/>
          </w:tcPr>
          <w:p>
            <w:pPr>
              <w:spacing w:after="0"/>
              <w:rPr>
                <w:sz w:val="19"/>
                <w:szCs w:val="19"/>
                <w:color w:val="auto"/>
              </w:rPr>
            </w:pPr>
          </w:p>
        </w:tc>
        <w:tc>
          <w:tcPr>
            <w:tcW w:w="2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Martin J. Schroeter</w:t>
            </w:r>
          </w:p>
        </w:tc>
      </w:tr>
      <w:tr>
        <w:trPr>
          <w:trHeight w:val="29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6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David B. Wyshner</w:t>
            </w:r>
          </w:p>
        </w:tc>
      </w:tr>
      <w:tr>
        <w:trPr>
          <w:trHeight w:val="228"/>
        </w:trPr>
        <w:tc>
          <w:tcPr>
            <w:tcW w:w="660" w:type="dxa"/>
            <w:vAlign w:val="bottom"/>
          </w:tcPr>
          <w:p>
            <w:pPr>
              <w:spacing w:after="0"/>
              <w:rPr>
                <w:sz w:val="19"/>
                <w:szCs w:val="19"/>
                <w:color w:val="auto"/>
              </w:rPr>
            </w:pPr>
          </w:p>
        </w:tc>
        <w:tc>
          <w:tcPr>
            <w:tcW w:w="2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David B. Wyshner</w:t>
            </w:r>
          </w:p>
        </w:tc>
      </w:tr>
      <w:tr>
        <w:trPr>
          <w:trHeight w:val="29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6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Vineet Khurana</w:t>
            </w:r>
          </w:p>
        </w:tc>
      </w:tr>
      <w:tr>
        <w:trPr>
          <w:trHeight w:val="228"/>
        </w:trPr>
        <w:tc>
          <w:tcPr>
            <w:tcW w:w="660" w:type="dxa"/>
            <w:vAlign w:val="bottom"/>
          </w:tcPr>
          <w:p>
            <w:pPr>
              <w:spacing w:after="0"/>
              <w:rPr>
                <w:sz w:val="19"/>
                <w:szCs w:val="19"/>
                <w:color w:val="auto"/>
              </w:rPr>
            </w:pPr>
          </w:p>
        </w:tc>
        <w:tc>
          <w:tcPr>
            <w:tcW w:w="2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Vineet Khurana</w:t>
            </w:r>
          </w:p>
        </w:tc>
      </w:tr>
      <w:tr>
        <w:trPr>
          <w:trHeight w:val="29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60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60" w:type="dxa"/>
            <w:vAlign w:val="bottom"/>
          </w:tcPr>
          <w:p>
            <w:pPr>
              <w:spacing w:after="0"/>
              <w:rPr>
                <w:sz w:val="19"/>
                <w:szCs w:val="19"/>
                <w:color w:val="auto"/>
              </w:rPr>
            </w:pPr>
          </w:p>
        </w:tc>
        <w:tc>
          <w:tcPr>
            <w:tcW w:w="2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Dominic J. Caruso</w:t>
            </w:r>
          </w:p>
        </w:tc>
      </w:tr>
      <w:tr>
        <w:trPr>
          <w:trHeight w:val="29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60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60" w:type="dxa"/>
            <w:vAlign w:val="bottom"/>
          </w:tcPr>
          <w:p>
            <w:pPr>
              <w:spacing w:after="0"/>
              <w:rPr>
                <w:sz w:val="19"/>
                <w:szCs w:val="19"/>
                <w:color w:val="auto"/>
              </w:rPr>
            </w:pPr>
          </w:p>
        </w:tc>
        <w:tc>
          <w:tcPr>
            <w:tcW w:w="2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John D. Harris II</w:t>
            </w:r>
          </w:p>
        </w:tc>
      </w:tr>
      <w:tr>
        <w:trPr>
          <w:trHeight w:val="29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60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60" w:type="dxa"/>
            <w:vAlign w:val="bottom"/>
          </w:tcPr>
          <w:p>
            <w:pPr>
              <w:spacing w:after="0"/>
              <w:rPr>
                <w:sz w:val="19"/>
                <w:szCs w:val="19"/>
                <w:color w:val="auto"/>
              </w:rPr>
            </w:pPr>
          </w:p>
        </w:tc>
        <w:tc>
          <w:tcPr>
            <w:tcW w:w="2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Stephen A.M. Hester</w:t>
            </w:r>
          </w:p>
        </w:tc>
      </w:tr>
      <w:tr>
        <w:trPr>
          <w:trHeight w:val="29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60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60" w:type="dxa"/>
            <w:vAlign w:val="bottom"/>
          </w:tcPr>
          <w:p>
            <w:pPr>
              <w:spacing w:after="0"/>
              <w:rPr>
                <w:sz w:val="19"/>
                <w:szCs w:val="19"/>
                <w:color w:val="auto"/>
              </w:rPr>
            </w:pPr>
          </w:p>
        </w:tc>
        <w:tc>
          <w:tcPr>
            <w:tcW w:w="2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Shirley Ann Jackson</w:t>
            </w:r>
          </w:p>
        </w:tc>
      </w:tr>
      <w:tr>
        <w:trPr>
          <w:trHeight w:val="29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60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60" w:type="dxa"/>
            <w:vAlign w:val="bottom"/>
          </w:tcPr>
          <w:p>
            <w:pPr>
              <w:spacing w:after="0"/>
              <w:rPr>
                <w:sz w:val="19"/>
                <w:szCs w:val="19"/>
                <w:color w:val="auto"/>
              </w:rPr>
            </w:pPr>
          </w:p>
        </w:tc>
        <w:tc>
          <w:tcPr>
            <w:tcW w:w="2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Janina Kugel</w:t>
            </w:r>
          </w:p>
        </w:tc>
      </w:tr>
      <w:tr>
        <w:trPr>
          <w:trHeight w:val="29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60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60" w:type="dxa"/>
            <w:vAlign w:val="bottom"/>
          </w:tcPr>
          <w:p>
            <w:pPr>
              <w:spacing w:after="0"/>
              <w:rPr>
                <w:sz w:val="19"/>
                <w:szCs w:val="19"/>
                <w:color w:val="auto"/>
              </w:rPr>
            </w:pPr>
          </w:p>
        </w:tc>
        <w:tc>
          <w:tcPr>
            <w:tcW w:w="2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Denis Machuel</w:t>
            </w:r>
          </w:p>
        </w:tc>
      </w:tr>
      <w:tr>
        <w:trPr>
          <w:trHeight w:val="29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60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60" w:type="dxa"/>
            <w:vAlign w:val="bottom"/>
          </w:tcPr>
          <w:p>
            <w:pPr>
              <w:spacing w:after="0"/>
              <w:rPr>
                <w:sz w:val="19"/>
                <w:szCs w:val="19"/>
                <w:color w:val="auto"/>
              </w:rPr>
            </w:pPr>
          </w:p>
        </w:tc>
        <w:tc>
          <w:tcPr>
            <w:tcW w:w="2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Rahul N. Merchant</w:t>
            </w:r>
          </w:p>
        </w:tc>
      </w:tr>
      <w:tr>
        <w:trPr>
          <w:trHeight w:val="29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60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60" w:type="dxa"/>
            <w:vAlign w:val="bottom"/>
          </w:tcPr>
          <w:p>
            <w:pPr>
              <w:spacing w:after="0"/>
              <w:rPr>
                <w:sz w:val="19"/>
                <w:szCs w:val="19"/>
                <w:color w:val="auto"/>
              </w:rPr>
            </w:pPr>
          </w:p>
        </w:tc>
        <w:tc>
          <w:tcPr>
            <w:tcW w:w="2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Jana Schreuder</w:t>
            </w:r>
          </w:p>
        </w:tc>
      </w:tr>
      <w:tr>
        <w:trPr>
          <w:trHeight w:val="29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60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60" w:type="dxa"/>
            <w:vAlign w:val="bottom"/>
          </w:tcPr>
          <w:p>
            <w:pPr>
              <w:spacing w:after="0"/>
              <w:rPr>
                <w:sz w:val="19"/>
                <w:szCs w:val="19"/>
                <w:color w:val="auto"/>
              </w:rPr>
            </w:pPr>
          </w:p>
        </w:tc>
        <w:tc>
          <w:tcPr>
            <w:tcW w:w="2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Howard I. Ungerleider</w:t>
            </w:r>
          </w:p>
        </w:tc>
      </w:tr>
      <w:tr>
        <w:trPr>
          <w:trHeight w:val="29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6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Evan Barth</w:t>
            </w:r>
          </w:p>
        </w:tc>
      </w:tr>
      <w:tr>
        <w:trPr>
          <w:trHeight w:val="228"/>
        </w:trPr>
        <w:tc>
          <w:tcPr>
            <w:tcW w:w="660" w:type="dxa"/>
            <w:vAlign w:val="bottom"/>
          </w:tcPr>
          <w:p>
            <w:pPr>
              <w:spacing w:after="0"/>
              <w:rPr>
                <w:sz w:val="19"/>
                <w:szCs w:val="19"/>
                <w:color w:val="auto"/>
              </w:rPr>
            </w:pPr>
          </w:p>
        </w:tc>
        <w:tc>
          <w:tcPr>
            <w:tcW w:w="2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Evan Barth, Attorney-in-fact</w:t>
            </w:r>
          </w:p>
        </w:tc>
      </w:tr>
    </w:tbl>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3560" w:type="dxa"/>
            <w:vAlign w:val="bottom"/>
          </w:tcPr>
          <w:p>
            <w:pPr>
              <w:spacing w:after="0"/>
              <w:rPr>
                <w:sz w:val="19"/>
                <w:szCs w:val="19"/>
                <w:color w:val="auto"/>
              </w:rPr>
            </w:pPr>
          </w:p>
        </w:tc>
        <w:tc>
          <w:tcPr>
            <w:tcW w:w="138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Director, Chairman and Chief Executive</w:t>
            </w:r>
          </w:p>
        </w:tc>
        <w:tc>
          <w:tcPr>
            <w:tcW w:w="13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May 30, 2024</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1380" w:type="dxa"/>
            <w:vAlign w:val="bottom"/>
          </w:tcPr>
          <w:p>
            <w:pPr>
              <w:spacing w:after="0"/>
              <w:rPr>
                <w:sz w:val="18"/>
                <w:szCs w:val="18"/>
                <w:color w:val="auto"/>
              </w:rPr>
            </w:pPr>
          </w:p>
        </w:tc>
      </w:t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380" w:type="dxa"/>
            <w:vAlign w:val="bottom"/>
          </w:tcPr>
          <w:p>
            <w:pPr>
              <w:spacing w:after="0"/>
              <w:rPr>
                <w:sz w:val="20"/>
                <w:szCs w:val="20"/>
                <w:color w:val="auto"/>
              </w:rPr>
            </w:pPr>
          </w:p>
        </w:tc>
      </w:tr>
      <w:tr>
        <w:trPr>
          <w:trHeight w:val="30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3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May 30, 2024</w:t>
            </w:r>
          </w:p>
        </w:tc>
      </w:t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380" w:type="dxa"/>
            <w:vAlign w:val="bottom"/>
          </w:tcPr>
          <w:p>
            <w:pPr>
              <w:spacing w:after="0"/>
              <w:rPr>
                <w:sz w:val="20"/>
                <w:szCs w:val="20"/>
                <w:color w:val="auto"/>
              </w:rPr>
            </w:pPr>
          </w:p>
        </w:tc>
      </w:tr>
      <w:tr>
        <w:trPr>
          <w:trHeight w:val="30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Global Controller</w:t>
            </w:r>
          </w:p>
        </w:tc>
        <w:tc>
          <w:tcPr>
            <w:tcW w:w="13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May 30, 2024</w:t>
            </w:r>
          </w:p>
        </w:tc>
      </w:t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380" w:type="dxa"/>
            <w:vAlign w:val="bottom"/>
          </w:tcPr>
          <w:p>
            <w:pPr>
              <w:spacing w:after="0"/>
              <w:rPr>
                <w:sz w:val="20"/>
                <w:szCs w:val="20"/>
                <w:color w:val="auto"/>
              </w:rPr>
            </w:pPr>
          </w:p>
        </w:tc>
      </w:tr>
      <w:tr>
        <w:trPr>
          <w:trHeight w:val="54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3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May 30, 2024</w:t>
            </w:r>
          </w:p>
        </w:tc>
      </w:tr>
      <w:tr>
        <w:trPr>
          <w:trHeight w:val="54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3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May 30, 2024</w:t>
            </w:r>
          </w:p>
        </w:tc>
      </w:tr>
      <w:tr>
        <w:trPr>
          <w:trHeight w:val="54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3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May 30, 2024</w:t>
            </w:r>
          </w:p>
        </w:tc>
      </w:tr>
      <w:tr>
        <w:trPr>
          <w:trHeight w:val="54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3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May 30, 2024</w:t>
            </w:r>
          </w:p>
        </w:tc>
      </w:tr>
      <w:tr>
        <w:trPr>
          <w:trHeight w:val="54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3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May 30, 2024</w:t>
            </w:r>
          </w:p>
        </w:tc>
      </w:tr>
      <w:tr>
        <w:trPr>
          <w:trHeight w:val="54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3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May 30, 2024</w:t>
            </w:r>
          </w:p>
        </w:tc>
      </w:tr>
      <w:tr>
        <w:trPr>
          <w:trHeight w:val="54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3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May 30, 2024</w:t>
            </w:r>
          </w:p>
        </w:tc>
      </w:tr>
      <w:tr>
        <w:trPr>
          <w:trHeight w:val="54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3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May 30, 2024</w:t>
            </w:r>
          </w:p>
        </w:tc>
      </w:tr>
      <w:tr>
        <w:trPr>
          <w:trHeight w:val="54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3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May 30, 2024</w:t>
            </w:r>
          </w:p>
        </w:tc>
      </w:tr>
    </w:tbl>
    <w:p>
      <w:pPr>
        <w:spacing w:after="0" w:line="771" w:lineRule="exact"/>
        <w:rPr>
          <w:sz w:val="20"/>
          <w:szCs w:val="20"/>
          <w:color w:val="auto"/>
        </w:rPr>
      </w:pPr>
    </w:p>
    <w:p>
      <w:pPr>
        <w:sectPr>
          <w:pgSz w:w="11900" w:h="16838" w:orient="portrait"/>
          <w:cols w:equalWidth="0" w:num="2">
            <w:col w:w="3400" w:space="100"/>
            <w:col w:w="5519"/>
          </w:cols>
          <w:pgMar w:left="1440" w:top="5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DESCRIPTION OF SECURITIES OF KYNDRYL HOLDINGS, INC. REGISTERED PURSUANT TO SECTION 12 OF THE SECURITIES EXCHANGE ACT OF 1934</w:t>
      </w:r>
    </w:p>
    <w:p>
      <w:pPr>
        <w:spacing w:after="0" w:line="15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In this document, the “Company,” “we,” “us” and “our” refer to Kyndryl Holdings, Inc., a Delaware corporation. The following description of our common stock summarizes material provisions of our amended and restated certificate of incorporation (the “certificate of incorporation”), our amended and restated bylaws (the “bylaws”) and certain provisions of Delaware law. The description is intended as a summary, and is qualified in its entirety by reference to our amended and restated certificate of incorporation (our “certificate of incorporation”) and our amended and restated bylaws (our “bylaws”), copies of which have been filed as exhibits to this Annual Report on Form 10-K, and the applicable provisions of the General Corporation Law of the State of Delaware (the “DGCL”).</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1,000,000,000 shares of common stock, par value $0.01 per share, and 100,000,000 shares of preferred stock, par value $0.01 per share.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Holders of shares of our common stock are entitled to receive dividends when, as and if declared by our board of directors (the “Board”) at its discretion out of funds legally available for that purpose, subject to the preferential rights of any preferred stock that may be outstanding. We currently do not pay a dividend. The timing, declaration, amount and payment of future dividends will depend on our financial condition, earnings, capital requirements and debt service obligations, as well as legal requirements, regulatory constraints, industry practice and other factors that our Board deems relevant. Our Board will make all decisions regarding our payment of dividends from time to time in accordance with applicable law.</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holders of our common stock are entitled to one vote for each share held of record on all matters submitted to a vote of the stockholders.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Rights</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Subject to the preferential liquidation rights of any preferred stock that may be outstanding, upon our liquidation, dissolution or winding-up, the holders of our common stock are entitled to share ratably in our assets legally available for distribution to our stockholders.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Fully Paid</w:t>
      </w:r>
    </w:p>
    <w:p>
      <w:pPr>
        <w:spacing w:after="0" w:line="229"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issued and outstanding shares of our common stock are fully paid and non-assessable. Any additional shares of common stock that we may issue in the future will also be fully paid and non-assessable. The holders of our common stock do not have preemptive rights or preferential rights to subscribe for shares of our capital stock.</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authorizes our Board to designate and issue from time to time one or more series of preferred stock without stockholder approval. Our Board may fix and determine the preferences, limitations and relative rights of each series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603250</wp:posOffset>
            </wp:positionV>
            <wp:extent cx="629221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14" w:name="page115"/>
    <w:bookmarkEnd w:id="114"/>
    <w:p>
      <w:pPr>
        <w:ind w:left="660"/>
        <w:spacing w:after="0"/>
        <w:rPr>
          <w:sz w:val="20"/>
          <w:szCs w:val="20"/>
          <w:color w:val="auto"/>
        </w:rPr>
      </w:pPr>
      <w:r>
        <w:rPr>
          <w:rFonts w:ascii="Times New Roman" w:cs="Times New Roman" w:eastAsia="Times New Roman" w:hAnsi="Times New Roman"/>
          <w:sz w:val="18"/>
          <w:szCs w:val="18"/>
          <w:b w:val="1"/>
          <w:bCs w:val="1"/>
          <w:color w:val="auto"/>
        </w:rPr>
        <w:t>Certain Provisions of Our Certificate of Incorporation and Bylaws and Delaware Law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Bylaws</w:t>
      </w:r>
    </w:p>
    <w:p>
      <w:pPr>
        <w:spacing w:after="0" w:line="229" w:lineRule="exact"/>
        <w:rPr>
          <w:sz w:val="20"/>
          <w:szCs w:val="20"/>
          <w:color w:val="auto"/>
        </w:rPr>
      </w:pPr>
    </w:p>
    <w:p>
      <w:pPr>
        <w:ind w:right="420" w:firstLine="648"/>
        <w:spacing w:after="0" w:line="261" w:lineRule="auto"/>
        <w:rPr>
          <w:sz w:val="20"/>
          <w:szCs w:val="20"/>
          <w:color w:val="auto"/>
        </w:rPr>
      </w:pPr>
      <w:r>
        <w:rPr>
          <w:rFonts w:ascii="Times New Roman" w:cs="Times New Roman" w:eastAsia="Times New Roman" w:hAnsi="Times New Roman"/>
          <w:sz w:val="18"/>
          <w:szCs w:val="18"/>
          <w:color w:val="auto"/>
        </w:rPr>
        <w:t>Certain provisions in our certificate of incorporation and our bylaws summarized below may be deemed to have an anti-takeover effect and may delay, deter or prevent a tender offer or takeover attempt. These provisions are intended to enhance the likelihood of continuity and stability in the composition of our Board and in the policies formulated by our Board and to discourage certain types of transactions that may involve an actual or threatened change of control.</w:t>
      </w:r>
    </w:p>
    <w:p>
      <w:pPr>
        <w:spacing w:after="0" w:line="178" w:lineRule="exact"/>
        <w:rPr>
          <w:sz w:val="20"/>
          <w:szCs w:val="20"/>
          <w:color w:val="auto"/>
        </w:rPr>
      </w:pPr>
    </w:p>
    <w:p>
      <w:pPr>
        <w:ind w:left="980" w:hanging="324"/>
        <w:spacing w:after="0" w:line="252" w:lineRule="auto"/>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Classified Board. </w:t>
      </w:r>
      <w:r>
        <w:rPr>
          <w:rFonts w:ascii="Times New Roman" w:cs="Times New Roman" w:eastAsia="Times New Roman" w:hAnsi="Times New Roman"/>
          <w:sz w:val="18"/>
          <w:szCs w:val="18"/>
          <w:color w:val="auto"/>
        </w:rPr>
        <w:t>Our certificate of incorporation provides that, until the conclusion of the 2027 annual meeting, our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divided into three classes, with each class consisting, as nearly as may be possible, of one-third of the total number of directors. The directors designated as Class I directors have terms expiring at the Company’s annual meeting of stockholders in 2025. The directors designated as Class II directors have terms expiring at the Company’s annual meeting of stockholders in 2023, and the directors designated as Class III directors have terms expiring at the Company’s annual meeting of stockholders in 2024. Any director elected at the 2023 or 2024 annual meeting will belong to the class whose term expires at such annual meeting and will hold office for a three-year term until his or her successor has been duly elected and qualified or until his or her earlier resignation or removal. Beginning at the Company’s annual meeting of stockholders in 2025 and at each annual meeting thereafter, all of our directors up for election at such meeting will be elected annually and will hold office until the next annual meeting and until his or her successor has been duly elected and qualified or until his or her earlier resignation or removal. Effective as of the conclusion of the Company’s annual meeting of stockholders in 2027, our Board will therefore no longer be divided into three classes. Before our Board is declassified, it would take at least two elections of directors for any individual or group to gain control of our Board. Accordingly, while the classified Board is in effect, these provisions could discourage a third party from initiating a proxy contest, making a tender offer or otherwise attempting to control us.</w:t>
      </w:r>
    </w:p>
    <w:p>
      <w:pPr>
        <w:spacing w:after="0" w:line="195" w:lineRule="exact"/>
        <w:rPr>
          <w:rFonts w:ascii="Times New Roman" w:cs="Times New Roman" w:eastAsia="Times New Roman" w:hAnsi="Times New Roman"/>
          <w:sz w:val="18"/>
          <w:szCs w:val="18"/>
          <w:color w:val="auto"/>
        </w:rPr>
      </w:pPr>
    </w:p>
    <w:p>
      <w:pPr>
        <w:ind w:left="980" w:right="40" w:hanging="324"/>
        <w:spacing w:after="0" w:line="261" w:lineRule="auto"/>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Removal. </w:t>
      </w:r>
      <w:r>
        <w:rPr>
          <w:rFonts w:ascii="Times New Roman" w:cs="Times New Roman" w:eastAsia="Times New Roman" w:hAnsi="Times New Roman"/>
          <w:sz w:val="18"/>
          <w:szCs w:val="18"/>
          <w:color w:val="auto"/>
        </w:rPr>
        <w:t>Our certificate of incorporation provides that (i) prior to our Board being declassified as discussed above,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may remove directors only for cause and (ii) after our Board has been fully declassified, our stockholders may remove directors with or without cause. Removal will require the affirmative vote of holders of at least a majority of our voting stock.</w:t>
      </w:r>
    </w:p>
    <w:p>
      <w:pPr>
        <w:spacing w:after="0" w:line="179" w:lineRule="exact"/>
        <w:rPr>
          <w:rFonts w:ascii="Times New Roman" w:cs="Times New Roman" w:eastAsia="Times New Roman" w:hAnsi="Times New Roman"/>
          <w:sz w:val="18"/>
          <w:szCs w:val="18"/>
          <w:color w:val="auto"/>
        </w:rPr>
      </w:pPr>
    </w:p>
    <w:p>
      <w:pPr>
        <w:ind w:left="980" w:right="240" w:hanging="324"/>
        <w:spacing w:after="0" w:line="258" w:lineRule="auto"/>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Vacancies</w:t>
      </w:r>
      <w:r>
        <w:rPr>
          <w:rFonts w:ascii="Times New Roman" w:cs="Times New Roman" w:eastAsia="Times New Roman" w:hAnsi="Times New Roman"/>
          <w:sz w:val="18"/>
          <w:szCs w:val="18"/>
          <w:color w:val="auto"/>
        </w:rPr>
        <w:t>. Our bylaws provide that any vacancies created on the Board for any reason, including resulting from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the authorized number of directors or the death, resignation, disqualification or removal from office of any director, will be filled exclusively by a majority of the directors then in office, even if less than a quorum, or by the sole remaining director. Any director elected to fill a vacancy on our Board will hold office until the expiration of the term of office of the director he or she replaced or until his or her successor is duly elected and qualified.</w:t>
      </w:r>
    </w:p>
    <w:p>
      <w:pPr>
        <w:spacing w:after="0" w:line="183" w:lineRule="exact"/>
        <w:rPr>
          <w:rFonts w:ascii="Times New Roman" w:cs="Times New Roman" w:eastAsia="Times New Roman" w:hAnsi="Times New Roman"/>
          <w:sz w:val="18"/>
          <w:szCs w:val="18"/>
          <w:color w:val="auto"/>
        </w:rPr>
      </w:pPr>
    </w:p>
    <w:p>
      <w:pPr>
        <w:ind w:left="980" w:right="160" w:hanging="324"/>
        <w:spacing w:after="0" w:line="257" w:lineRule="auto"/>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Blank Check Preferred Stock</w:t>
      </w:r>
      <w:r>
        <w:rPr>
          <w:rFonts w:ascii="Times New Roman" w:cs="Times New Roman" w:eastAsia="Times New Roman" w:hAnsi="Times New Roman"/>
          <w:sz w:val="18"/>
          <w:szCs w:val="18"/>
          <w:color w:val="auto"/>
        </w:rPr>
        <w:t>. Our certificate of incorporation authorizes our Board to designate and issue, without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 vote or action by the stockholders, up to 100,000,000 shares of preferred stock from time to time in one or more series and, with respect to each such series, to fix the number of shares constituting the series and the designation of the series, the voting powers (if any) of the shares of the series, and the preferences and relative, participating, optional and other rights, if any, and any qualifications, limitations or restrictions, of the shares of such series. The ability to issue such preferred stock could discourage potential acquisition proposals and could delay or prevent a change in control.</w:t>
      </w:r>
    </w:p>
    <w:p>
      <w:pPr>
        <w:spacing w:after="0" w:line="182" w:lineRule="exact"/>
        <w:rPr>
          <w:rFonts w:ascii="Times New Roman" w:cs="Times New Roman" w:eastAsia="Times New Roman" w:hAnsi="Times New Roman"/>
          <w:sz w:val="18"/>
          <w:szCs w:val="18"/>
          <w:color w:val="auto"/>
        </w:rPr>
      </w:pPr>
    </w:p>
    <w:p>
      <w:pPr>
        <w:ind w:left="980" w:hanging="324"/>
        <w:spacing w:after="0" w:line="257" w:lineRule="auto"/>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Authorized but Unissued Common Stock. </w:t>
      </w:r>
      <w:r>
        <w:rPr>
          <w:rFonts w:ascii="Times New Roman" w:cs="Times New Roman" w:eastAsia="Times New Roman" w:hAnsi="Times New Roman"/>
          <w:sz w:val="18"/>
          <w:szCs w:val="18"/>
          <w:color w:val="auto"/>
        </w:rPr>
        <w:t>Delaware law does not require stockholder approval for any issuance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authorized shares. However, the listing requirements of the New York Stock Exchange (the “NYSE”), which would apply if and so long as our common stock remains listed on the NYSE, require stockholder approval of certain issuances equal to or exceeding 20% of the then outstanding voting power or then outstanding number of shares of common stock. Additional shares that may be used in the future may be used for a variety of corporate purposes, including future public offerings, to raise additional capital or to facilitate acquisitions. One of the effects of the existence of authorized and unissued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17" w:right="1019" w:bottom="1440" w:gutter="0" w:footer="0" w:header="0"/>
        </w:sectPr>
      </w:pPr>
    </w:p>
    <w:bookmarkStart w:id="115" w:name="page116"/>
    <w:bookmarkEnd w:id="115"/>
    <w:p>
      <w:pPr>
        <w:ind w:left="980" w:right="240"/>
        <w:spacing w:after="0" w:line="282" w:lineRule="auto"/>
        <w:rPr>
          <w:sz w:val="20"/>
          <w:szCs w:val="20"/>
          <w:color w:val="auto"/>
        </w:rPr>
      </w:pPr>
      <w:r>
        <w:rPr>
          <w:rFonts w:ascii="Times New Roman" w:cs="Times New Roman" w:eastAsia="Times New Roman" w:hAnsi="Times New Roman"/>
          <w:sz w:val="18"/>
          <w:szCs w:val="18"/>
          <w:color w:val="auto"/>
        </w:rPr>
        <w:t>stock may be to enable our Board of Directors to issue shares to persons friendly to current management, which issuance could render more difficult or discourage an attempt to obtain control of the Company.</w:t>
      </w:r>
    </w:p>
    <w:p>
      <w:pPr>
        <w:spacing w:after="0" w:line="160" w:lineRule="exact"/>
        <w:rPr>
          <w:sz w:val="20"/>
          <w:szCs w:val="20"/>
          <w:color w:val="auto"/>
        </w:rPr>
      </w:pPr>
    </w:p>
    <w:p>
      <w:pPr>
        <w:ind w:left="980" w:right="60" w:hanging="324"/>
        <w:spacing w:after="0" w:line="267" w:lineRule="auto"/>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Stockholder Action by Written Consent. </w:t>
      </w:r>
      <w:r>
        <w:rPr>
          <w:rFonts w:ascii="Times New Roman" w:cs="Times New Roman" w:eastAsia="Times New Roman" w:hAnsi="Times New Roman"/>
          <w:sz w:val="18"/>
          <w:szCs w:val="18"/>
          <w:color w:val="auto"/>
        </w:rPr>
        <w:t>Our certificate of incorporation expressly excludes the right of our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act by written consent. Stockholder action must take place at an annual meeting or at a special meeting of our stockholders.</w:t>
      </w:r>
    </w:p>
    <w:p>
      <w:pPr>
        <w:spacing w:after="0" w:line="173" w:lineRule="exact"/>
        <w:rPr>
          <w:rFonts w:ascii="Times New Roman" w:cs="Times New Roman" w:eastAsia="Times New Roman" w:hAnsi="Times New Roman"/>
          <w:sz w:val="18"/>
          <w:szCs w:val="18"/>
          <w:color w:val="auto"/>
        </w:rPr>
      </w:pPr>
    </w:p>
    <w:p>
      <w:pPr>
        <w:ind w:left="980" w:right="240" w:hanging="324"/>
        <w:spacing w:after="0" w:line="284" w:lineRule="auto"/>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Special Stockholder Meetings. </w:t>
      </w:r>
      <w:r>
        <w:rPr>
          <w:rFonts w:ascii="Times New Roman" w:cs="Times New Roman" w:eastAsia="Times New Roman" w:hAnsi="Times New Roman"/>
          <w:sz w:val="18"/>
          <w:szCs w:val="18"/>
          <w:color w:val="auto"/>
        </w:rPr>
        <w:t>Our certificate of incorporation and our bylaws provide that holders of at least 25%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shares or our Board are able to call a special meeting of stockholders.</w:t>
      </w:r>
    </w:p>
    <w:p>
      <w:pPr>
        <w:spacing w:after="0" w:line="158" w:lineRule="exact"/>
        <w:rPr>
          <w:rFonts w:ascii="Times New Roman" w:cs="Times New Roman" w:eastAsia="Times New Roman" w:hAnsi="Times New Roman"/>
          <w:sz w:val="18"/>
          <w:szCs w:val="18"/>
          <w:color w:val="auto"/>
        </w:rPr>
      </w:pPr>
    </w:p>
    <w:p>
      <w:pPr>
        <w:ind w:left="980" w:hanging="324"/>
        <w:spacing w:after="0" w:line="252" w:lineRule="auto"/>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Requirements for Advance Notification of Stockholder Nominations and Proposals. </w:t>
      </w:r>
      <w:r>
        <w:rPr>
          <w:rFonts w:ascii="Times New Roman" w:cs="Times New Roman" w:eastAsia="Times New Roman" w:hAnsi="Times New Roman"/>
          <w:sz w:val="18"/>
          <w:szCs w:val="18"/>
          <w:color w:val="auto"/>
        </w:rPr>
        <w:t>Under our bylaws, stockholders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 are able to nominate persons for election to our Board or bring other business constituting a proper matter for stockholder action only by providing proper notice to our Secretary. In the case of annual meetings, proper notice must be given, no earlier than 150 days and no later than 120 days prior to the first anniversary of the prior year’s annual meeting as first specified in the notice of meeting provided, however, that if (A) the annual meeting is advanced by more than 30 days, or delayed by more than 60 days, from the first anniversary of the prior year’s annual meeting or (B) no annual meeting was held during the prior year, the notice by the stockholder to be timely must be received (1) no earlier than 120 days before such annual meeting and (2) no later than the later of 90 days before such annual meeting and the tenth day after the earlier of the day on which the notice of such annual meeting was first made by mail or the day such annual meeting is announced by public disclosure. In the case of special meetings, proper notice must be given no earlier than the 120th day prior to the relevant meeting and no later than the later of the 90th day prior to such meeting and the 10th day after the earlier of the day on which the notice of the meeting was first made by mail or the day such special meeting is announced by public disclosure. Our bylaws also specify the requirements as to the form and content of a stockholder’s notice. These provisions may also defer, delay or discourage a potential acquirer from conducting a solicitation of proxies to elect the acquirer’s own slate of directors or otherwise attempting to influence or obtain control of the Company.</w:t>
      </w:r>
    </w:p>
    <w:p>
      <w:pPr>
        <w:spacing w:after="0" w:line="195" w:lineRule="exact"/>
        <w:rPr>
          <w:rFonts w:ascii="Times New Roman" w:cs="Times New Roman" w:eastAsia="Times New Roman" w:hAnsi="Times New Roman"/>
          <w:sz w:val="18"/>
          <w:szCs w:val="18"/>
          <w:color w:val="auto"/>
        </w:rPr>
      </w:pPr>
    </w:p>
    <w:p>
      <w:pPr>
        <w:ind w:left="980" w:right="100" w:hanging="324"/>
        <w:spacing w:after="0" w:line="267" w:lineRule="auto"/>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Proxy Access. </w:t>
      </w:r>
      <w:r>
        <w:rPr>
          <w:rFonts w:ascii="Times New Roman" w:cs="Times New Roman" w:eastAsia="Times New Roman" w:hAnsi="Times New Roman"/>
          <w:sz w:val="18"/>
          <w:szCs w:val="18"/>
          <w:color w:val="auto"/>
        </w:rPr>
        <w:t>Our bylaws allow one or more stockholders (up to 20, collectively), owning at least 3% of our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continuously for at least three years, to nominate for election to our Board and to be included in our proxy materials up to the greater of two individuals or 20% of our Board, only by sending proper notice to our Secretary.</w:t>
      </w:r>
    </w:p>
    <w:p>
      <w:pPr>
        <w:spacing w:after="0" w:line="173" w:lineRule="exact"/>
        <w:rPr>
          <w:rFonts w:ascii="Times New Roman" w:cs="Times New Roman" w:eastAsia="Times New Roman" w:hAnsi="Times New Roman"/>
          <w:sz w:val="18"/>
          <w:szCs w:val="18"/>
          <w:color w:val="auto"/>
        </w:rPr>
      </w:pPr>
    </w:p>
    <w:p>
      <w:pPr>
        <w:jc w:val="both"/>
        <w:ind w:left="980" w:right="80" w:hanging="324"/>
        <w:spacing w:after="0" w:line="267" w:lineRule="auto"/>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Cumulative Voting. </w:t>
      </w:r>
      <w:r>
        <w:rPr>
          <w:rFonts w:ascii="Times New Roman" w:cs="Times New Roman" w:eastAsia="Times New Roman" w:hAnsi="Times New Roman"/>
          <w:sz w:val="18"/>
          <w:szCs w:val="18"/>
          <w:color w:val="auto"/>
        </w:rPr>
        <w:t>The DGCL provides that stockholders are denied the right to cumulate votes in the election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unless the Company’s certificate of incorporation provides otherwise. Our certificate of incorporation does not provide for cumulative voting.</w:t>
      </w:r>
    </w:p>
    <w:p>
      <w:pPr>
        <w:spacing w:after="0" w:line="173" w:lineRule="exact"/>
        <w:rPr>
          <w:rFonts w:ascii="Times New Roman" w:cs="Times New Roman" w:eastAsia="Times New Roman" w:hAnsi="Times New Roman"/>
          <w:sz w:val="18"/>
          <w:szCs w:val="18"/>
          <w:color w:val="auto"/>
        </w:rPr>
      </w:pPr>
    </w:p>
    <w:p>
      <w:pPr>
        <w:ind w:left="980" w:right="120" w:hanging="324"/>
        <w:spacing w:after="0" w:line="258" w:lineRule="auto"/>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Amendments to Certificate of Incorporation and Bylaws. </w:t>
      </w:r>
      <w:r>
        <w:rPr>
          <w:rFonts w:ascii="Times New Roman" w:cs="Times New Roman" w:eastAsia="Times New Roman" w:hAnsi="Times New Roman"/>
          <w:sz w:val="18"/>
          <w:szCs w:val="18"/>
          <w:color w:val="auto"/>
        </w:rPr>
        <w:t>The DGCL provides that the affirmative vote of holders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of a company’s voting stock then outstanding is required to amend the Company’s certificate of incorporation unless the Company’s certificate of incorporation provides a higher threshold, and our certificate of incorporation does not provide for a higher threshold. Our certificate of incorporation provides that our bylaws may be amended by our Board or by the affirmative vote of holders of at least a majority of our voting stock.</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Delaware Takeover Statute</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are subject to Section 203 of the DGCL, which, subject to certain exceptions, prohibits a Delaware corporation from engaging in any business combination with any interested stockholder for a period of three years following the date that such stockholder became an interested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6" w:name="page117"/>
    <w:bookmarkEnd w:id="116"/>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certificate of incorporation provides, in all cases to the fullest extent permitted by law, that unless we consent in writing to the selection of an alternative forum, the Court of Chancery located within the State of Delaware will be the sole and exclusive forum for any derivative action or proceeding brought on behalf of us, any action asserting a claim of breach of a fiduciary duty owed by any director, officer, agent, employee or stockholder of the Company to us or our stockholders, any action asserting a claim arising pursuant to the DGCL or as to which the DGCL confers jurisdiction on the Court of Chancery located in the State of Delaware, any action asserting a claim governed by the internal affairs doctrine, or any action asserting a claim arising under the DGCL, our certificate of incorporation or our bylaws. However, if the Court of Chancery within the State of Delaware does not have jurisdiction, the action may be brought in the United States District Court for the District of Delaware. Additionally, our certificate of incorporation states that the foregoing provision will not apply to claims arising under the Securities Act of 1933, as amended (the “Securities Act”). Unless we consent in writing to the selection of an alternative forum, the federal district courts of the United States of America shall be the exclusive forum for the resolution of any complaint asserting a cause of action arising under the Securities Act. The exclusive forum provisions may limit a stockholder’s ability to bring a claim in a judicial forum that it finds favorable for disputes with us or any of our directors, officers or stockholders, which may discourage lawsuits with respect to such claims. Our stockholders will not be deemed to have waived our compliance with the federal securities laws and the rules and regulations thereunder as a result of our exclusive forum provisions.</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17" w:right="10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TRADING POLICY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Effective April 25, 2024</w:t>
      </w:r>
    </w:p>
    <w:p>
      <w:pPr>
        <w:spacing w:after="0" w:line="225" w:lineRule="exact"/>
        <w:rPr>
          <w:sz w:val="20"/>
          <w:szCs w:val="20"/>
          <w:color w:val="auto"/>
        </w:rPr>
      </w:pPr>
    </w:p>
    <w:p>
      <w:pPr>
        <w:ind w:left="660" w:hanging="652"/>
        <w:spacing w:after="0"/>
        <w:tabs>
          <w:tab w:leader="none" w:pos="66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purpose of this Securities Trading Policy (the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is to define the standards for the handling of nonpublic information relating to Kyndryl Holdings, Inc. and its subsidiaries (collectively,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buying and selling of securities of the Company.</w:t>
      </w:r>
    </w:p>
    <w:p>
      <w:pPr>
        <w:spacing w:after="0" w:line="17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It is important to note that this Policy is intended to protect you and the Company against claims of insider trading under the U.S. securities laws. Regulators continue to aggressively pursue civil and criminal actions in connection with insider trading.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has brought successful insider trading actions against former congressmen, software executives, IT administrators, investment bankers and consultants, as well as members of their families. The government continues to be aggressive in the criminal penalties sought for wrongdoing. Criminal charges for insider trading can result in significant prison sentences and millions of dollars in fines. In addition, directors, officers and employees of the Company who violate this Policy will be subject to disciplinary action, up to and including termination of employment for cause, whether or not your failure to comply results in a violation of law. Needless to say, a violation of law, or even an SEC investigation that does not result in prosecution, can tarnish one’s reputation and irreparably damage a career.</w:t>
      </w:r>
    </w:p>
    <w:p>
      <w:pPr>
        <w:spacing w:after="0" w:line="184" w:lineRule="exact"/>
        <w:rPr>
          <w:sz w:val="20"/>
          <w:szCs w:val="20"/>
          <w:color w:val="auto"/>
        </w:rPr>
      </w:pPr>
    </w:p>
    <w:p>
      <w:pPr>
        <w:ind w:left="660" w:hanging="652"/>
        <w:spacing w:after="0"/>
        <w:tabs>
          <w:tab w:leader="none" w:pos="66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Persons Affected and Prohibited Transactions</w:t>
      </w:r>
    </w:p>
    <w:p>
      <w:pPr>
        <w:spacing w:after="0" w:line="229"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17"/>
          <w:szCs w:val="17"/>
          <w:color w:val="auto"/>
        </w:rPr>
        <w:t>This Policy applies to all directors, officers and employees of the Company. The Company may also determine that other persons should be subject to this Policy, such as external contractors or consultants who have access to material, nonpublic information. However, the restrictions set forth in Part V (trading windows) apply only to directors and certain officers and employees who are notified from time to time by the General Counsel that they are subject to the Company’s trading windows (“</w:t>
      </w:r>
      <w:r>
        <w:rPr>
          <w:rFonts w:ascii="Times New Roman" w:cs="Times New Roman" w:eastAsia="Times New Roman" w:hAnsi="Times New Roman"/>
          <w:sz w:val="17"/>
          <w:szCs w:val="17"/>
          <w:u w:val="single" w:color="auto"/>
          <w:color w:val="auto"/>
        </w:rPr>
        <w:t>Window Persons</w:t>
      </w:r>
      <w:r>
        <w:rPr>
          <w:rFonts w:ascii="Times New Roman" w:cs="Times New Roman" w:eastAsia="Times New Roman" w:hAnsi="Times New Roman"/>
          <w:sz w:val="17"/>
          <w:szCs w:val="17"/>
          <w:color w:val="auto"/>
        </w:rPr>
        <w:t>”), and the restrictions set forth in Part VI (pre-clearance) apply only to directors and certain senior officers who are notified from time to time by the General Counsel that they are subject to the Company’s pre-clearance procedures (“</w:t>
      </w:r>
      <w:r>
        <w:rPr>
          <w:rFonts w:ascii="Times New Roman" w:cs="Times New Roman" w:eastAsia="Times New Roman" w:hAnsi="Times New Roman"/>
          <w:sz w:val="17"/>
          <w:szCs w:val="17"/>
          <w:u w:val="single" w:color="auto"/>
          <w:color w:val="auto"/>
        </w:rPr>
        <w:t>Restricted Persons</w:t>
      </w:r>
      <w:r>
        <w:rPr>
          <w:rFonts w:ascii="Times New Roman" w:cs="Times New Roman" w:eastAsia="Times New Roman" w:hAnsi="Times New Roman"/>
          <w:sz w:val="17"/>
          <w:szCs w:val="17"/>
          <w:color w:val="auto"/>
        </w:rPr>
        <w:t xml:space="preserve">”). If you are uncertain whether you are subject to the restrictions set forth in Parts V or VI, please contact Trading Compliance </w:t>
      </w:r>
      <w:r>
        <w:rPr>
          <w:rFonts w:ascii="Times New Roman" w:cs="Times New Roman" w:eastAsia="Times New Roman" w:hAnsi="Times New Roman"/>
          <w:sz w:val="17"/>
          <w:szCs w:val="17"/>
          <w:u w:val="single" w:color="auto"/>
          <w:color w:val="auto"/>
        </w:rPr>
        <w:t>(tradingcompliance@kyndryl.com)</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same restrictions described in this Policy also apply to your Family Members (as defined below), anyone living in your household, and any Family Members who do not live in your household but whose transactions in Company securities are directed by you or are subject to your influence or control (such as parents or children who consult with you before they trade in Company securities), partnerships in which you are a general partner, trusts of which you are a trustee, estates of which you are an executor and other entities that you control (collectively, the “</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Family members</w:t>
      </w:r>
      <w:r>
        <w:rPr>
          <w:rFonts w:ascii="Times New Roman" w:cs="Times New Roman" w:eastAsia="Times New Roman" w:hAnsi="Times New Roman"/>
          <w:sz w:val="18"/>
          <w:szCs w:val="18"/>
          <w:color w:val="auto"/>
        </w:rPr>
        <w:t>” include a spouse, child (including children away at college and stepchildren), grandchildren, parents, stepparents, grandparents, siblings and in-laws. You will be responsible for compliance with this Policy by your Related Parties and therefore should make them aware of the need to confer with you before they transact in Company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613410</wp:posOffset>
            </wp:positionV>
            <wp:extent cx="629221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18" w:name="page119"/>
    <w:bookmarkEnd w:id="118"/>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For purposes of this Policy, references to “</w:t>
      </w:r>
      <w:r>
        <w:rPr>
          <w:rFonts w:ascii="Times New Roman" w:cs="Times New Roman" w:eastAsia="Times New Roman" w:hAnsi="Times New Roman"/>
          <w:sz w:val="18"/>
          <w:szCs w:val="18"/>
          <w:u w:val="single" w:color="auto"/>
          <w:color w:val="auto"/>
        </w:rPr>
        <w:t>trading</w:t>
      </w:r>
      <w:r>
        <w:rPr>
          <w:rFonts w:ascii="Times New Roman" w:cs="Times New Roman" w:eastAsia="Times New Roman" w:hAnsi="Times New Roman"/>
          <w:sz w:val="18"/>
          <w:szCs w:val="18"/>
          <w:color w:val="auto"/>
        </w:rPr>
        <w:t>” or to “</w:t>
      </w:r>
      <w:r>
        <w:rPr>
          <w:rFonts w:ascii="Times New Roman" w:cs="Times New Roman" w:eastAsia="Times New Roman" w:hAnsi="Times New Roman"/>
          <w:sz w:val="18"/>
          <w:szCs w:val="18"/>
          <w:u w:val="single" w:color="auto"/>
          <w:color w:val="auto"/>
        </w:rPr>
        <w:t>transactions in securities of the Company</w:t>
      </w:r>
      <w:r>
        <w:rPr>
          <w:rFonts w:ascii="Times New Roman" w:cs="Times New Roman" w:eastAsia="Times New Roman" w:hAnsi="Times New Roman"/>
          <w:sz w:val="18"/>
          <w:szCs w:val="18"/>
          <w:color w:val="auto"/>
        </w:rPr>
        <w:t>” include purchases or sales or other transactions to acquire, transfer or dispose of Company stock, bonds, options, puts and calls, derivative securities based on securities of the Company, gifts of Company securities, loans of Company securities, pledges of Company securities, hedging transactions involving or referencing Company securities, contributions of Company securities to a trust, sales of Company stock acquired upon the exercise of stock options, broker-assisted cashless exercises of stock options, market sales to raise cash to fund the exercise of stock options and trades in Company stock made under an employee benefit plan, such as a 401(k) plan. For avoidance of doubt, trades in mutual funds, exchange-traded funds, index funds or other “broad basket” funds that own or hold Company securities as one of many investments are not subject to this Policy.</w:t>
      </w:r>
    </w:p>
    <w:p>
      <w:pPr>
        <w:spacing w:after="0" w:line="188" w:lineRule="exact"/>
        <w:rPr>
          <w:sz w:val="20"/>
          <w:szCs w:val="20"/>
          <w:color w:val="auto"/>
        </w:rPr>
      </w:pPr>
    </w:p>
    <w:p>
      <w:pPr>
        <w:ind w:left="660" w:hanging="652"/>
        <w:spacing w:after="0"/>
        <w:tabs>
          <w:tab w:leader="none" w:pos="66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Policy Statement</w:t>
      </w:r>
    </w:p>
    <w:p>
      <w:pPr>
        <w:spacing w:after="0" w:line="225" w:lineRule="exact"/>
        <w:rPr>
          <w:sz w:val="20"/>
          <w:szCs w:val="20"/>
          <w:color w:val="auto"/>
        </w:rPr>
      </w:pPr>
    </w:p>
    <w:p>
      <w:pPr>
        <w:ind w:right="3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If you possess material, nonpublic information (as further discussed below) relating to the Company, neither you nor any Related Party may:</w:t>
      </w:r>
    </w:p>
    <w:p>
      <w:pPr>
        <w:spacing w:after="0" w:line="155" w:lineRule="exact"/>
        <w:rPr>
          <w:sz w:val="20"/>
          <w:szCs w:val="20"/>
          <w:color w:val="auto"/>
        </w:rPr>
      </w:pPr>
    </w:p>
    <w:p>
      <w:pPr>
        <w:ind w:left="980" w:right="40" w:hanging="324"/>
        <w:spacing w:after="0" w:line="286" w:lineRule="auto"/>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effect transactions in securities of the Company or engage in any other action to take advantage of that information; or</w:t>
      </w:r>
    </w:p>
    <w:p>
      <w:pPr>
        <w:spacing w:after="0" w:line="154" w:lineRule="exact"/>
        <w:rPr>
          <w:rFonts w:ascii="Times New Roman" w:cs="Times New Roman" w:eastAsia="Times New Roman" w:hAnsi="Times New Roman"/>
          <w:sz w:val="18"/>
          <w:szCs w:val="18"/>
          <w:color w:val="auto"/>
        </w:rPr>
      </w:pPr>
    </w:p>
    <w:p>
      <w:pPr>
        <w:ind w:left="980" w:right="140" w:hanging="324"/>
        <w:spacing w:after="0" w:line="268" w:lineRule="auto"/>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pass that information on to any person outside the Company or suggest or otherwise recommend that any such person outside the Company effect a transaction in securities of the Company or engage in any other action to take advantage of that information; or</w:t>
      </w:r>
    </w:p>
    <w:p>
      <w:pPr>
        <w:spacing w:after="0" w:line="17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assist anyone or any entity engaged in any of the above activities.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This Policy will continue to apply after termination of employment to the extent that you are in possession of material nonpublic information at the time of termination. In such case, no transaction in securities of the Company may take place until the information becomes public or ceases to be material.</w:t>
      </w:r>
    </w:p>
    <w:p>
      <w:pPr>
        <w:spacing w:after="0" w:line="17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This Policy also applies to information, obtained in the course of employment with, or by serving as a director of, the Company, relating to any other company, including without limitation:</w:t>
      </w:r>
    </w:p>
    <w:p>
      <w:pPr>
        <w:spacing w:after="0" w:line="162" w:lineRule="exact"/>
        <w:rPr>
          <w:sz w:val="20"/>
          <w:szCs w:val="20"/>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customers, suppliers or service providers,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entity with which we may be negotiating a major transaction or business combination,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entity with which we have an indirect or direct control relationship or a designee on the board of directors.</w:t>
      </w:r>
    </w:p>
    <w:p>
      <w:pPr>
        <w:spacing w:after="0" w:line="225"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Neither you nor any Related Party may effect transactions in the securities of any such other company while in possession of material, nonpublic information concerning such company that was obtained in the course of employment with or service to the Company.</w:t>
      </w:r>
    </w:p>
    <w:p>
      <w:pPr>
        <w:spacing w:after="0" w:line="17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Transactions that may be necessary or justifiable for independent reasons (such as the need to raise money for an emergency expenditure) are not exceptions. Even the appearance of an improper transaction must be avoided to preserve the Company’s reputation for adhering to the highest standards of integrity and professional 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9" w:name="page120"/>
    <w:bookmarkEnd w:id="119"/>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These prohibitions also apply to trading in the securities of other firms, such as competitors, customers, suppliers or service providers of the Company and those with which the Company may be negotiating major transactions, such as an acquisition, investment or sale. Information that is not material to the Company may nevertheless be material to one of those firms.</w:t>
      </w:r>
    </w:p>
    <w:p>
      <w:pPr>
        <w:spacing w:after="0" w:line="172" w:lineRule="exact"/>
        <w:rPr>
          <w:sz w:val="20"/>
          <w:szCs w:val="20"/>
          <w:color w:val="auto"/>
        </w:rPr>
      </w:pPr>
    </w:p>
    <w:p>
      <w:pPr>
        <w:ind w:right="14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Definition of Material, Nonpublic Information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Material, nonpublic information</w:t>
      </w:r>
      <w:r>
        <w:rPr>
          <w:rFonts w:ascii="Times New Roman" w:cs="Times New Roman" w:eastAsia="Times New Roman" w:hAnsi="Times New Roman"/>
          <w:sz w:val="18"/>
          <w:szCs w:val="18"/>
          <w:color w:val="auto"/>
        </w:rPr>
        <w:t>” is any nonpublic information that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reasonable investor would consider important in a decision to buy, sell or hold securities of the Company. In short, any information that could reasonably affect the price of such securities is material information. Either positive or negative information may be material. Examples of information that should be regarded as material for the purposes of this Policy are:</w:t>
      </w:r>
    </w:p>
    <w:p>
      <w:pPr>
        <w:spacing w:after="0" w:line="180" w:lineRule="exact"/>
        <w:rPr>
          <w:sz w:val="20"/>
          <w:szCs w:val="20"/>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results, including if earnings are inconsistent with consensus expectations;</w:t>
      </w:r>
    </w:p>
    <w:p>
      <w:pPr>
        <w:spacing w:after="0" w:line="225"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of future earnings or losses, or other guidance concerning earnings and changing or confirming such guidance on a later date;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pending or proposed merger, joint venture, acquisition, sale or tender offer;</w:t>
      </w:r>
    </w:p>
    <w:p>
      <w:pPr>
        <w:spacing w:after="0" w:line="225"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or changing dividend policies, establish share repurchase programs, or the declaration of a stock split or the offering of additional securities;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proposed changes in senior management or other key employees;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new products or services;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regarding the Company’s material intellectual property;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regarding key customers or suppliers, including the acquisition or loss of an important contract;</w:t>
      </w:r>
    </w:p>
    <w:p>
      <w:pPr>
        <w:spacing w:after="0" w:line="225"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or dispute with the Company’s independent registered public accounting firm or notification that the Company may no longer rely on such firm’s report;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write-offs;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legal or regulatory exposure due to a pending or threatened lawsuit or investigation;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impending bankruptcy or other financial liquidity problems;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cybersecurity and/or data privacy incident.</w:t>
      </w:r>
    </w:p>
    <w:p>
      <w:pPr>
        <w:spacing w:after="0" w:line="221" w:lineRule="exact"/>
        <w:rPr>
          <w:sz w:val="20"/>
          <w:szCs w:val="20"/>
          <w:color w:val="auto"/>
        </w:rPr>
      </w:pPr>
    </w:p>
    <w:p>
      <w:pPr>
        <w:ind w:right="16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20-20 Hindsight</w:t>
      </w:r>
      <w:r>
        <w:rPr>
          <w:rFonts w:ascii="Times New Roman" w:cs="Times New Roman" w:eastAsia="Times New Roman" w:hAnsi="Times New Roman"/>
          <w:sz w:val="18"/>
          <w:szCs w:val="18"/>
          <w:color w:val="auto"/>
        </w:rPr>
        <w:t>. If your transaction in securities of the Company becomes the subject of scrutiny, it will be viewed after-the-fact with the “benefit” of hindsight by the Company and government regulators. As a result, before engaging in any transaction you should carefully consider how government regulators and others might view your transaction in hindsight.</w:t>
      </w:r>
    </w:p>
    <w:p>
      <w:pPr>
        <w:spacing w:after="0" w:line="171"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Tipping Information to Others</w:t>
      </w:r>
      <w:r>
        <w:rPr>
          <w:rFonts w:ascii="Times New Roman" w:cs="Times New Roman" w:eastAsia="Times New Roman" w:hAnsi="Times New Roman"/>
          <w:sz w:val="18"/>
          <w:szCs w:val="18"/>
          <w:color w:val="auto"/>
        </w:rPr>
        <w:t>. Except as described below, you must not share any material, nonpublic information with others.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Penalties for others’ misuse of such material, nonpublic information will apply to you whether or not you derive, or even intend to derive, any profit or other benefit from another’s actions. However, this Policy does not prohibit you from sharing relevant information with persons within the Company who need such information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20" w:name="page121"/>
    <w:bookmarkEnd w:id="120"/>
    <w:p>
      <w:pPr>
        <w:ind w:right="360"/>
        <w:spacing w:after="0" w:line="282" w:lineRule="auto"/>
        <w:rPr>
          <w:sz w:val="20"/>
          <w:szCs w:val="20"/>
          <w:color w:val="auto"/>
        </w:rPr>
      </w:pPr>
      <w:r>
        <w:rPr>
          <w:rFonts w:ascii="Times New Roman" w:cs="Times New Roman" w:eastAsia="Times New Roman" w:hAnsi="Times New Roman"/>
          <w:sz w:val="18"/>
          <w:szCs w:val="18"/>
          <w:color w:val="auto"/>
        </w:rPr>
        <w:t>perform their job functions or with persons outside the Company to the extent such disclosure is necessary for the performance of an authorized scope of work under an executed contract between the Company and such person.</w:t>
      </w:r>
    </w:p>
    <w:p>
      <w:pPr>
        <w:spacing w:after="0" w:line="158"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When Information is Public</w:t>
      </w:r>
      <w:r>
        <w:rPr>
          <w:rFonts w:ascii="Times New Roman" w:cs="Times New Roman" w:eastAsia="Times New Roman" w:hAnsi="Times New Roman"/>
          <w:sz w:val="18"/>
          <w:szCs w:val="18"/>
          <w:color w:val="auto"/>
        </w:rPr>
        <w:t>. You may not trade on the basis of and/or while aware of material information that has not been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broadly disclosed to the public, such as through a press release or a filing with the SEC, and before the marketplace has had adequate time to fully absorb the information. As a general rule, information should not be considered fully absorbed by the marketplace until at least one full trading day after the information has been released. For example, if information is issued in a press release or a filing with the SEC is made during the trading day or after markets close on a Monday, trading should not take place until Wednesday when the market opens.</w:t>
      </w:r>
    </w:p>
    <w:p>
      <w:pPr>
        <w:spacing w:after="0" w:line="182" w:lineRule="exact"/>
        <w:rPr>
          <w:sz w:val="20"/>
          <w:szCs w:val="20"/>
          <w:color w:val="auto"/>
        </w:rPr>
      </w:pPr>
    </w:p>
    <w:p>
      <w:pPr>
        <w:ind w:right="44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Exemptions to the Prohibitions on Trading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only exceptions to this Policy’s prohibitions of trading in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as outlined above are the following:</w:t>
      </w:r>
    </w:p>
    <w:p>
      <w:pPr>
        <w:spacing w:after="0" w:line="15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Stock Option Exercises</w:t>
      </w:r>
      <w:r>
        <w:rPr>
          <w:rFonts w:ascii="Times New Roman" w:cs="Times New Roman" w:eastAsia="Times New Roman" w:hAnsi="Times New Roman"/>
          <w:sz w:val="18"/>
          <w:szCs w:val="18"/>
          <w:color w:val="auto"/>
        </w:rPr>
        <w:t>. This Policy does not apply to the exercise of stock options (other than broker-assisted cashless exercises as described below) or the exercise of a tax withholding right pursuant to which you elect to have the Company withhold shares subject to an option to satisfy tax withholding requirements. However, this Policy does apply to the sale of common stock received upon exercise. As noted above, this Policy also applies to the sale as part of a broker-assisted cashless exercise of a stock option and the market sale for the purpose of raising cash to fund the exercise of an option or to pay taxes.</w:t>
      </w:r>
    </w:p>
    <w:p>
      <w:pPr>
        <w:spacing w:after="0" w:line="183"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No Change in Beneficial Ownership</w:t>
      </w:r>
      <w:r>
        <w:rPr>
          <w:rFonts w:ascii="Times New Roman" w:cs="Times New Roman" w:eastAsia="Times New Roman" w:hAnsi="Times New Roman"/>
          <w:sz w:val="18"/>
          <w:szCs w:val="18"/>
          <w:color w:val="auto"/>
        </w:rPr>
        <w:t>. This Policy does not apply to the transferring of shares to an entity that does not involve a change in the beneficial ownership of the shares (for example, to certain types of trusts of which you are the sole beneficiary during your lifetime).</w:t>
      </w:r>
    </w:p>
    <w:p>
      <w:pPr>
        <w:spacing w:after="0" w:line="17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Restricted Stock and Restricted Stock Unit Vesting and/or settlement</w:t>
      </w:r>
      <w:r>
        <w:rPr>
          <w:rFonts w:ascii="Times New Roman" w:cs="Times New Roman" w:eastAsia="Times New Roman" w:hAnsi="Times New Roman"/>
          <w:sz w:val="18"/>
          <w:szCs w:val="18"/>
          <w:color w:val="auto"/>
        </w:rPr>
        <w:t>. This Policy does not apply to the vesting of restricted stock or restricted stock units, the settlement of restricted stock units by the Company upon vesting or the exercise of a tax withholding right pursuant to which you elect to have the Company withhold shares of stock to satisfy tax withholding requirements upon the vesting of any restricted stock or restricted stock units. The Policy does apply, however, to any market sale of restricted stock, restricted stock units, or the shares underlying restricted stock units.</w:t>
      </w:r>
    </w:p>
    <w:p>
      <w:pPr>
        <w:spacing w:after="0" w:line="183"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10b5-1 Plans</w:t>
      </w:r>
      <w:r>
        <w:rPr>
          <w:rFonts w:ascii="Times New Roman" w:cs="Times New Roman" w:eastAsia="Times New Roman" w:hAnsi="Times New Roman"/>
          <w:sz w:val="18"/>
          <w:szCs w:val="18"/>
          <w:color w:val="auto"/>
        </w:rPr>
        <w:t>. This Policy does not apply to the execution of transactions pursuant to a trading plan that complies with SEC Rule 10b5-1 and which has been approved by the Company (see Part VII).</w:t>
      </w:r>
    </w:p>
    <w:p>
      <w:pPr>
        <w:spacing w:after="0" w:line="16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401(k) Plan</w:t>
      </w:r>
      <w:r>
        <w:rPr>
          <w:rFonts w:ascii="Times New Roman" w:cs="Times New Roman" w:eastAsia="Times New Roman" w:hAnsi="Times New Roman"/>
          <w:sz w:val="18"/>
          <w:szCs w:val="18"/>
          <w:color w:val="auto"/>
        </w:rPr>
        <w:t>. If and when the Company makes Company securities an investment alternative under our 401(k) plan, this Policy’s trading restrictions will not apply to purchases of Company stock in the 401(k) plan resulting from your periodic contribution of money to the plan pursuant to your payroll deduction election. This Policy, however, applies to the following elections under a 401(k) plan (if and when the Company makes Company securities an investment alternative under our 401(k) plan):</w:t>
      </w:r>
    </w:p>
    <w:p>
      <w:pPr>
        <w:spacing w:after="0" w:line="180" w:lineRule="exact"/>
        <w:rPr>
          <w:sz w:val="20"/>
          <w:szCs w:val="20"/>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or decreasing periodic contributions allocated to the purchase of Company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intra-plan transfers of an existing balance in or out of Company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 money against the account if the loan results in the liquidation of any portion of Company securities;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1" w:name="page122"/>
    <w:bookmarkEnd w:id="121"/>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pre-paying a loan if the pre-payment results in allocation of the proceeds to Company securities.</w:t>
      </w:r>
    </w:p>
    <w:p>
      <w:pPr>
        <w:spacing w:after="0" w:line="225"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Registered Offerings</w:t>
      </w:r>
      <w:r>
        <w:rPr>
          <w:rFonts w:ascii="Times New Roman" w:cs="Times New Roman" w:eastAsia="Times New Roman" w:hAnsi="Times New Roman"/>
          <w:sz w:val="18"/>
          <w:szCs w:val="18"/>
          <w:color w:val="auto"/>
        </w:rPr>
        <w:t>. Sales of the Company’s securities as a selling stockholder in a registered public offering in accordance with applicable securities laws.</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Although the transactions listed above are exceptions to this Policy’s prohibitions on trading in the Company’s securities, </w:t>
      </w:r>
      <w:r>
        <w:rPr>
          <w:rFonts w:ascii="Times New Roman" w:cs="Times New Roman" w:eastAsia="Times New Roman" w:hAnsi="Times New Roman"/>
          <w:sz w:val="18"/>
          <w:szCs w:val="18"/>
          <w:b w:val="1"/>
          <w:bCs w:val="1"/>
          <w:u w:val="single" w:color="auto"/>
          <w:color w:val="auto"/>
        </w:rPr>
        <w:t>those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persons subject to Parts V and VI of this Policy must always pre-clear any proposed transaction in the manner prescribed by this Policy</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8"/>
          <w:szCs w:val="18"/>
          <w:b w:val="1"/>
          <w:bCs w:val="1"/>
          <w:color w:val="auto"/>
        </w:rPr>
        <w:t>Additional Prohibited Transactions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prohibits its directors and officers who are subject to Section 16 under the Exchange Act and their Related Parties from engaging in any of the following activities with respect to securities of the Company:</w:t>
      </w:r>
    </w:p>
    <w:p>
      <w:pPr>
        <w:spacing w:after="0" w:line="162" w:lineRule="exact"/>
        <w:rPr>
          <w:sz w:val="20"/>
          <w:szCs w:val="20"/>
          <w:color w:val="auto"/>
        </w:rPr>
      </w:pPr>
    </w:p>
    <w:p>
      <w:pPr>
        <w:ind w:left="980" w:right="80" w:hanging="324"/>
        <w:spacing w:after="0" w:line="258" w:lineRule="auto"/>
        <w:tabs>
          <w:tab w:leader="none" w:pos="9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Pledging Company securities</w:t>
      </w:r>
      <w:r>
        <w:rPr>
          <w:rFonts w:ascii="Times New Roman" w:cs="Times New Roman" w:eastAsia="Times New Roman" w:hAnsi="Times New Roman"/>
          <w:sz w:val="18"/>
          <w:szCs w:val="18"/>
          <w:color w:val="auto"/>
        </w:rPr>
        <w:t>. Pledging of Company securities at any time, which includes having Company securities in a margin account or using Company securities as collateral for a loan, may result in the sale of the securities by a broker to meet a margin call or by a lender in a foreclosure if there is a default on the loan. A margin or foreclosure sale could occur outside a Window Period (as defined in Part V below) or at a time when you are in possession of material nonpublic information.</w:t>
      </w:r>
    </w:p>
    <w:p>
      <w:pPr>
        <w:spacing w:after="0" w:line="183" w:lineRule="exact"/>
        <w:rPr>
          <w:rFonts w:ascii="Times New Roman" w:cs="Times New Roman" w:eastAsia="Times New Roman" w:hAnsi="Times New Roman"/>
          <w:sz w:val="18"/>
          <w:szCs w:val="18"/>
          <w:color w:val="auto"/>
        </w:rPr>
      </w:pPr>
    </w:p>
    <w:p>
      <w:pPr>
        <w:ind w:left="980" w:right="80" w:hanging="324"/>
        <w:spacing w:after="0" w:line="253" w:lineRule="auto"/>
        <w:tabs>
          <w:tab w:leader="none" w:pos="9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Hedging transactions, Short Sales and Speculative Transactions</w:t>
      </w:r>
      <w:r>
        <w:rPr>
          <w:rFonts w:ascii="Times New Roman" w:cs="Times New Roman" w:eastAsia="Times New Roman" w:hAnsi="Times New Roman"/>
          <w:sz w:val="18"/>
          <w:szCs w:val="18"/>
          <w:color w:val="auto"/>
        </w:rPr>
        <w:t>. Hedging or monetization transactions with respect to the Company’s securities, such as short-sales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selling stock that is not owned and borrowing the shares to make delivery), prepaid variable forward contracts, equity swaps, collars and exchange funds and other transactions that hedge or offset, or are designed to hedge or offset, any decrease in the market value of the Company’s securities, allow an insider to lock in much of the value of his or her stock holdings, often in exchange for all or part of the potential for upside appreciation in the stock. These transactions allow the person to continue to own the covered securities, but without the full risks and rewards of ownership. When that occurs, the person may no longer have the same objectives as the Company’s other stockholders. In addition, trading in options, warrants, puts and calls or similar instruments on the Company’s securities or engaging in speculative trading (for example, “day-trading”) that is intended to take advantage of short-term price fluctuations may put the personal gain of an insider in conflict with the best interests of the Company and its securityholders or otherwise give the appearance of impropriety.</w:t>
      </w:r>
    </w:p>
    <w:p>
      <w:pPr>
        <w:spacing w:after="0" w:line="191" w:lineRule="exact"/>
        <w:rPr>
          <w:rFonts w:ascii="Times New Roman" w:cs="Times New Roman" w:eastAsia="Times New Roman" w:hAnsi="Times New Roman"/>
          <w:sz w:val="18"/>
          <w:szCs w:val="18"/>
          <w:color w:val="auto"/>
        </w:rPr>
      </w:pPr>
    </w:p>
    <w:p>
      <w:pPr>
        <w:jc w:val="both"/>
        <w:ind w:left="980" w:right="320" w:hanging="324"/>
        <w:spacing w:after="0" w:line="266" w:lineRule="auto"/>
        <w:tabs>
          <w:tab w:leader="none" w:pos="9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in Company Securities through Managed Accounts</w:t>
      </w:r>
      <w:r>
        <w:rPr>
          <w:rFonts w:ascii="Times New Roman" w:cs="Times New Roman" w:eastAsia="Times New Roman" w:hAnsi="Times New Roman"/>
          <w:sz w:val="18"/>
          <w:szCs w:val="18"/>
          <w:color w:val="auto"/>
        </w:rPr>
        <w:t>. If you have a managed account (where another person has been given discretion or authority to trade without your prior approval), advise your broker or investment adviser not to trade in Company securities at any time.</w:t>
      </w:r>
    </w:p>
    <w:p>
      <w:pPr>
        <w:spacing w:after="0" w:line="171" w:lineRule="exact"/>
        <w:rPr>
          <w:rFonts w:ascii="Times New Roman" w:cs="Times New Roman" w:eastAsia="Times New Roman" w:hAnsi="Times New Roman"/>
          <w:sz w:val="18"/>
          <w:szCs w:val="18"/>
          <w:color w:val="auto"/>
        </w:rPr>
      </w:pPr>
    </w:p>
    <w:p>
      <w:pPr>
        <w:ind w:left="660" w:right="60" w:hanging="652"/>
        <w:spacing w:after="0" w:line="286" w:lineRule="auto"/>
        <w:tabs>
          <w:tab w:leader="none" w:pos="66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Trading Windows – For Directors, Executive Officers and Certain Other Employees with Access to Material, Nonpublic Information</w:t>
      </w:r>
    </w:p>
    <w:p>
      <w:pPr>
        <w:spacing w:after="0" w:line="158"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announcement of annual and quarterly financial results has the potential to have a material impact on the</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market for the Company’s securities. Therefore, in order to avoid any appearance that its directors, officers, employees and other insiders are trading while aware of material, nonpublic information, the Company has established four “windows” of time during the fiscal year (“</w:t>
      </w:r>
      <w:r>
        <w:rPr>
          <w:rFonts w:ascii="Times New Roman" w:cs="Times New Roman" w:eastAsia="Times New Roman" w:hAnsi="Times New Roman"/>
          <w:sz w:val="18"/>
          <w:szCs w:val="18"/>
          <w:u w:val="single" w:color="auto"/>
          <w:color w:val="auto"/>
        </w:rPr>
        <w:t>Window Periods</w:t>
      </w:r>
      <w:r>
        <w:rPr>
          <w:rFonts w:ascii="Times New Roman" w:cs="Times New Roman" w:eastAsia="Times New Roman" w:hAnsi="Times New Roman"/>
          <w:sz w:val="18"/>
          <w:szCs w:val="18"/>
          <w:color w:val="auto"/>
        </w:rPr>
        <w:t>”) during which requests for pre-clearance by Restricted Persons may be approved and transactions may be performed by Window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22" w:name="page123"/>
    <w:bookmarkEnd w:id="122"/>
    <w:p>
      <w:pPr>
        <w:ind w:right="100"/>
        <w:spacing w:after="0" w:line="257" w:lineRule="auto"/>
        <w:rPr>
          <w:sz w:val="20"/>
          <w:szCs w:val="20"/>
          <w:color w:val="auto"/>
        </w:rPr>
      </w:pPr>
      <w:r>
        <w:rPr>
          <w:rFonts w:ascii="Times New Roman" w:cs="Times New Roman" w:eastAsia="Times New Roman" w:hAnsi="Times New Roman"/>
          <w:sz w:val="18"/>
          <w:szCs w:val="18"/>
          <w:b w:val="1"/>
          <w:bCs w:val="1"/>
          <w:color w:val="auto"/>
        </w:rPr>
        <w:t>Each Window Period begins after at least one full trading session on the New York Stock Exchange after the date on which the Company makes a public news release of its quarterly or annual earnings for the prior fiscal quarter or year and ends when the market closes on the 15th of the last month of each fiscal quarter</w:t>
      </w:r>
      <w:r>
        <w:rPr>
          <w:rFonts w:ascii="Times New Roman" w:cs="Times New Roman" w:eastAsia="Times New Roman" w:hAnsi="Times New Roman"/>
          <w:sz w:val="18"/>
          <w:szCs w:val="18"/>
          <w:color w:val="auto"/>
        </w:rPr>
        <w:t>. Outside of these Window Periods, Window Persons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Related Parties are </w:t>
      </w:r>
      <w:r>
        <w:rPr>
          <w:rFonts w:ascii="Times New Roman" w:cs="Times New Roman" w:eastAsia="Times New Roman" w:hAnsi="Times New Roman"/>
          <w:sz w:val="18"/>
          <w:szCs w:val="18"/>
          <w:b w:val="1"/>
          <w:bCs w:val="1"/>
          <w:u w:val="single" w:color="auto"/>
          <w:color w:val="auto"/>
        </w:rPr>
        <w:t>prohibited</w:t>
      </w:r>
      <w:r>
        <w:rPr>
          <w:rFonts w:ascii="Times New Roman" w:cs="Times New Roman" w:eastAsia="Times New Roman" w:hAnsi="Times New Roman"/>
          <w:sz w:val="18"/>
          <w:szCs w:val="18"/>
          <w:color w:val="auto"/>
        </w:rPr>
        <w:t xml:space="preserve"> from effecting transactions in securities of the Company. Assuming the New York Stock Exchange is open each day, the following indicates when Window Persons and their Related Parties may trade after the Company’s public news release of its quarterly or annual earnings for the prior fiscal quarter or year:</w:t>
      </w:r>
    </w:p>
    <w:p>
      <w:pPr>
        <w:spacing w:after="0" w:line="173"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Announcement on Tuesday</w:t>
            </w: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w w:val="96"/>
              </w:rPr>
              <w:t>First Day of Trading</w:t>
            </w:r>
          </w:p>
        </w:tc>
      </w:tr>
      <w:tr>
        <w:trPr>
          <w:trHeight w:val="218"/>
        </w:trPr>
        <w:tc>
          <w:tcPr>
            <w:tcW w:w="1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Before market opens</w:t>
            </w:r>
          </w:p>
        </w:tc>
        <w:tc>
          <w:tcPr>
            <w:tcW w:w="300" w:type="dxa"/>
            <w:vAlign w:val="bottom"/>
          </w:tcPr>
          <w:p>
            <w:pPr>
              <w:spacing w:after="0"/>
              <w:rPr>
                <w:sz w:val="18"/>
                <w:szCs w:val="18"/>
                <w:color w:val="auto"/>
              </w:rPr>
            </w:pPr>
          </w:p>
        </w:tc>
        <w:tc>
          <w:tcPr>
            <w:tcW w:w="1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Wednesday</w:t>
            </w:r>
          </w:p>
        </w:tc>
      </w:tr>
      <w:tr>
        <w:trPr>
          <w:trHeight w:val="216"/>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While market is open</w:t>
            </w: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Thursday</w:t>
            </w:r>
          </w:p>
        </w:tc>
      </w:tr>
      <w:tr>
        <w:trPr>
          <w:trHeight w:val="234"/>
        </w:trPr>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After market closes</w:t>
            </w: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Thursday</w:t>
            </w:r>
          </w:p>
        </w:tc>
      </w:tr>
    </w:tbl>
    <w:p>
      <w:pPr>
        <w:spacing w:after="0" w:line="184"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Once the Window Period begins, you should consider limiting your trades to a window of 2-3 weeks following our release of earnings. Trades during this period of time are much less likely to be challenged, as any market-moving information about the Company’s results has already been made public in the earnings release and at the analysts’ meeting, and the public has had time to digest that information.</w:t>
      </w:r>
    </w:p>
    <w:p>
      <w:pPr>
        <w:spacing w:after="0" w:line="180" w:lineRule="exact"/>
        <w:rPr>
          <w:sz w:val="20"/>
          <w:szCs w:val="20"/>
          <w:color w:val="auto"/>
        </w:rPr>
      </w:pPr>
    </w:p>
    <w:p>
      <w:pPr>
        <w:ind w:right="60" w:firstLine="648"/>
        <w:spacing w:after="0" w:line="272" w:lineRule="auto"/>
        <w:rPr>
          <w:sz w:val="20"/>
          <w:szCs w:val="20"/>
          <w:color w:val="auto"/>
        </w:rPr>
      </w:pPr>
      <w:r>
        <w:rPr>
          <w:rFonts w:ascii="Times New Roman" w:cs="Times New Roman" w:eastAsia="Times New Roman" w:hAnsi="Times New Roman"/>
          <w:sz w:val="17"/>
          <w:szCs w:val="17"/>
          <w:color w:val="auto"/>
        </w:rPr>
        <w:t>You should be aware that the Window Periods described above may be modified by the Company at any time. In addition, the Company may from time to time determine that effecting transactions in securities of the Company is inappropriate during a Window Period and, accordingly, may notify you of additional restricted periods at any time. For example, the Company may close the trading window shortly before issuance of interim earnings guidance. Those subject to Window Periods will receive notice of any modification by the Company of the Window Period policy or of any additional prohibition on trading during a Window Period. Persons so notified shall not trade in Company securities while the suspension is in effect and shall not disclose to others inside or outside the Company that trading has been suspended for certain individuals. Persons subject to the Window Period restrictions who terminate their employment with the Company outside of a Window Period will remain subject to the restrictions until the beginning of the next Window Period.</w:t>
      </w:r>
    </w:p>
    <w:p>
      <w:pPr>
        <w:spacing w:after="0" w:line="17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prohibition on trading outside of a Window Period shall not apply with respect to a public offering of Company securities specifically authorized by the Company’s board of directors or duly authorized board committee. Trading Compliance may, on a case-by-case basis, authorize effecting a transaction in Company securities outside of a Window Period if the person who wishes to effect such a transaction (i) has, at least two business days prior to the anticipated transaction date, notified the Company in writing of the circumstances and the amount and nature of the proposed transaction and (ii) has certified to the Company that he or she is not in possession of material, nonpublic information concerning the Company.</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8"/>
          <w:szCs w:val="18"/>
          <w:b w:val="1"/>
          <w:bCs w:val="1"/>
          <w:color w:val="auto"/>
        </w:rPr>
        <w:t>Pre-Clearance of Securities Transactions</w:t>
      </w:r>
    </w:p>
    <w:p>
      <w:pPr>
        <w:spacing w:after="0" w:line="229"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18"/>
          <w:szCs w:val="18"/>
          <w:color w:val="auto"/>
        </w:rPr>
        <w:t>To provide assistance in preventing inadvertent violations of the law (which could result for example, from failure by directors and officers to file required reports under Section 16 of the Exchange Act) and avoiding even the appearance of an improper transaction (which could result, for example, where an individual inadvertently engages in a trade while unaware of a pending major development), this Policy provides for the following procedure:</w:t>
      </w:r>
    </w:p>
    <w:p>
      <w:pPr>
        <w:spacing w:after="0" w:line="176"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All transactions in securities of the Company by Restricted Persons and their Related Parties must be pre-cleared with Trading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17" w:right="1019" w:bottom="1440" w:gutter="0" w:footer="0" w:header="0"/>
        </w:sectPr>
      </w:pPr>
    </w:p>
    <w:bookmarkStart w:id="123" w:name="page124"/>
    <w:bookmarkEnd w:id="123"/>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Persons subject to these restrictions should submit a request for pre-clearance to Trading Compliance in writing at least two business days in advance of the proposed transaction detailing the circumstances with the amount and nature of the proposed transaction, and may not effect any transaction subject to the pre-clearance request unless given clearance to do so which clearance, if granted, will be valid only for the period designated by Trading Compliance. Requests for pre-clearance should be in the form provided by Trading Compliance and should be emailed to </w:t>
      </w:r>
      <w:r>
        <w:rPr>
          <w:rFonts w:ascii="Times New Roman" w:cs="Times New Roman" w:eastAsia="Times New Roman" w:hAnsi="Times New Roman"/>
          <w:sz w:val="18"/>
          <w:szCs w:val="18"/>
          <w:u w:val="single" w:color="auto"/>
          <w:color w:val="auto"/>
        </w:rPr>
        <w:t>tradingcompliance@kyndryl.com</w:t>
      </w:r>
      <w:r>
        <w:rPr>
          <w:rFonts w:ascii="Times New Roman" w:cs="Times New Roman" w:eastAsia="Times New Roman" w:hAnsi="Times New Roman"/>
          <w:sz w:val="18"/>
          <w:szCs w:val="18"/>
          <w:color w:val="auto"/>
        </w:rPr>
        <w:t>. Trading Compliance also may require such person to certify to the Company that he or she is not in possession of material, nonpublic information, among other things, concerning the Company. Notwithstanding receipt of pre-clearance, you may not trade in Company securities if you subsequently become aware of material, nonpublic information prior to effecting the transaction. If a transaction for which clearance has been granted is not effected (i.e., the trade is not completed) within such designated period, the transaction must again be pre-cleared. Trading Compliance is under no obligation to approve a transaction submitted for pre-clearance, and may determine not to permit the transaction.</w:t>
      </w:r>
    </w:p>
    <w:p>
      <w:pPr>
        <w:spacing w:after="0" w:line="194"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Once an approved transaction for a person subject to Section 16 has been executed, Trading Compliance must be notified in writing the same day the transaction occurs with information detailing the number of securities transacted and the purchase or sale price and other relevant details.</w:t>
      </w:r>
    </w:p>
    <w:p>
      <w:pPr>
        <w:spacing w:after="0" w:line="17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To the extent that material information, events or developments affecting the Company remain nonpublic, persons subject to pre-clearance will not be given permission to effect transactions in securities of the Company. Such persons may not be informed of the reason why they may not trade. Any person who is made aware of the reason for a prohibition on trading should in no event disclose the reason for the prohibition to third parties (or others within the Company not otherwise authorized to have such information) and should avoid disclosing the existence of the prohibition if possible. Caution should be exercised when telling a broker or other person who suggested a trade that the trade cannot be effected at the time.</w:t>
      </w:r>
    </w:p>
    <w:p>
      <w:pPr>
        <w:spacing w:after="0" w:line="18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Note that the pre-clearance procedures may delay the disposition of any security after it is purchased and the Company assumes no liability in such event.</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VII.</w:t>
      </w:r>
      <w:r>
        <w:rPr>
          <w:sz w:val="20"/>
          <w:szCs w:val="20"/>
          <w:color w:val="auto"/>
        </w:rPr>
        <w:tab/>
      </w:r>
      <w:r>
        <w:rPr>
          <w:rFonts w:ascii="Times New Roman" w:cs="Times New Roman" w:eastAsia="Times New Roman" w:hAnsi="Times New Roman"/>
          <w:sz w:val="18"/>
          <w:szCs w:val="18"/>
          <w:b w:val="1"/>
          <w:bCs w:val="1"/>
          <w:color w:val="auto"/>
        </w:rPr>
        <w:t>10b5-1 and Other Trading Plans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 10b5-1 trading plan is a binding, written contract between you and your broker that specifies the price, amount, and date of trades to be executed in your account in the future, or provides a formula or mechanism that your broker will follow, and satisfies various other conditions and limitations set forth in Rule 10b5-1 under the Exchange Act. A 10b5-1 trading plan can only be established when you do not possess material, nonpublic information. Therefore, you cannot enter into these plans at any time when in possession of material, nonpublic information and, in addition, Window Persons and Restricted Persons cannot enter into these plans outside Window Periods. In addition, a 10b5-1 trading plan must not permit you to exercise any subsequent influence over how, when, or whether the purchases or sales are made.</w:t>
      </w:r>
    </w:p>
    <w:p>
      <w:pPr>
        <w:spacing w:after="0" w:line="18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You must pre-clear with the General Counsel, Secretary or the Assistant Secretary any 10b5-1 trading plans, prior to establishing, amending or terminating such plan. The Company reserves the right to withhold pre-clearance of the adoption, amendment or termination of any such trading plan that the Company determines is not consistent with the rules regarding such plans. Additionally, any modification or termination of a pre-approved 10b5-1 trading plan requires pre-clearance by the General Counsel, Secretary or the 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24" w:name="page125"/>
    <w:bookmarkEnd w:id="124"/>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Company is required to disclose in its SEC filings the entry into or termination of a Rule 10b5-1 trading plan by any of its executive officers or directors, including any amendments made thereto.</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VIII.</w:t>
        <w:tab/>
        <w:t>Broker Requirement for Section 16 Persons</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timely reporting of transactions requires tight interface with brokers handling transactions for the Company’s directors and officers (as defined in Rule 16a-1 under the Exchange Act) (“</w:t>
      </w:r>
      <w:r>
        <w:rPr>
          <w:rFonts w:ascii="Times New Roman" w:cs="Times New Roman" w:eastAsia="Times New Roman" w:hAnsi="Times New Roman"/>
          <w:sz w:val="18"/>
          <w:szCs w:val="18"/>
          <w:u w:val="single" w:color="auto"/>
          <w:color w:val="auto"/>
        </w:rPr>
        <w:t>Section 16 persons</w:t>
      </w:r>
      <w:r>
        <w:rPr>
          <w:rFonts w:ascii="Times New Roman" w:cs="Times New Roman" w:eastAsia="Times New Roman" w:hAnsi="Times New Roman"/>
          <w:sz w:val="18"/>
          <w:szCs w:val="18"/>
          <w:color w:val="auto"/>
        </w:rPr>
        <w:t>”). A knowledgeable, alert broker can also serve as a gatekeeper, helping to ensure compliance with our pre-clearance procedures and helping prevent inadvertent violations. Therefore, in order to facilitate timely compliance by Section 16 persons with the requirements of Section 16 of the Exchange Act, brokers of Section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 persons need to comply with the following requirements:</w:t>
      </w:r>
    </w:p>
    <w:p>
      <w:pPr>
        <w:spacing w:after="0" w:line="207" w:lineRule="exact"/>
        <w:rPr>
          <w:sz w:val="20"/>
          <w:szCs w:val="20"/>
          <w:color w:val="auto"/>
        </w:rPr>
      </w:pPr>
    </w:p>
    <w:p>
      <w:pPr>
        <w:ind w:left="980" w:right="120" w:hanging="324"/>
        <w:spacing w:after="0" w:line="282" w:lineRule="auto"/>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enter any order without first verifying with the Company that your transaction was pre-cleared and complying with the brokerage firm’s compliance procedures (for example, Rule 144); and</w:t>
      </w:r>
    </w:p>
    <w:p>
      <w:pPr>
        <w:spacing w:after="0" w:line="161"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before the close of business on the day of the execution of the transaction to the Company by telephone and in writing via email to Trading Compliance the complete details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date, type of transaction, number of shares and price) of every transaction involving the Company’s equity securities, including gifts, transfers and all transactions under 10b5-1 and other trading plans, if applicable.</w:t>
      </w:r>
    </w:p>
    <w:p>
      <w:pPr>
        <w:spacing w:after="0" w:line="180"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Because it is the legal obligation of the trading person to cause any filings on Form 3, Form 4, Form 5 or Form 144 (or as may otherwise be required), to be made, you are strongly encouraged to confirm following any transaction that your broker has immediately telephoned and emailed the required information to the Company.</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IX.</w:t>
      </w:r>
      <w:r>
        <w:rPr>
          <w:sz w:val="20"/>
          <w:szCs w:val="20"/>
          <w:color w:val="auto"/>
        </w:rPr>
        <w:tab/>
      </w:r>
      <w:r>
        <w:rPr>
          <w:rFonts w:ascii="Times New Roman" w:cs="Times New Roman" w:eastAsia="Times New Roman" w:hAnsi="Times New Roman"/>
          <w:sz w:val="18"/>
          <w:szCs w:val="18"/>
          <w:b w:val="1"/>
          <w:bCs w:val="1"/>
          <w:color w:val="auto"/>
        </w:rPr>
        <w:t>Assistance and Personal Responsibility</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Any person who has any questions about this Policy or about specific transactions may contact Trading Compliance. Remember, however, that the ultimate responsibility for adhering to this Policy and avoiding improper transactions rests with you. In this regard, it is imperative that you use your best judgment and ask before acting if you are unsure. Thank you for ensuring that each member of our team and our Company operate with the highest standards of integrity and regulatory compliance.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Edward Sebold, General Counsel</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Evan Barth, Assistant Corporate Secretary</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125" w:name="page126"/>
    <w:bookmarkEnd w:id="125"/>
    <w:tbl>
      <w:tblPr>
        <w:tblLayout w:type="fixed"/>
        <w:tblInd w:w="2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w w:val="98"/>
              </w:rPr>
              <w:t>Exhibit 21.1</w:t>
            </w:r>
          </w:p>
        </w:tc>
      </w:tr>
      <w:tr>
        <w:trPr>
          <w:trHeight w:val="432"/>
        </w:trPr>
        <w:tc>
          <w:tcPr>
            <w:tcW w:w="20" w:type="dxa"/>
            <w:vAlign w:val="bottom"/>
          </w:tcPr>
          <w:p>
            <w:pPr>
              <w:spacing w:after="0"/>
              <w:rPr>
                <w:sz w:val="24"/>
                <w:szCs w:val="24"/>
                <w:color w:val="auto"/>
              </w:rPr>
            </w:pPr>
          </w:p>
        </w:tc>
        <w:tc>
          <w:tcPr>
            <w:tcW w:w="6380" w:type="dxa"/>
            <w:vAlign w:val="bottom"/>
            <w:gridSpan w:val="2"/>
          </w:tcPr>
          <w:p>
            <w:pPr>
              <w:ind w:left="364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2200" w:type="dxa"/>
            <w:vAlign w:val="bottom"/>
          </w:tcPr>
          <w:p>
            <w:pPr>
              <w:spacing w:after="0"/>
              <w:rPr>
                <w:sz w:val="24"/>
                <w:szCs w:val="24"/>
                <w:color w:val="auto"/>
              </w:rPr>
            </w:pPr>
          </w:p>
        </w:tc>
      </w:tr>
      <w:tr>
        <w:trPr>
          <w:trHeight w:val="418"/>
        </w:trPr>
        <w:tc>
          <w:tcPr>
            <w:tcW w:w="6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Subsidiaries—as of March 31, 2024</w:t>
            </w:r>
          </w:p>
        </w:tc>
        <w:tc>
          <w:tcPr>
            <w:tcW w:w="2200" w:type="dxa"/>
            <w:vAlign w:val="bottom"/>
          </w:tcPr>
          <w:p>
            <w:pPr>
              <w:spacing w:after="0"/>
              <w:rPr>
                <w:sz w:val="24"/>
                <w:szCs w:val="24"/>
                <w:color w:val="auto"/>
              </w:rPr>
            </w:pPr>
          </w:p>
        </w:tc>
      </w:tr>
      <w:tr>
        <w:trPr>
          <w:trHeight w:val="504"/>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State or Country of</w:t>
            </w: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or</w:t>
            </w:r>
          </w:p>
        </w:tc>
      </w:tr>
      <w:tr>
        <w:trPr>
          <w:trHeight w:val="238"/>
        </w:trPr>
        <w:tc>
          <w:tcPr>
            <w:tcW w:w="20" w:type="dxa"/>
            <w:vAlign w:val="bottom"/>
          </w:tcPr>
          <w:p>
            <w:pPr>
              <w:spacing w:after="0"/>
              <w:rPr>
                <w:sz w:val="20"/>
                <w:szCs w:val="20"/>
                <w:color w:val="auto"/>
              </w:rPr>
            </w:pPr>
          </w:p>
        </w:tc>
        <w:tc>
          <w:tcPr>
            <w:tcW w:w="5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Company Name</w:t>
            </w:r>
          </w:p>
        </w:tc>
        <w:tc>
          <w:tcPr>
            <w:tcW w:w="1040" w:type="dxa"/>
            <w:vAlign w:val="bottom"/>
            <w:tcBorders>
              <w:bottom w:val="single" w:sz="8" w:color="CCEEFF"/>
            </w:tcBorders>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Organization</w:t>
            </w:r>
          </w:p>
        </w:tc>
      </w:tr>
      <w:tr>
        <w:trPr>
          <w:trHeight w:val="237"/>
        </w:trPr>
        <w:tc>
          <w:tcPr>
            <w:tcW w:w="20" w:type="dxa"/>
            <w:vAlign w:val="bottom"/>
          </w:tcPr>
          <w:p>
            <w:pPr>
              <w:spacing w:after="0"/>
              <w:rPr>
                <w:sz w:val="20"/>
                <w:szCs w:val="20"/>
                <w:color w:val="auto"/>
              </w:rPr>
            </w:pP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Argentina S.R.L.</w:t>
            </w:r>
          </w:p>
        </w:tc>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Argentina</w:t>
            </w:r>
          </w:p>
        </w:tc>
      </w:tr>
      <w:tr>
        <w:trPr>
          <w:trHeight w:val="256"/>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Kyndryl Australia Pty Ltd</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Australia</w:t>
            </w:r>
          </w:p>
        </w:tc>
      </w:tr>
      <w:tr>
        <w:trPr>
          <w:trHeight w:val="257"/>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Austria GmbH</w:t>
            </w:r>
          </w:p>
        </w:tc>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Austria</w:t>
            </w:r>
          </w:p>
        </w:tc>
      </w:tr>
      <w:tr>
        <w:trPr>
          <w:trHeight w:val="257"/>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Kyndryl Belgium BV/SRL</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Belgium</w:t>
            </w:r>
          </w:p>
        </w:tc>
      </w:tr>
      <w:tr>
        <w:trPr>
          <w:trHeight w:val="257"/>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Brasil Serviços Limitada</w:t>
            </w:r>
          </w:p>
        </w:tc>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Brazil</w:t>
            </w:r>
          </w:p>
        </w:tc>
      </w:tr>
      <w:tr>
        <w:trPr>
          <w:trHeight w:val="257"/>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Kyndryl Bulgaria EOOD</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Bulgaria</w:t>
            </w:r>
          </w:p>
        </w:tc>
      </w:tr>
      <w:tr>
        <w:trPr>
          <w:trHeight w:val="256"/>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Canada Limited</w:t>
            </w:r>
          </w:p>
        </w:tc>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Canada</w:t>
            </w:r>
          </w:p>
        </w:tc>
      </w:tr>
      <w:tr>
        <w:trPr>
          <w:trHeight w:val="257"/>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Kyndryl Chile SpA</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Chile</w:t>
            </w:r>
          </w:p>
        </w:tc>
      </w:tr>
      <w:tr>
        <w:trPr>
          <w:trHeight w:val="257"/>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(China) Information Technology Company Limited</w:t>
            </w:r>
          </w:p>
        </w:tc>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57"/>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Kyndryl Colombia SAS</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Colombia</w:t>
            </w:r>
          </w:p>
        </w:tc>
      </w:tr>
      <w:tr>
        <w:trPr>
          <w:trHeight w:val="256"/>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Costa Rica, Sociedad de Responsabilidad Limitada</w:t>
            </w:r>
          </w:p>
        </w:tc>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Costa Rica</w:t>
            </w:r>
          </w:p>
        </w:tc>
      </w:tr>
      <w:tr>
        <w:trPr>
          <w:trHeight w:val="257"/>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Kyndryl doo</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Croatia</w:t>
            </w:r>
          </w:p>
        </w:tc>
      </w:tr>
      <w:tr>
        <w:trPr>
          <w:trHeight w:val="257"/>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Česká republika, spol. s r.o.</w:t>
            </w:r>
          </w:p>
        </w:tc>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Czech Republic</w:t>
            </w:r>
          </w:p>
        </w:tc>
      </w:tr>
      <w:tr>
        <w:trPr>
          <w:trHeight w:val="257"/>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Kyndryl Danmark Aps</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Denmark</w:t>
            </w:r>
          </w:p>
        </w:tc>
      </w:tr>
      <w:tr>
        <w:trPr>
          <w:trHeight w:val="257"/>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Ecuador S.A.S.</w:t>
            </w:r>
          </w:p>
        </w:tc>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Ecuador</w:t>
            </w:r>
          </w:p>
        </w:tc>
      </w:tr>
      <w:tr>
        <w:trPr>
          <w:trHeight w:val="256"/>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Kyndryl Egypt LLC</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Egypt</w:t>
            </w:r>
          </w:p>
        </w:tc>
      </w:tr>
      <w:tr>
        <w:trPr>
          <w:trHeight w:val="257"/>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Estonia OU</w:t>
            </w:r>
          </w:p>
        </w:tc>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Estonia</w:t>
            </w:r>
          </w:p>
        </w:tc>
      </w:tr>
      <w:tr>
        <w:trPr>
          <w:trHeight w:val="257"/>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Kyndryl Finland Oy</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Finland</w:t>
            </w:r>
          </w:p>
        </w:tc>
      </w:tr>
      <w:tr>
        <w:trPr>
          <w:trHeight w:val="256"/>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France S.A.S.</w:t>
            </w:r>
          </w:p>
        </w:tc>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France</w:t>
            </w:r>
          </w:p>
        </w:tc>
      </w:tr>
      <w:tr>
        <w:trPr>
          <w:trHeight w:val="257"/>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Kyndryl Deutschland GmbH</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Germany</w:t>
            </w:r>
          </w:p>
        </w:tc>
      </w:tr>
      <w:tr>
        <w:trPr>
          <w:trHeight w:val="256"/>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Hellas Single Member Societe Anonyme</w:t>
            </w:r>
          </w:p>
        </w:tc>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Greece</w:t>
            </w:r>
          </w:p>
        </w:tc>
      </w:tr>
      <w:tr>
        <w:trPr>
          <w:trHeight w:val="257"/>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Kyndryl Hong Kong Limited</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Hong Kong</w:t>
            </w:r>
          </w:p>
        </w:tc>
      </w:tr>
      <w:tr>
        <w:trPr>
          <w:trHeight w:val="256"/>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Hungary Kft.</w:t>
            </w:r>
          </w:p>
        </w:tc>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Hungary</w:t>
            </w:r>
          </w:p>
        </w:tc>
      </w:tr>
      <w:tr>
        <w:trPr>
          <w:trHeight w:val="257"/>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Kyndryl Solutions Private Limited</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India</w:t>
            </w:r>
          </w:p>
        </w:tc>
      </w:tr>
      <w:tr>
        <w:trPr>
          <w:trHeight w:val="257"/>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PT Kyndryl Solutions Indonesia</w:t>
            </w:r>
          </w:p>
        </w:tc>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256"/>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Kyndryl Ireland Limited</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Ireland</w:t>
            </w:r>
          </w:p>
        </w:tc>
      </w:tr>
      <w:tr>
        <w:trPr>
          <w:trHeight w:val="257"/>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Treasury Services Designated Activity Company</w:t>
            </w:r>
          </w:p>
        </w:tc>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Ireland</w:t>
            </w:r>
          </w:p>
        </w:tc>
      </w:tr>
      <w:tr>
        <w:trPr>
          <w:trHeight w:val="256"/>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Kyndryl Israel Ltd.</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Israel</w:t>
            </w:r>
          </w:p>
        </w:tc>
      </w:tr>
      <w:tr>
        <w:trPr>
          <w:trHeight w:val="257"/>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Italia S.P.A.</w:t>
            </w:r>
          </w:p>
        </w:tc>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Italy</w:t>
            </w:r>
          </w:p>
        </w:tc>
      </w:tr>
      <w:tr>
        <w:trPr>
          <w:trHeight w:val="256"/>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Kyndryl Japan KK</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57"/>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Korea LLC</w:t>
            </w:r>
          </w:p>
        </w:tc>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Korea</w:t>
            </w:r>
          </w:p>
        </w:tc>
      </w:tr>
      <w:tr>
        <w:trPr>
          <w:trHeight w:val="256"/>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Kyndryl Latvia SIA</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Latvia</w:t>
            </w:r>
          </w:p>
        </w:tc>
      </w:tr>
      <w:tr>
        <w:trPr>
          <w:trHeight w:val="257"/>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Lithuania UAB</w:t>
            </w:r>
          </w:p>
        </w:tc>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Lithuania</w:t>
            </w:r>
          </w:p>
        </w:tc>
      </w:tr>
      <w:tr>
        <w:trPr>
          <w:trHeight w:val="257"/>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Kyndryl Luxembourg S.a.r.l.</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Luxembourg</w:t>
            </w:r>
          </w:p>
        </w:tc>
      </w:tr>
      <w:tr>
        <w:trPr>
          <w:trHeight w:val="256"/>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Macau Limited</w:t>
            </w:r>
          </w:p>
        </w:tc>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Macao</w:t>
            </w:r>
          </w:p>
        </w:tc>
      </w:tr>
      <w:tr>
        <w:trPr>
          <w:trHeight w:val="257"/>
        </w:trPr>
        <w:tc>
          <w:tcPr>
            <w:tcW w:w="20" w:type="dxa"/>
            <w:vAlign w:val="bottom"/>
          </w:tcPr>
          <w:p>
            <w:pPr>
              <w:spacing w:after="0"/>
              <w:rPr>
                <w:sz w:val="22"/>
                <w:szCs w:val="22"/>
                <w:color w:val="auto"/>
              </w:rPr>
            </w:pPr>
          </w:p>
        </w:tc>
        <w:tc>
          <w:tcPr>
            <w:tcW w:w="6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Kyndryl Malaysia Sdn. Bhd.</w:t>
            </w: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Malaysia</w:t>
            </w:r>
          </w:p>
        </w:tc>
      </w:tr>
      <w:tr>
        <w:trPr>
          <w:trHeight w:val="256"/>
        </w:trPr>
        <w:tc>
          <w:tcPr>
            <w:tcW w:w="20" w:type="dxa"/>
            <w:vAlign w:val="bottom"/>
          </w:tcPr>
          <w:p>
            <w:pPr>
              <w:spacing w:after="0"/>
              <w:rPr>
                <w:sz w:val="22"/>
                <w:szCs w:val="22"/>
                <w:color w:val="auto"/>
              </w:rPr>
            </w:pPr>
          </w:p>
        </w:tc>
        <w:tc>
          <w:tcPr>
            <w:tcW w:w="6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Mexico S. de R.L. de C.V.</w:t>
            </w:r>
          </w:p>
        </w:tc>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Mexico</w:t>
            </w:r>
          </w:p>
        </w:tc>
      </w:tr>
      <w:tr>
        <w:trPr>
          <w:trHeight w:val="561"/>
        </w:trPr>
        <w:tc>
          <w:tcPr>
            <w:tcW w:w="20" w:type="dxa"/>
            <w:vAlign w:val="bottom"/>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26" w:name="page127"/>
    <w:bookmarkEnd w:id="126"/>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Kyndryl 1 B.V.</w:t>
            </w:r>
          </w:p>
        </w:tc>
        <w:tc>
          <w:tcPr>
            <w:tcW w:w="2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Netherlands</w:t>
            </w:r>
          </w:p>
        </w:tc>
      </w:tr>
      <w:tr>
        <w:trPr>
          <w:trHeight w:val="257"/>
        </w:trPr>
        <w:tc>
          <w:tcPr>
            <w:tcW w:w="6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Nederland B.V.</w:t>
            </w:r>
          </w:p>
        </w:tc>
        <w:tc>
          <w:tcPr>
            <w:tcW w:w="2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Netherlands</w:t>
            </w:r>
          </w:p>
        </w:tc>
      </w:tr>
      <w:tr>
        <w:trPr>
          <w:trHeight w:val="256"/>
        </w:trPr>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Kyndryl New Zealand Limited</w:t>
            </w:r>
          </w:p>
        </w:tc>
        <w:tc>
          <w:tcPr>
            <w:tcW w:w="2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New Zealand</w:t>
            </w:r>
          </w:p>
        </w:tc>
      </w:tr>
      <w:tr>
        <w:trPr>
          <w:trHeight w:val="257"/>
        </w:trPr>
        <w:tc>
          <w:tcPr>
            <w:tcW w:w="6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Norway AS</w:t>
            </w:r>
          </w:p>
        </w:tc>
        <w:tc>
          <w:tcPr>
            <w:tcW w:w="2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Norway</w:t>
            </w:r>
          </w:p>
        </w:tc>
      </w:tr>
      <w:tr>
        <w:trPr>
          <w:trHeight w:val="257"/>
        </w:trPr>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Kyndryl Pakistan (Private) Limited</w:t>
            </w:r>
          </w:p>
        </w:tc>
        <w:tc>
          <w:tcPr>
            <w:tcW w:w="2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Pakistan</w:t>
            </w:r>
          </w:p>
        </w:tc>
      </w:tr>
      <w:tr>
        <w:trPr>
          <w:trHeight w:val="257"/>
        </w:trPr>
        <w:tc>
          <w:tcPr>
            <w:tcW w:w="6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Peru S.A.C.</w:t>
            </w:r>
          </w:p>
        </w:tc>
        <w:tc>
          <w:tcPr>
            <w:tcW w:w="2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Peru</w:t>
            </w:r>
          </w:p>
        </w:tc>
      </w:tr>
      <w:tr>
        <w:trPr>
          <w:trHeight w:val="257"/>
        </w:trPr>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Kyndryl Philippines, Incorporated</w:t>
            </w:r>
          </w:p>
        </w:tc>
        <w:tc>
          <w:tcPr>
            <w:tcW w:w="2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Philippines</w:t>
            </w:r>
          </w:p>
        </w:tc>
      </w:tr>
      <w:tr>
        <w:trPr>
          <w:trHeight w:val="256"/>
        </w:trPr>
        <w:tc>
          <w:tcPr>
            <w:tcW w:w="6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Poland Sp. z.o.o.</w:t>
            </w:r>
          </w:p>
        </w:tc>
        <w:tc>
          <w:tcPr>
            <w:tcW w:w="2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Poland</w:t>
            </w:r>
          </w:p>
        </w:tc>
      </w:tr>
      <w:tr>
        <w:trPr>
          <w:trHeight w:val="257"/>
        </w:trPr>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KNDRL Services Portugal, S.A.</w:t>
            </w:r>
          </w:p>
        </w:tc>
        <w:tc>
          <w:tcPr>
            <w:tcW w:w="2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Portugal</w:t>
            </w:r>
          </w:p>
        </w:tc>
      </w:tr>
      <w:tr>
        <w:trPr>
          <w:trHeight w:val="257"/>
        </w:trPr>
        <w:tc>
          <w:tcPr>
            <w:tcW w:w="6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Romania S.R.L.</w:t>
            </w:r>
          </w:p>
        </w:tc>
        <w:tc>
          <w:tcPr>
            <w:tcW w:w="2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Romania</w:t>
            </w:r>
          </w:p>
        </w:tc>
      </w:tr>
      <w:tr>
        <w:trPr>
          <w:trHeight w:val="257"/>
        </w:trPr>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Kyndryl Saudi Information Technology Company</w:t>
            </w:r>
          </w:p>
        </w:tc>
        <w:tc>
          <w:tcPr>
            <w:tcW w:w="2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Saudi Arabia</w:t>
            </w:r>
          </w:p>
        </w:tc>
      </w:tr>
      <w:tr>
        <w:trPr>
          <w:trHeight w:val="256"/>
        </w:trPr>
        <w:tc>
          <w:tcPr>
            <w:tcW w:w="6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(Singapore) Pte. Ltd.</w:t>
            </w:r>
          </w:p>
        </w:tc>
        <w:tc>
          <w:tcPr>
            <w:tcW w:w="2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Singapore</w:t>
            </w:r>
          </w:p>
        </w:tc>
      </w:tr>
      <w:tr>
        <w:trPr>
          <w:trHeight w:val="257"/>
        </w:trPr>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Kyndryl Services Slovensko, spol. s r.o.</w:t>
            </w:r>
          </w:p>
        </w:tc>
        <w:tc>
          <w:tcPr>
            <w:tcW w:w="2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Slovakia</w:t>
            </w:r>
          </w:p>
        </w:tc>
      </w:tr>
      <w:tr>
        <w:trPr>
          <w:trHeight w:val="257"/>
        </w:trPr>
        <w:tc>
          <w:tcPr>
            <w:tcW w:w="6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Ljubljana, storitve informacijske tehnologije, d.o.o.</w:t>
            </w:r>
          </w:p>
        </w:tc>
        <w:tc>
          <w:tcPr>
            <w:tcW w:w="2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Slovenia</w:t>
            </w:r>
          </w:p>
        </w:tc>
      </w:tr>
      <w:tr>
        <w:trPr>
          <w:trHeight w:val="257"/>
        </w:trPr>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Kyndryl South Africa (Pty) Limited</w:t>
            </w:r>
          </w:p>
        </w:tc>
        <w:tc>
          <w:tcPr>
            <w:tcW w:w="2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South Africa</w:t>
            </w:r>
          </w:p>
        </w:tc>
      </w:tr>
      <w:tr>
        <w:trPr>
          <w:trHeight w:val="257"/>
        </w:trPr>
        <w:tc>
          <w:tcPr>
            <w:tcW w:w="6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España, S.A.U.</w:t>
            </w:r>
          </w:p>
        </w:tc>
        <w:tc>
          <w:tcPr>
            <w:tcW w:w="2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Spain</w:t>
            </w:r>
          </w:p>
        </w:tc>
      </w:tr>
      <w:tr>
        <w:trPr>
          <w:trHeight w:val="256"/>
        </w:trPr>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Kyndryl Svenska Aktiebolag</w:t>
            </w:r>
          </w:p>
        </w:tc>
        <w:tc>
          <w:tcPr>
            <w:tcW w:w="2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Sweden</w:t>
            </w:r>
          </w:p>
        </w:tc>
      </w:tr>
      <w:tr>
        <w:trPr>
          <w:trHeight w:val="257"/>
        </w:trPr>
        <w:tc>
          <w:tcPr>
            <w:tcW w:w="6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Switzerland GmbH</w:t>
            </w:r>
          </w:p>
        </w:tc>
        <w:tc>
          <w:tcPr>
            <w:tcW w:w="2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Switzerland</w:t>
            </w:r>
          </w:p>
        </w:tc>
      </w:tr>
      <w:tr>
        <w:trPr>
          <w:trHeight w:val="257"/>
        </w:trPr>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Kyndryl Taiwan Corporation</w:t>
            </w:r>
          </w:p>
        </w:tc>
        <w:tc>
          <w:tcPr>
            <w:tcW w:w="2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Taiwan</w:t>
            </w:r>
          </w:p>
        </w:tc>
      </w:tr>
      <w:tr>
        <w:trPr>
          <w:trHeight w:val="257"/>
        </w:trPr>
        <w:tc>
          <w:tcPr>
            <w:tcW w:w="6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(Thailand) Company Limited</w:t>
            </w:r>
          </w:p>
        </w:tc>
        <w:tc>
          <w:tcPr>
            <w:tcW w:w="2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Thailand</w:t>
            </w:r>
          </w:p>
        </w:tc>
      </w:tr>
      <w:tr>
        <w:trPr>
          <w:trHeight w:val="256"/>
        </w:trPr>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Kyndryl Global Services IS ve Teknoloji Hizmetleri ve Ticaret Limited Sirketi</w:t>
            </w:r>
          </w:p>
        </w:tc>
        <w:tc>
          <w:tcPr>
            <w:tcW w:w="2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Turkey</w:t>
            </w:r>
          </w:p>
        </w:tc>
      </w:tr>
      <w:tr>
        <w:trPr>
          <w:trHeight w:val="257"/>
        </w:trPr>
        <w:tc>
          <w:tcPr>
            <w:tcW w:w="6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Middle East LLC</w:t>
            </w:r>
          </w:p>
        </w:tc>
        <w:tc>
          <w:tcPr>
            <w:tcW w:w="2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UAE</w:t>
            </w:r>
          </w:p>
        </w:tc>
      </w:tr>
      <w:tr>
        <w:trPr>
          <w:trHeight w:val="257"/>
        </w:trPr>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Kyndryl Ukraine LLC</w:t>
            </w:r>
          </w:p>
        </w:tc>
        <w:tc>
          <w:tcPr>
            <w:tcW w:w="2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Ukraine</w:t>
            </w:r>
          </w:p>
        </w:tc>
      </w:tr>
      <w:tr>
        <w:trPr>
          <w:trHeight w:val="257"/>
        </w:trPr>
        <w:tc>
          <w:tcPr>
            <w:tcW w:w="6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UK Limited</w:t>
            </w:r>
          </w:p>
        </w:tc>
        <w:tc>
          <w:tcPr>
            <w:tcW w:w="2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57"/>
        </w:trPr>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Kyndryl, Inc.</w:t>
            </w:r>
          </w:p>
        </w:tc>
        <w:tc>
          <w:tcPr>
            <w:tcW w:w="2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56"/>
        </w:trPr>
        <w:tc>
          <w:tcPr>
            <w:tcW w:w="6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Uruguay S.A.</w:t>
            </w:r>
          </w:p>
        </w:tc>
        <w:tc>
          <w:tcPr>
            <w:tcW w:w="2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Uruguay</w:t>
            </w:r>
          </w:p>
        </w:tc>
      </w:tr>
      <w:tr>
        <w:trPr>
          <w:trHeight w:val="256"/>
        </w:trPr>
        <w:tc>
          <w:tcPr>
            <w:tcW w:w="6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Kyndryl Venezuela S.C.A</w:t>
            </w:r>
          </w:p>
        </w:tc>
        <w:tc>
          <w:tcPr>
            <w:tcW w:w="2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Venezuela</w:t>
            </w:r>
          </w:p>
        </w:tc>
      </w:tr>
      <w:tr>
        <w:trPr>
          <w:trHeight w:val="257"/>
        </w:trPr>
        <w:tc>
          <w:tcPr>
            <w:tcW w:w="6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Kyndryl Vietnam Company Limited</w:t>
            </w:r>
          </w:p>
        </w:tc>
        <w:tc>
          <w:tcPr>
            <w:tcW w:w="2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Vietnam</w:t>
            </w:r>
          </w:p>
        </w:tc>
      </w:tr>
    </w:tbl>
    <w:p>
      <w:pPr>
        <w:spacing w:after="0" w:line="211" w:lineRule="exact"/>
        <w:rPr>
          <w:sz w:val="20"/>
          <w:szCs w:val="20"/>
          <w:color w:val="auto"/>
        </w:rPr>
      </w:pPr>
    </w:p>
    <w:p>
      <w:pPr>
        <w:jc w:val="both"/>
        <w:ind w:left="200" w:right="539"/>
        <w:spacing w:after="0" w:line="266" w:lineRule="auto"/>
        <w:rPr>
          <w:sz w:val="20"/>
          <w:szCs w:val="20"/>
          <w:color w:val="auto"/>
        </w:rPr>
      </w:pPr>
      <w:r>
        <w:rPr>
          <w:rFonts w:ascii="Times New Roman" w:cs="Times New Roman" w:eastAsia="Times New Roman" w:hAnsi="Times New Roman"/>
          <w:sz w:val="18"/>
          <w:szCs w:val="18"/>
          <w:color w:val="auto"/>
        </w:rPr>
        <w:t>The names of particular subsidiaries have been omitted because, considered in the aggregate as a single subsidiary, they would not constitute, as of the end of the year covered by this report, a “significant subsidiary” as that term is defined in Rule 1-02(w) of Regulation S-X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328930</wp:posOffset>
            </wp:positionV>
            <wp:extent cx="545211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62" w:right="1440"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31" w:lineRule="exact"/>
        <w:rPr>
          <w:sz w:val="20"/>
          <w:szCs w:val="20"/>
          <w:color w:val="auto"/>
        </w:rPr>
      </w:pPr>
    </w:p>
    <w:p>
      <w:pPr>
        <w:ind w:right="220"/>
        <w:spacing w:after="0" w:line="237"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S-3 (No. 333-276713) and on Form S-8 (Nos. 333-260412, 333-266427 and 333-273537) of Kyndryl Holdings, Inc. of our report dated May 30, 2024 relating to the financial statements and the effectiveness of internal control over financial reporting, which appears in this Form 10-K.</w:t>
      </w:r>
    </w:p>
    <w:p>
      <w:pPr>
        <w:spacing w:after="0" w:line="216"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37" w:lineRule="auto"/>
        <w:rPr>
          <w:sz w:val="20"/>
          <w:szCs w:val="20"/>
          <w:color w:val="auto"/>
        </w:rPr>
      </w:pPr>
      <w:r>
        <w:rPr>
          <w:rFonts w:ascii="Georgia" w:cs="Georgia" w:eastAsia="Georgia" w:hAnsi="Georgia"/>
          <w:sz w:val="18"/>
          <w:szCs w:val="18"/>
          <w:color w:val="auto"/>
        </w:rPr>
        <w:t>New York, New York</w:t>
      </w:r>
    </w:p>
    <w:p>
      <w:pPr>
        <w:spacing w:after="0"/>
        <w:rPr>
          <w:sz w:val="20"/>
          <w:szCs w:val="20"/>
          <w:color w:val="auto"/>
        </w:rPr>
      </w:pPr>
      <w:r>
        <w:rPr>
          <w:rFonts w:ascii="Georgia" w:cs="Georgia" w:eastAsia="Georgia" w:hAnsi="Georgia"/>
          <w:sz w:val="18"/>
          <w:szCs w:val="18"/>
          <w:color w:val="auto"/>
        </w:rPr>
        <w:t>May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601345</wp:posOffset>
            </wp:positionV>
            <wp:extent cx="629221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20" w:right="999" w:bottom="1440" w:gutter="0" w:footer="0" w:header="0"/>
        </w:sectPr>
      </w:pPr>
    </w:p>
    <w:bookmarkStart w:id="128" w:name="page129"/>
    <w:bookmarkEnd w:id="128"/>
    <w:p>
      <w:pPr>
        <w:ind w:left="8020"/>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48" w:lineRule="exact"/>
        <w:rPr>
          <w:sz w:val="20"/>
          <w:szCs w:val="20"/>
          <w:color w:val="auto"/>
        </w:rPr>
      </w:pPr>
    </w:p>
    <w:p>
      <w:pPr>
        <w:ind w:left="60" w:right="139" w:firstLine="405"/>
        <w:spacing w:after="0" w:line="253"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Edward Sebold and Evan Barth, and each of them, any of whom may act without joinder of the other, the individual’s true and lawful attorneys-in-fact and agents, with full power of substitution and resubstitution, for the person and in his or her name, place and stead, in any and all capacities, to sign this Annual Report on Form 10-K and any or all amendments thereto, and all other documents in connection therewith to be filed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as agents or any of them, or their substitute or substitutes, may lawfully do or cause to be done by virtue hereof. This Power of Attorney may be signed in any number of counterparts, each of which shall constitute an original and all of which, taken together, shall constitute one Power of Attorney.</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20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442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0" w:type="dxa"/>
            <w:vAlign w:val="bottom"/>
          </w:tcPr>
          <w:p>
            <w:pPr>
              <w:spacing w:after="0"/>
              <w:rPr>
                <w:sz w:val="20"/>
                <w:szCs w:val="20"/>
                <w:color w:val="auto"/>
              </w:rPr>
            </w:pPr>
          </w:p>
        </w:tc>
        <w:tc>
          <w:tcPr>
            <w:tcW w:w="16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Date</w:t>
            </w:r>
          </w:p>
        </w:tc>
        <w:tc>
          <w:tcPr>
            <w:tcW w:w="20" w:type="dxa"/>
            <w:vAlign w:val="bottom"/>
          </w:tcPr>
          <w:p>
            <w:pPr>
              <w:spacing w:after="0"/>
              <w:rPr>
                <w:sz w:val="20"/>
                <w:szCs w:val="20"/>
                <w:color w:val="auto"/>
              </w:rPr>
            </w:pPr>
          </w:p>
        </w:tc>
      </w:tr>
      <w:tr>
        <w:trPr>
          <w:trHeight w:val="426"/>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Martin J. Schroeter</w:t>
            </w:r>
          </w:p>
        </w:tc>
        <w:tc>
          <w:tcPr>
            <w:tcW w:w="4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7"/>
              </w:rPr>
              <w:t>May 30, 2024</w:t>
            </w:r>
          </w:p>
        </w:tc>
      </w:tr>
      <w:tr>
        <w:trPr>
          <w:trHeight w:val="228"/>
        </w:trPr>
        <w:tc>
          <w:tcPr>
            <w:tcW w:w="58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Martin J. Schroeter</w:t>
            </w:r>
          </w:p>
        </w:tc>
        <w:tc>
          <w:tcPr>
            <w:tcW w:w="4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B. Wyshner</w:t>
            </w:r>
          </w:p>
        </w:tc>
        <w:tc>
          <w:tcPr>
            <w:tcW w:w="4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Chief Financial Officer</w:t>
            </w: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7"/>
              </w:rPr>
              <w:t>May 30, 2024</w:t>
            </w:r>
          </w:p>
        </w:tc>
      </w:tr>
      <w:tr>
        <w:trPr>
          <w:trHeight w:val="228"/>
        </w:trPr>
        <w:tc>
          <w:tcPr>
            <w:tcW w:w="58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David B. Wyshner</w:t>
            </w:r>
          </w:p>
        </w:tc>
        <w:tc>
          <w:tcPr>
            <w:tcW w:w="4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Vineet Khurana</w:t>
            </w:r>
          </w:p>
        </w:tc>
        <w:tc>
          <w:tcPr>
            <w:tcW w:w="4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Senior Vice President and Global Controller</w:t>
            </w: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7"/>
              </w:rPr>
              <w:t>May 30, 2024</w:t>
            </w:r>
          </w:p>
        </w:tc>
      </w:tr>
      <w:tr>
        <w:trPr>
          <w:trHeight w:val="228"/>
        </w:trPr>
        <w:tc>
          <w:tcPr>
            <w:tcW w:w="58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Vineet Khurana</w:t>
            </w:r>
          </w:p>
        </w:tc>
        <w:tc>
          <w:tcPr>
            <w:tcW w:w="4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Dominic J. Caruso</w:t>
            </w:r>
          </w:p>
        </w:tc>
        <w:tc>
          <w:tcPr>
            <w:tcW w:w="4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7"/>
              </w:rPr>
              <w:t>May 30, 2024</w:t>
            </w:r>
          </w:p>
        </w:tc>
      </w:tr>
      <w:tr>
        <w:trPr>
          <w:trHeight w:val="228"/>
        </w:trPr>
        <w:tc>
          <w:tcPr>
            <w:tcW w:w="58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Dominic J. Caruso</w:t>
            </w:r>
          </w:p>
        </w:tc>
        <w:tc>
          <w:tcPr>
            <w:tcW w:w="4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D. Harris II</w:t>
            </w:r>
          </w:p>
        </w:tc>
        <w:tc>
          <w:tcPr>
            <w:tcW w:w="4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7"/>
              </w:rPr>
              <w:t>May 30, 2024</w:t>
            </w:r>
          </w:p>
        </w:tc>
      </w:tr>
      <w:tr>
        <w:trPr>
          <w:trHeight w:val="228"/>
        </w:trPr>
        <w:tc>
          <w:tcPr>
            <w:tcW w:w="58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John D. Harris II</w:t>
            </w:r>
          </w:p>
        </w:tc>
        <w:tc>
          <w:tcPr>
            <w:tcW w:w="4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A.M. Hester</w:t>
            </w:r>
          </w:p>
        </w:tc>
        <w:tc>
          <w:tcPr>
            <w:tcW w:w="4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7"/>
              </w:rPr>
              <w:t>May 30, 2024</w:t>
            </w:r>
          </w:p>
        </w:tc>
      </w:tr>
      <w:tr>
        <w:trPr>
          <w:trHeight w:val="228"/>
        </w:trPr>
        <w:tc>
          <w:tcPr>
            <w:tcW w:w="58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Stephen A.M. Hester</w:t>
            </w:r>
          </w:p>
        </w:tc>
        <w:tc>
          <w:tcPr>
            <w:tcW w:w="4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Shirley Ann Jackson</w:t>
            </w:r>
          </w:p>
        </w:tc>
        <w:tc>
          <w:tcPr>
            <w:tcW w:w="4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7"/>
              </w:rPr>
              <w:t>May 30, 2024</w:t>
            </w:r>
          </w:p>
        </w:tc>
      </w:tr>
      <w:tr>
        <w:trPr>
          <w:trHeight w:val="228"/>
        </w:trPr>
        <w:tc>
          <w:tcPr>
            <w:tcW w:w="58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Shirley Ann Jackson</w:t>
            </w:r>
          </w:p>
        </w:tc>
        <w:tc>
          <w:tcPr>
            <w:tcW w:w="4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Janina Kugel</w:t>
            </w:r>
          </w:p>
        </w:tc>
        <w:tc>
          <w:tcPr>
            <w:tcW w:w="4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7"/>
              </w:rPr>
              <w:t>May 30, 2024</w:t>
            </w:r>
          </w:p>
        </w:tc>
      </w:tr>
      <w:tr>
        <w:trPr>
          <w:trHeight w:val="228"/>
        </w:trPr>
        <w:tc>
          <w:tcPr>
            <w:tcW w:w="58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Janina Kugel</w:t>
            </w:r>
          </w:p>
        </w:tc>
        <w:tc>
          <w:tcPr>
            <w:tcW w:w="4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Denis Machuel</w:t>
            </w:r>
          </w:p>
        </w:tc>
        <w:tc>
          <w:tcPr>
            <w:tcW w:w="4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7"/>
              </w:rPr>
              <w:t>May 30, 2024</w:t>
            </w:r>
          </w:p>
        </w:tc>
      </w:tr>
      <w:tr>
        <w:trPr>
          <w:trHeight w:val="228"/>
        </w:trPr>
        <w:tc>
          <w:tcPr>
            <w:tcW w:w="58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Denis Machuel</w:t>
            </w:r>
          </w:p>
        </w:tc>
        <w:tc>
          <w:tcPr>
            <w:tcW w:w="4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Rahul N. Merchant</w:t>
            </w:r>
          </w:p>
        </w:tc>
        <w:tc>
          <w:tcPr>
            <w:tcW w:w="4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7"/>
              </w:rPr>
              <w:t>May 30, 2024</w:t>
            </w:r>
          </w:p>
        </w:tc>
      </w:tr>
      <w:tr>
        <w:trPr>
          <w:trHeight w:val="228"/>
        </w:trPr>
        <w:tc>
          <w:tcPr>
            <w:tcW w:w="58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Rahul N. Merchant</w:t>
            </w:r>
          </w:p>
        </w:tc>
        <w:tc>
          <w:tcPr>
            <w:tcW w:w="4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Jana Schreuder</w:t>
            </w:r>
          </w:p>
        </w:tc>
        <w:tc>
          <w:tcPr>
            <w:tcW w:w="4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7"/>
              </w:rPr>
              <w:t>May 30, 2024</w:t>
            </w:r>
          </w:p>
        </w:tc>
      </w:tr>
      <w:tr>
        <w:trPr>
          <w:trHeight w:val="228"/>
        </w:trPr>
        <w:tc>
          <w:tcPr>
            <w:tcW w:w="58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Jana Schreuder</w:t>
            </w:r>
          </w:p>
        </w:tc>
        <w:tc>
          <w:tcPr>
            <w:tcW w:w="4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Howard I. Ungerleider</w:t>
            </w:r>
          </w:p>
        </w:tc>
        <w:tc>
          <w:tcPr>
            <w:tcW w:w="4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w w:val="97"/>
              </w:rPr>
              <w:t>May 30, 2024</w:t>
            </w:r>
          </w:p>
        </w:tc>
      </w:tr>
      <w:tr>
        <w:trPr>
          <w:trHeight w:val="228"/>
        </w:trPr>
        <w:tc>
          <w:tcPr>
            <w:tcW w:w="580" w:type="dxa"/>
            <w:vAlign w:val="bottom"/>
          </w:tcPr>
          <w:p>
            <w:pPr>
              <w:spacing w:after="0"/>
              <w:rPr>
                <w:sz w:val="19"/>
                <w:szCs w:val="19"/>
                <w:color w:val="auto"/>
              </w:rPr>
            </w:pP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Howard I. Ungerleider</w:t>
            </w:r>
          </w:p>
        </w:tc>
        <w:tc>
          <w:tcPr>
            <w:tcW w:w="4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758"/>
        </w:trPr>
        <w:tc>
          <w:tcPr>
            <w:tcW w:w="5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29" w:name="page130"/>
    <w:bookmarkEnd w:id="12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Martin J. Schroeter, certify that:</w:t>
      </w:r>
    </w:p>
    <w:p>
      <w:pPr>
        <w:spacing w:after="0" w:line="225" w:lineRule="exact"/>
        <w:rPr>
          <w:sz w:val="20"/>
          <w:szCs w:val="20"/>
          <w:color w:val="auto"/>
        </w:rPr>
      </w:pPr>
    </w:p>
    <w:p>
      <w:pPr>
        <w:ind w:left="240" w:hanging="190"/>
        <w:spacing w:after="0"/>
        <w:tabs>
          <w:tab w:leader="none" w:pos="2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Kyndryl Holdings, Inc.;</w:t>
      </w:r>
    </w:p>
    <w:p>
      <w:pPr>
        <w:spacing w:after="0" w:line="225" w:lineRule="exact"/>
        <w:rPr>
          <w:rFonts w:ascii="Times New Roman" w:cs="Times New Roman" w:eastAsia="Times New Roman" w:hAnsi="Times New Roman"/>
          <w:sz w:val="18"/>
          <w:szCs w:val="18"/>
          <w:color w:val="auto"/>
        </w:rPr>
      </w:pPr>
    </w:p>
    <w:p>
      <w:pPr>
        <w:ind w:left="60" w:right="259" w:hanging="10"/>
        <w:spacing w:after="0" w:line="266" w:lineRule="auto"/>
        <w:tabs>
          <w:tab w:leader="none" w:pos="2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0" w:right="219" w:hanging="10"/>
        <w:spacing w:after="0" w:line="266" w:lineRule="auto"/>
        <w:tabs>
          <w:tab w:leader="none" w:pos="2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60" w:right="319" w:hanging="10"/>
        <w:spacing w:after="0" w:line="266" w:lineRule="auto"/>
        <w:tabs>
          <w:tab w:leader="none" w:pos="2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420" w:right="139"/>
        <w:spacing w:after="0" w:line="261" w:lineRule="auto"/>
        <w:tabs>
          <w:tab w:leader="none" w:pos="605"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420" w:right="119"/>
        <w:spacing w:after="0" w:line="261" w:lineRule="auto"/>
        <w:tabs>
          <w:tab w:leader="none" w:pos="615"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420" w:right="259"/>
        <w:spacing w:after="0" w:line="266" w:lineRule="auto"/>
        <w:tabs>
          <w:tab w:leader="none" w:pos="605"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420" w:right="159"/>
        <w:spacing w:after="0" w:line="261" w:lineRule="auto"/>
        <w:tabs>
          <w:tab w:leader="none" w:pos="615"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0" w:right="79" w:hanging="10"/>
        <w:spacing w:after="0" w:line="266" w:lineRule="auto"/>
        <w:tabs>
          <w:tab w:leader="none" w:pos="2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420" w:right="379"/>
        <w:spacing w:after="0" w:line="266" w:lineRule="auto"/>
        <w:tabs>
          <w:tab w:leader="none" w:pos="605"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420" w:right="319"/>
        <w:spacing w:after="0" w:line="282" w:lineRule="auto"/>
        <w:tabs>
          <w:tab w:leader="none" w:pos="615"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May 30, 2024</w:t>
      </w:r>
    </w:p>
    <w:p>
      <w:pPr>
        <w:spacing w:after="0" w:line="23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Martin J. Schroeter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00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9">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Martin J. Schroeter</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30" w:name="page131"/>
    <w:bookmarkEnd w:id="130"/>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David B. Wyshner, certify that:</w:t>
      </w:r>
    </w:p>
    <w:p>
      <w:pPr>
        <w:spacing w:after="0" w:line="225" w:lineRule="exact"/>
        <w:rPr>
          <w:sz w:val="20"/>
          <w:szCs w:val="20"/>
          <w:color w:val="auto"/>
        </w:rPr>
      </w:pPr>
    </w:p>
    <w:p>
      <w:pPr>
        <w:ind w:left="240" w:hanging="190"/>
        <w:spacing w:after="0"/>
        <w:tabs>
          <w:tab w:leader="none" w:pos="2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Kyndryl Holdings, Inc.;</w:t>
      </w:r>
    </w:p>
    <w:p>
      <w:pPr>
        <w:spacing w:after="0" w:line="225" w:lineRule="exact"/>
        <w:rPr>
          <w:rFonts w:ascii="Times New Roman" w:cs="Times New Roman" w:eastAsia="Times New Roman" w:hAnsi="Times New Roman"/>
          <w:sz w:val="18"/>
          <w:szCs w:val="18"/>
          <w:color w:val="auto"/>
        </w:rPr>
      </w:pPr>
    </w:p>
    <w:p>
      <w:pPr>
        <w:ind w:left="60" w:right="259" w:hanging="10"/>
        <w:spacing w:after="0" w:line="266" w:lineRule="auto"/>
        <w:tabs>
          <w:tab w:leader="none" w:pos="2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0" w:right="219" w:hanging="10"/>
        <w:spacing w:after="0" w:line="266" w:lineRule="auto"/>
        <w:tabs>
          <w:tab w:leader="none" w:pos="2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60" w:right="319" w:hanging="10"/>
        <w:spacing w:after="0" w:line="266" w:lineRule="auto"/>
        <w:tabs>
          <w:tab w:leader="none" w:pos="2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420" w:right="139"/>
        <w:spacing w:after="0" w:line="261" w:lineRule="auto"/>
        <w:tabs>
          <w:tab w:leader="none" w:pos="605"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420" w:right="119"/>
        <w:spacing w:after="0" w:line="261" w:lineRule="auto"/>
        <w:tabs>
          <w:tab w:leader="none" w:pos="615"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ind w:left="420" w:right="259"/>
        <w:spacing w:after="0" w:line="266" w:lineRule="auto"/>
        <w:tabs>
          <w:tab w:leader="none" w:pos="605"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420" w:right="159"/>
        <w:spacing w:after="0" w:line="261" w:lineRule="auto"/>
        <w:tabs>
          <w:tab w:leader="none" w:pos="615"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0" w:right="79" w:hanging="10"/>
        <w:spacing w:after="0" w:line="266" w:lineRule="auto"/>
        <w:tabs>
          <w:tab w:leader="none" w:pos="2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420" w:right="379"/>
        <w:spacing w:after="0" w:line="266" w:lineRule="auto"/>
        <w:tabs>
          <w:tab w:leader="none" w:pos="605"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420" w:right="319"/>
        <w:spacing w:after="0" w:line="282" w:lineRule="auto"/>
        <w:tabs>
          <w:tab w:leader="none" w:pos="615"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May 30, 2024</w:t>
      </w:r>
    </w:p>
    <w:p>
      <w:pPr>
        <w:spacing w:after="0" w:line="23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00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1">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David B. Wyshner</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31" w:name="page132"/>
    <w:bookmarkEnd w:id="13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Kyndryl Holdings, Inc. (the “Company”) on Form 10-K for the fiscal year ended March 31, 2024, as filed with the Securities and Exchange Commission on the date hereof (the “Report”), I, Martin J. Schroeter, Chairman and Chief Executive Officer of the Company, do hereby certify, pursuant to 18 U.S.C. Section 1350, as adopted pursuant to Section 906 of the Sarbanes-Oxley Act of 2002, that:</w:t>
      </w:r>
    </w:p>
    <w:p>
      <w:pPr>
        <w:spacing w:after="0" w:line="180" w:lineRule="exact"/>
        <w:rPr>
          <w:sz w:val="20"/>
          <w:szCs w:val="20"/>
          <w:color w:val="auto"/>
        </w:rPr>
      </w:pPr>
    </w:p>
    <w:p>
      <w:pPr>
        <w:ind w:left="240" w:hanging="190"/>
        <w:spacing w:after="0"/>
        <w:tabs>
          <w:tab w:leader="none" w:pos="2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0" w:right="379" w:hanging="10"/>
        <w:spacing w:after="0" w:line="282" w:lineRule="auto"/>
        <w:tabs>
          <w:tab w:leader="none" w:pos="2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May 30, 2024</w:t>
      </w:r>
    </w:p>
    <w:p>
      <w:pPr>
        <w:spacing w:after="0" w:line="200" w:lineRule="exact"/>
        <w:rPr>
          <w:sz w:val="20"/>
          <w:szCs w:val="20"/>
          <w:color w:val="auto"/>
        </w:rPr>
      </w:pPr>
    </w:p>
    <w:p>
      <w:pPr>
        <w:spacing w:after="0" w:line="26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Martin J. Schroeter</w:t>
      </w:r>
    </w:p>
    <w:p>
      <w:pPr>
        <w:spacing w:after="0" w:line="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Martin J. Schroeter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28200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3">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514350</wp:posOffset>
            </wp:positionV>
            <wp:extent cx="5657850"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32" w:name="page133"/>
    <w:bookmarkEnd w:id="13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Kyndryl Holdings, Inc. (the “Company”) on Form 10-K for the fiscal year ended March 31, 2024, as filed with the Securities and Exchange Commission on the date hereof (the “Report”), I, David B. Wyshner, Chief Financial Officer of the Company, do hereby certify, pursuant to 18 U.S.C. Section 1350, as adopted pursuant to Section 906 of the Sarbanes-Oxley Act of 2002, that:</w:t>
      </w:r>
    </w:p>
    <w:p>
      <w:pPr>
        <w:spacing w:after="0" w:line="180" w:lineRule="exact"/>
        <w:rPr>
          <w:sz w:val="20"/>
          <w:szCs w:val="20"/>
          <w:color w:val="auto"/>
        </w:rPr>
      </w:pPr>
    </w:p>
    <w:p>
      <w:pPr>
        <w:ind w:left="240" w:hanging="190"/>
        <w:spacing w:after="0"/>
        <w:tabs>
          <w:tab w:leader="none" w:pos="2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0" w:right="379" w:hanging="10"/>
        <w:spacing w:after="0" w:line="282" w:lineRule="auto"/>
        <w:tabs>
          <w:tab w:leader="none" w:pos="2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May 30, 2024</w:t>
      </w:r>
    </w:p>
    <w:p>
      <w:pPr>
        <w:spacing w:after="0" w:line="200" w:lineRule="exact"/>
        <w:rPr>
          <w:sz w:val="20"/>
          <w:szCs w:val="20"/>
          <w:color w:val="auto"/>
        </w:rPr>
      </w:pPr>
    </w:p>
    <w:p>
      <w:pPr>
        <w:spacing w:after="0" w:line="26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David B. Wyshner</w:t>
      </w:r>
    </w:p>
    <w:p>
      <w:pPr>
        <w:spacing w:after="0" w:line="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28200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5">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514350</wp:posOffset>
            </wp:positionV>
            <wp:extent cx="5657850"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STATEMENT CLAWBACK POLICY</w:t>
      </w:r>
    </w:p>
    <w:p>
      <w:pPr>
        <w:spacing w:after="0" w:line="203"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This Kyndryl Financial Statement Clawback Policy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has been adopted by the Compensation and Human Capital Committee (the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of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Kyndryl Holdings,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Kyndryl</w:t>
      </w:r>
      <w:r>
        <w:rPr>
          <w:rFonts w:ascii="Times New Roman" w:cs="Times New Roman" w:eastAsia="Times New Roman" w:hAnsi="Times New Roman"/>
          <w:sz w:val="18"/>
          <w:szCs w:val="18"/>
          <w:color w:val="auto"/>
        </w:rPr>
        <w:t>”), effective as of October 2, 2023. This Policy provides for the recoupment of certain executive compensation in the event of an accounting restatement resulting from material noncompliance with financial reporting requirements under U.S. federal securities laws in accordance with the terms and conditions set forth herein. This Policy is intended to comply with the requirements of Section 10D of the Exchange Act (as defined below) and Section 303A.14 of the NYSE Listed Company Manual.</w:t>
      </w:r>
    </w:p>
    <w:p>
      <w:pPr>
        <w:spacing w:after="0" w:line="186" w:lineRule="exact"/>
        <w:rPr>
          <w:sz w:val="20"/>
          <w:szCs w:val="20"/>
          <w:color w:val="auto"/>
        </w:rPr>
      </w:pPr>
    </w:p>
    <w:p>
      <w:pPr>
        <w:ind w:left="660" w:right="60" w:hanging="328"/>
        <w:spacing w:after="0" w:line="266"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the purposes of this Policy, the following terms shall have the meanings set forth below. Capitalized terms used but not defined in this Policy shall have the meanings set forth in the Amended and Restated Kyndryl 2021 Long-Term Performance Plan (as may be amended from time to time)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Kyndryl.</w:t>
      </w:r>
    </w:p>
    <w:p>
      <w:pPr>
        <w:spacing w:after="0" w:line="225" w:lineRule="exact"/>
        <w:rPr>
          <w:rFonts w:ascii="Times New Roman" w:cs="Times New Roman" w:eastAsia="Times New Roman" w:hAnsi="Times New Roman"/>
          <w:sz w:val="18"/>
          <w:szCs w:val="18"/>
          <w:color w:val="auto"/>
        </w:rPr>
      </w:pPr>
    </w:p>
    <w:p>
      <w:pPr>
        <w:ind w:left="1300" w:right="480" w:hanging="320"/>
        <w:spacing w:after="0" w:line="286" w:lineRule="auto"/>
        <w:tabs>
          <w:tab w:leader="none" w:pos="13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the Compensation and Human Capital Committee of the Board or any successor committee thereof.</w:t>
      </w:r>
    </w:p>
    <w:p>
      <w:pPr>
        <w:spacing w:after="0" w:line="154" w:lineRule="exact"/>
        <w:rPr>
          <w:rFonts w:ascii="Times New Roman" w:cs="Times New Roman" w:eastAsia="Times New Roman" w:hAnsi="Times New Roman"/>
          <w:sz w:val="18"/>
          <w:szCs w:val="18"/>
          <w:color w:val="auto"/>
        </w:rPr>
      </w:pPr>
    </w:p>
    <w:p>
      <w:pPr>
        <w:ind w:left="1300" w:right="220" w:hanging="320"/>
        <w:spacing w:after="0" w:line="286" w:lineRule="auto"/>
        <w:tabs>
          <w:tab w:leader="none" w:pos="13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Compensation</w:t>
      </w:r>
      <w:r>
        <w:rPr>
          <w:rFonts w:ascii="Times New Roman" w:cs="Times New Roman" w:eastAsia="Times New Roman" w:hAnsi="Times New Roman"/>
          <w:sz w:val="18"/>
          <w:szCs w:val="18"/>
          <w:color w:val="auto"/>
        </w:rPr>
        <w:t xml:space="preserve">” means any Incentive-based Compensation “received” by a Covered Executive during the applicable Recoupment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58" w:lineRule="exact"/>
        <w:rPr>
          <w:rFonts w:ascii="Times New Roman" w:cs="Times New Roman" w:eastAsia="Times New Roman" w:hAnsi="Times New Roman"/>
          <w:sz w:val="18"/>
          <w:szCs w:val="18"/>
          <w:color w:val="auto"/>
        </w:rPr>
      </w:pPr>
    </w:p>
    <w:p>
      <w:pPr>
        <w:ind w:left="1620" w:right="100" w:hanging="316"/>
        <w:spacing w:after="0" w:line="266" w:lineRule="auto"/>
        <w:tabs>
          <w:tab w:leader="none" w:pos="1620"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Covered Compensation was received by such Covered Executive (A) after the Effective Date, (B) after he or she commenced service as an Executive Officer and (C) while the Company had a class of securities publicly listed on a United States national securities exchange; and</w:t>
      </w:r>
    </w:p>
    <w:p>
      <w:pPr>
        <w:spacing w:after="0" w:line="175" w:lineRule="exact"/>
        <w:rPr>
          <w:rFonts w:ascii="Times New Roman" w:cs="Times New Roman" w:eastAsia="Times New Roman" w:hAnsi="Times New Roman"/>
          <w:sz w:val="18"/>
          <w:szCs w:val="18"/>
          <w:color w:val="auto"/>
        </w:rPr>
      </w:pPr>
    </w:p>
    <w:p>
      <w:pPr>
        <w:ind w:left="1620" w:right="240" w:hanging="316"/>
        <w:spacing w:after="0" w:line="282" w:lineRule="auto"/>
        <w:tabs>
          <w:tab w:leader="none" w:pos="1620"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Covered Executive served as an Executive Officer at any time during the performance period applicable to such Incentive-based Compensation.</w:t>
      </w:r>
    </w:p>
    <w:p>
      <w:pPr>
        <w:spacing w:after="0" w:line="158" w:lineRule="exact"/>
        <w:rPr>
          <w:sz w:val="20"/>
          <w:szCs w:val="20"/>
          <w:color w:val="auto"/>
        </w:rPr>
      </w:pPr>
    </w:p>
    <w:p>
      <w:pPr>
        <w:ind w:left="1220" w:right="120"/>
        <w:spacing w:after="0" w:line="268" w:lineRule="auto"/>
        <w:rPr>
          <w:sz w:val="20"/>
          <w:szCs w:val="20"/>
          <w:color w:val="auto"/>
        </w:rPr>
      </w:pPr>
      <w:r>
        <w:rPr>
          <w:rFonts w:ascii="Times New Roman" w:cs="Times New Roman" w:eastAsia="Times New Roman" w:hAnsi="Times New Roman"/>
          <w:sz w:val="18"/>
          <w:szCs w:val="18"/>
          <w:color w:val="auto"/>
        </w:rPr>
        <w:t>For purposes of this Policy, Incentive-based Compensation is “</w:t>
      </w:r>
      <w:r>
        <w:rPr>
          <w:rFonts w:ascii="Times New Roman" w:cs="Times New Roman" w:eastAsia="Times New Roman" w:hAnsi="Times New Roman"/>
          <w:sz w:val="18"/>
          <w:szCs w:val="18"/>
          <w:b w:val="1"/>
          <w:bCs w:val="1"/>
          <w:color w:val="auto"/>
        </w:rPr>
        <w:t>received</w:t>
      </w:r>
      <w:r>
        <w:rPr>
          <w:rFonts w:ascii="Times New Roman" w:cs="Times New Roman" w:eastAsia="Times New Roman" w:hAnsi="Times New Roman"/>
          <w:sz w:val="18"/>
          <w:szCs w:val="18"/>
          <w:color w:val="auto"/>
        </w:rPr>
        <w:t>” by a Covered Executive during the fiscal period in which the Financial Reporting Measure applicable to such Incentive-based Compensation (or portion thereof) is attained, even if the payment or grant of such Incentive-based Compensation is made thereafter.</w:t>
      </w:r>
    </w:p>
    <w:p>
      <w:pPr>
        <w:spacing w:after="0" w:line="171" w:lineRule="exact"/>
        <w:rPr>
          <w:sz w:val="20"/>
          <w:szCs w:val="20"/>
          <w:color w:val="auto"/>
        </w:rPr>
      </w:pPr>
    </w:p>
    <w:p>
      <w:pPr>
        <w:ind w:left="1300" w:hanging="320"/>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Executive</w:t>
      </w:r>
      <w:r>
        <w:rPr>
          <w:rFonts w:ascii="Times New Roman" w:cs="Times New Roman" w:eastAsia="Times New Roman" w:hAnsi="Times New Roman"/>
          <w:sz w:val="18"/>
          <w:szCs w:val="18"/>
          <w:color w:val="auto"/>
        </w:rPr>
        <w:t>” means any current or former Executive Officer, at any time during the Recoupment Period.</w:t>
      </w:r>
    </w:p>
    <w:p>
      <w:pPr>
        <w:spacing w:after="0" w:line="225" w:lineRule="exact"/>
        <w:rPr>
          <w:rFonts w:ascii="Times New Roman" w:cs="Times New Roman" w:eastAsia="Times New Roman" w:hAnsi="Times New Roman"/>
          <w:sz w:val="18"/>
          <w:szCs w:val="18"/>
          <w:color w:val="auto"/>
        </w:rPr>
      </w:pPr>
    </w:p>
    <w:p>
      <w:pPr>
        <w:ind w:left="1300" w:right="240" w:hanging="320"/>
        <w:spacing w:after="0" w:line="286" w:lineRule="auto"/>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October 2, 2023, the date on which Section 303A.14 of the NYSE Listed Company Manual became effective.</w:t>
      </w:r>
    </w:p>
    <w:p>
      <w:pPr>
        <w:spacing w:after="0" w:line="15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225" w:lineRule="exact"/>
        <w:rPr>
          <w:rFonts w:ascii="Times New Roman" w:cs="Times New Roman" w:eastAsia="Times New Roman" w:hAnsi="Times New Roman"/>
          <w:sz w:val="18"/>
          <w:szCs w:val="18"/>
          <w:color w:val="auto"/>
        </w:rPr>
      </w:pPr>
    </w:p>
    <w:p>
      <w:pPr>
        <w:ind w:left="1300" w:right="140" w:hanging="320"/>
        <w:spacing w:after="0" w:line="262" w:lineRule="auto"/>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Executive Officer</w:t>
      </w:r>
      <w:r>
        <w:rPr>
          <w:rFonts w:ascii="Times New Roman" w:cs="Times New Roman" w:eastAsia="Times New Roman" w:hAnsi="Times New Roman"/>
          <w:sz w:val="18"/>
          <w:szCs w:val="18"/>
          <w:color w:val="auto"/>
        </w:rPr>
        <w:t>” means an “officer” of the Company, as determined pursuant to Rule 16a-1(f) promulgated under the Exchange Act (or any successor rule). The determination as to an individual’s status as an Executive Officer shall be made by the Board and such determination shall be final, conclusive and binding on such individual and all other interested persons.</w:t>
      </w:r>
    </w:p>
    <w:p>
      <w:pPr>
        <w:spacing w:after="0" w:line="176" w:lineRule="exact"/>
        <w:rPr>
          <w:rFonts w:ascii="Times New Roman" w:cs="Times New Roman" w:eastAsia="Times New Roman" w:hAnsi="Times New Roman"/>
          <w:sz w:val="18"/>
          <w:szCs w:val="18"/>
          <w:color w:val="auto"/>
        </w:rPr>
      </w:pPr>
    </w:p>
    <w:p>
      <w:pPr>
        <w:ind w:left="1300" w:right="20" w:hanging="320"/>
        <w:spacing w:after="0" w:line="257" w:lineRule="auto"/>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Reporting Measure</w:t>
      </w:r>
      <w:r>
        <w:rPr>
          <w:rFonts w:ascii="Times New Roman" w:cs="Times New Roman" w:eastAsia="Times New Roman" w:hAnsi="Times New Roman"/>
          <w:sz w:val="18"/>
          <w:szCs w:val="18"/>
          <w:color w:val="auto"/>
        </w:rPr>
        <w:t>” means any (i) measure that is determined and presented in accordance with the accounting principles used in preparing the Company’s financial statements, (ii) stock price measure or (iii) total shareholder return measure (and any measures that are derived wholly or in part from any measure referenced in clause (i), (ii) or (iii) above). For the avoidance of doubt, any such measure does not need to be presented within the Company’s financial statements or included in a filing with the U.S. Securities and Exchange Commission to constitute a Financial Reporting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609600</wp:posOffset>
            </wp:positionV>
            <wp:extent cx="629221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34" w:name="page135"/>
    <w:bookmarkEnd w:id="134"/>
    <w:p>
      <w:pPr>
        <w:jc w:val="both"/>
        <w:ind w:left="968" w:right="160" w:hanging="320"/>
        <w:spacing w:after="0" w:line="268" w:lineRule="auto"/>
        <w:tabs>
          <w:tab w:leader="none" w:pos="96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Restatement</w:t>
      </w:r>
      <w:r>
        <w:rPr>
          <w:rFonts w:ascii="Times New Roman" w:cs="Times New Roman" w:eastAsia="Times New Roman" w:hAnsi="Times New Roman"/>
          <w:sz w:val="18"/>
          <w:szCs w:val="18"/>
          <w:color w:val="auto"/>
        </w:rPr>
        <w:t>” means a restatement of the Company’s financial statements due to the Company’s material noncompliance with any financial reporting requirement under U.S. federal securities laws that is required in order to correct:</w:t>
      </w:r>
    </w:p>
    <w:p>
      <w:pPr>
        <w:spacing w:after="0" w:line="174" w:lineRule="exact"/>
        <w:rPr>
          <w:rFonts w:ascii="Times New Roman" w:cs="Times New Roman" w:eastAsia="Times New Roman" w:hAnsi="Times New Roman"/>
          <w:sz w:val="18"/>
          <w:szCs w:val="18"/>
          <w:color w:val="auto"/>
        </w:rPr>
      </w:pPr>
    </w:p>
    <w:p>
      <w:pPr>
        <w:ind w:left="1288" w:hanging="316"/>
        <w:spacing w:after="0"/>
        <w:tabs>
          <w:tab w:leader="none" w:pos="1288"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error in previously issued financial statements that is material to the previously issued financial statements; or</w:t>
      </w:r>
    </w:p>
    <w:p>
      <w:pPr>
        <w:spacing w:after="0" w:line="225" w:lineRule="exact"/>
        <w:rPr>
          <w:rFonts w:ascii="Times New Roman" w:cs="Times New Roman" w:eastAsia="Times New Roman" w:hAnsi="Times New Roman"/>
          <w:sz w:val="18"/>
          <w:szCs w:val="18"/>
          <w:color w:val="auto"/>
        </w:rPr>
      </w:pPr>
    </w:p>
    <w:p>
      <w:pPr>
        <w:ind w:left="1288" w:right="20" w:hanging="316"/>
        <w:spacing w:after="0" w:line="282" w:lineRule="auto"/>
        <w:tabs>
          <w:tab w:leader="none" w:pos="1288"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error that would result in a material misstatement if (A) the error were corrected in the current period or (B) left uncorrected in the current period.</w:t>
      </w:r>
    </w:p>
    <w:p>
      <w:pPr>
        <w:spacing w:after="0" w:line="162" w:lineRule="exact"/>
        <w:rPr>
          <w:sz w:val="20"/>
          <w:szCs w:val="20"/>
          <w:color w:val="auto"/>
        </w:rPr>
      </w:pPr>
    </w:p>
    <w:p>
      <w:pPr>
        <w:ind w:left="968" w:right="20"/>
        <w:spacing w:after="0" w:line="255" w:lineRule="auto"/>
        <w:rPr>
          <w:sz w:val="20"/>
          <w:szCs w:val="20"/>
          <w:color w:val="auto"/>
        </w:rPr>
      </w:pPr>
      <w:r>
        <w:rPr>
          <w:rFonts w:ascii="Times New Roman" w:cs="Times New Roman" w:eastAsia="Times New Roman" w:hAnsi="Times New Roman"/>
          <w:sz w:val="18"/>
          <w:szCs w:val="18"/>
          <w:color w:val="auto"/>
        </w:rPr>
        <w:t>For purposes of this Policy, a Financial Restatement shall not be deemed to occur in the event of a revision of the Company’s financial statements due to an out-of-period adjustment (i.e., when the error is immaterial to the previously issued financial statements and the correction of the error is also immaterial to the current period) or a retrospective (1) application of a change in accounting principles; (2) revision to reportable segment information due to a change in the structure of the Company’s internal organization; (3) reclassification due to a discontinued operation; (4) application of a change in reporting entity, such as from a reorganization of entities under common control; or (5) revision for stock splits, reverse stock splits, stock dividends or other changes in capital structure.</w:t>
      </w:r>
    </w:p>
    <w:p>
      <w:pPr>
        <w:spacing w:after="0" w:line="185" w:lineRule="exact"/>
        <w:rPr>
          <w:sz w:val="20"/>
          <w:szCs w:val="20"/>
          <w:color w:val="auto"/>
        </w:rPr>
      </w:pPr>
    </w:p>
    <w:p>
      <w:pPr>
        <w:ind w:left="968" w:hanging="320"/>
        <w:spacing w:after="0" w:line="256" w:lineRule="auto"/>
        <w:tabs>
          <w:tab w:leader="none" w:pos="96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Incentive-based Compensation”</w:t>
      </w:r>
      <w:r>
        <w:rPr>
          <w:rFonts w:ascii="Times New Roman" w:cs="Times New Roman" w:eastAsia="Times New Roman" w:hAnsi="Times New Roman"/>
          <w:sz w:val="18"/>
          <w:szCs w:val="18"/>
          <w:color w:val="auto"/>
        </w:rPr>
        <w:t xml:space="preserve"> means any compensation (including, for the avoidance of doubt, any cash or equity or equity-based compensation, whether deferred or current) that is granted, earned and/or vested based wholly or in part upon the achievement of a Financial Reporting Measure. For purposes of this Policy, “Incentive-based Compensation” shall also be deemed to include any amounts which were determined based on (or were otherwise calculated by reference to) Incentive-based Compensation (including, without limitation, any amounts under any long-term disability, life insurance or supplemental retirement or severance plan or agreement or any notional account that is based on Incentive-based Compensation, as well as any earnings accrued thereon).</w:t>
      </w:r>
    </w:p>
    <w:p>
      <w:pPr>
        <w:spacing w:after="0" w:line="182"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NYSE</w:t>
      </w:r>
      <w:r>
        <w:rPr>
          <w:rFonts w:ascii="Times New Roman" w:cs="Times New Roman" w:eastAsia="Times New Roman" w:hAnsi="Times New Roman"/>
          <w:sz w:val="18"/>
          <w:szCs w:val="18"/>
          <w:color w:val="auto"/>
        </w:rPr>
        <w:t>” means the New York Stock Exchange, or any successor thereof.</w:t>
      </w:r>
    </w:p>
    <w:p>
      <w:pPr>
        <w:spacing w:after="0" w:line="225" w:lineRule="exact"/>
        <w:rPr>
          <w:rFonts w:ascii="Times New Roman" w:cs="Times New Roman" w:eastAsia="Times New Roman" w:hAnsi="Times New Roman"/>
          <w:sz w:val="18"/>
          <w:szCs w:val="18"/>
          <w:color w:val="auto"/>
        </w:rPr>
      </w:pPr>
    </w:p>
    <w:p>
      <w:pPr>
        <w:ind w:left="968" w:hanging="320"/>
        <w:spacing w:after="0" w:line="257" w:lineRule="auto"/>
        <w:tabs>
          <w:tab w:leader="none" w:pos="96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Recoupment Period</w:t>
      </w:r>
      <w:r>
        <w:rPr>
          <w:rFonts w:ascii="Times New Roman" w:cs="Times New Roman" w:eastAsia="Times New Roman" w:hAnsi="Times New Roman"/>
          <w:sz w:val="18"/>
          <w:szCs w:val="18"/>
          <w:color w:val="auto"/>
        </w:rPr>
        <w:t>” means the three fiscal years completed immediately preceding the date of any applicable Recoupment Trigger Date. Notwithstanding the foregoing, the Recoupment Period additionally includes any transition period (that results from a change in the Company’s fiscal year) within or immediately following those three completed fiscal years, provided that a transition period between the last day of the Company’s previous fiscal year end and the first day of its new fiscal year that comprises a period of nine (9) to twelve (12) months would be deemed a completed fiscal year.</w:t>
      </w:r>
    </w:p>
    <w:p>
      <w:pPr>
        <w:spacing w:after="0" w:line="182" w:lineRule="exact"/>
        <w:rPr>
          <w:rFonts w:ascii="Times New Roman" w:cs="Times New Roman" w:eastAsia="Times New Roman" w:hAnsi="Times New Roman"/>
          <w:sz w:val="18"/>
          <w:szCs w:val="18"/>
          <w:color w:val="auto"/>
        </w:rPr>
      </w:pPr>
    </w:p>
    <w:p>
      <w:pPr>
        <w:ind w:left="968" w:right="180" w:hanging="320"/>
        <w:spacing w:after="0" w:line="262" w:lineRule="auto"/>
        <w:tabs>
          <w:tab w:leader="none" w:pos="96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Recoupment Trigger Date</w:t>
      </w:r>
      <w:r>
        <w:rPr>
          <w:rFonts w:ascii="Times New Roman" w:cs="Times New Roman" w:eastAsia="Times New Roman" w:hAnsi="Times New Roman"/>
          <w:sz w:val="18"/>
          <w:szCs w:val="18"/>
          <w:color w:val="auto"/>
        </w:rPr>
        <w:t>” means the earlier of (i) the date that the Board (or a committee thereof or the officer(s) of the Company authorized to take such action if Board action is not required) concludes, or reasonably should have concluded, that the Company is required to prepare a Financial Restatement, and (ii) the date on which a court, regulator or other legally authorized body directs the Company to prepare a Financial Restatement.</w:t>
      </w:r>
    </w:p>
    <w:p>
      <w:pPr>
        <w:spacing w:after="0" w:line="180"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Recoupment of Erroneously Awarded Compensation.</w:t>
      </w:r>
    </w:p>
    <w:p>
      <w:pPr>
        <w:spacing w:after="0" w:line="225" w:lineRule="exact"/>
        <w:rPr>
          <w:rFonts w:ascii="Times New Roman" w:cs="Times New Roman" w:eastAsia="Times New Roman" w:hAnsi="Times New Roman"/>
          <w:sz w:val="18"/>
          <w:szCs w:val="18"/>
          <w:color w:val="auto"/>
        </w:rPr>
      </w:pPr>
    </w:p>
    <w:p>
      <w:pPr>
        <w:ind w:left="968" w:right="60" w:hanging="320"/>
        <w:spacing w:after="0" w:line="256" w:lineRule="auto"/>
        <w:tabs>
          <w:tab w:leader="none" w:pos="968"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Financial Restatement, if the amount of any Covered Compensation received by a Covered Executive (the “</w:t>
      </w:r>
      <w:r>
        <w:rPr>
          <w:rFonts w:ascii="Times New Roman" w:cs="Times New Roman" w:eastAsia="Times New Roman" w:hAnsi="Times New Roman"/>
          <w:sz w:val="18"/>
          <w:szCs w:val="18"/>
          <w:b w:val="1"/>
          <w:bCs w:val="1"/>
          <w:color w:val="auto"/>
        </w:rPr>
        <w:t>Awarded Compensation</w:t>
      </w:r>
      <w:r>
        <w:rPr>
          <w:rFonts w:ascii="Times New Roman" w:cs="Times New Roman" w:eastAsia="Times New Roman" w:hAnsi="Times New Roman"/>
          <w:sz w:val="18"/>
          <w:szCs w:val="18"/>
          <w:color w:val="auto"/>
        </w:rPr>
        <w:t>”) exceeds the amount of such Covered Compensation that would have otherwise been received by such Covered Executive if calculated based on the Financial Restatement (the “</w:t>
      </w:r>
      <w:r>
        <w:rPr>
          <w:rFonts w:ascii="Times New Roman" w:cs="Times New Roman" w:eastAsia="Times New Roman" w:hAnsi="Times New Roman"/>
          <w:sz w:val="18"/>
          <w:szCs w:val="18"/>
          <w:b w:val="1"/>
          <w:bCs w:val="1"/>
          <w:color w:val="auto"/>
        </w:rPr>
        <w:t>Adjusted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Compensation</w:t>
      </w:r>
      <w:r>
        <w:rPr>
          <w:rFonts w:ascii="Times New Roman" w:cs="Times New Roman" w:eastAsia="Times New Roman" w:hAnsi="Times New Roman"/>
          <w:sz w:val="18"/>
          <w:szCs w:val="18"/>
          <w:color w:val="auto"/>
        </w:rPr>
        <w:t>”), the Company shall reasonably promptly recover from such Covered Executive an amount equal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excess of the Awarded Compensation over the Adjusted Compensation, each calculated on a pre-tax basis (such excess amount, the “</w:t>
      </w:r>
      <w:r>
        <w:rPr>
          <w:rFonts w:ascii="Times New Roman" w:cs="Times New Roman" w:eastAsia="Times New Roman" w:hAnsi="Times New Roman"/>
          <w:sz w:val="18"/>
          <w:szCs w:val="18"/>
          <w:b w:val="1"/>
          <w:bCs w:val="1"/>
          <w:color w:val="auto"/>
        </w:rPr>
        <w:t>Erroneously Awarded Compensation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360045</wp:posOffset>
            </wp:positionV>
            <wp:extent cx="629221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68"/>
          </w:cols>
          <w:pgMar w:left="1312" w:top="117" w:right="1019" w:bottom="1440" w:gutter="0" w:footer="0" w:header="0"/>
        </w:sectPr>
      </w:pPr>
    </w:p>
    <w:bookmarkStart w:id="135" w:name="page136"/>
    <w:bookmarkEnd w:id="135"/>
    <w:p>
      <w:pPr>
        <w:ind w:left="968" w:right="120" w:hanging="320"/>
        <w:spacing w:after="0" w:line="255" w:lineRule="auto"/>
        <w:tabs>
          <w:tab w:leader="none" w:pos="96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the Financial Reporting Measure applicable to the relevant Covered Compensation is stock price or total shareholder return (or any measure derived wholly or in part from either of such measures) and (ii) the amount of Erroneously Awarded Compensation is not subject to mathematical recalculation directly from the information in the Financial Restatement, then the amount of Erroneously Awarded Compensation shall be determined (on a pre-tax basis) based on the Company’s reasonable estimate of the effect of the Financial Restatement on the Company’s stock price or total shareholder return (or the derivative measure thereof) upon which such Covered Compensation was received.</w:t>
      </w:r>
    </w:p>
    <w:p>
      <w:pPr>
        <w:spacing w:after="0" w:line="188" w:lineRule="exact"/>
        <w:rPr>
          <w:rFonts w:ascii="Times New Roman" w:cs="Times New Roman" w:eastAsia="Times New Roman" w:hAnsi="Times New Roman"/>
          <w:sz w:val="18"/>
          <w:szCs w:val="18"/>
          <w:color w:val="auto"/>
        </w:rPr>
      </w:pPr>
    </w:p>
    <w:p>
      <w:pPr>
        <w:ind w:left="968" w:right="40" w:hanging="320"/>
        <w:spacing w:after="0" w:line="261" w:lineRule="auto"/>
        <w:tabs>
          <w:tab w:leader="none" w:pos="96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 Company’s obligation to recover Erroneously Awarded Compensation is not dependent on (i) if or when the restated financial statements are filed or (ii) any fault of any Covered Executive for the accounting errors or other actions leading to a Financial Restatement. The Company shall maintain documentation of the determination of such reasonable estimate and provide such documentation to the NYSE.</w:t>
      </w:r>
    </w:p>
    <w:p>
      <w:pPr>
        <w:spacing w:after="0" w:line="179" w:lineRule="exact"/>
        <w:rPr>
          <w:rFonts w:ascii="Times New Roman" w:cs="Times New Roman" w:eastAsia="Times New Roman" w:hAnsi="Times New Roman"/>
          <w:sz w:val="18"/>
          <w:szCs w:val="18"/>
          <w:color w:val="auto"/>
        </w:rPr>
      </w:pPr>
    </w:p>
    <w:p>
      <w:pPr>
        <w:ind w:left="968" w:right="200" w:hanging="320"/>
        <w:spacing w:after="0" w:line="276" w:lineRule="auto"/>
        <w:tabs>
          <w:tab w:leader="none" w:pos="968"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Sections 2(a) through (c) hereof, the Company shall not be required to recover any Erroneously Awarded Compensation if both (x) the conditions set forth in either of the following clauses</w:t>
      </w:r>
    </w:p>
    <w:p>
      <w:pPr>
        <w:ind w:left="968" w:right="4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or (ii) are satisfied and (y) the Committee (or a majority of the independent directors serving on the Board) has determined that recovery of the Erroneously Awarded Compensation would be impracticable:</w:t>
      </w:r>
    </w:p>
    <w:p>
      <w:pPr>
        <w:spacing w:after="0" w:line="181" w:lineRule="exact"/>
        <w:rPr>
          <w:sz w:val="20"/>
          <w:szCs w:val="20"/>
          <w:color w:val="auto"/>
        </w:rPr>
      </w:pPr>
    </w:p>
    <w:p>
      <w:pPr>
        <w:ind w:left="1288" w:right="160" w:hanging="316"/>
        <w:spacing w:after="0" w:line="256" w:lineRule="auto"/>
        <w:tabs>
          <w:tab w:leader="none" w:pos="1288"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expense paid to a third party to assist in enforcing the recovery of the Erroneously Awarded Compensation under this Policy would exceed the amount of such Erroneously Awarded Compensation to be recovered; provided that, before concluding that it would be impracticable to recover any amount of Erroneously Awarded Compensation pursuant to this Section 2(d), the Company shall have first made a reasonable attempt to recover such Erroneously Awarded Compensation, document such reasonable attempt(s) to make such recovery and provide that documentation to the NYSE; or</w:t>
      </w:r>
    </w:p>
    <w:p>
      <w:pPr>
        <w:spacing w:after="0" w:line="187" w:lineRule="exact"/>
        <w:rPr>
          <w:rFonts w:ascii="Times New Roman" w:cs="Times New Roman" w:eastAsia="Times New Roman" w:hAnsi="Times New Roman"/>
          <w:sz w:val="18"/>
          <w:szCs w:val="18"/>
          <w:color w:val="auto"/>
        </w:rPr>
      </w:pPr>
    </w:p>
    <w:p>
      <w:pPr>
        <w:ind w:left="1288" w:hanging="316"/>
        <w:spacing w:after="0" w:line="266" w:lineRule="auto"/>
        <w:tabs>
          <w:tab w:leader="none" w:pos="1288"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of the Erroneously Awarded Compensation would likely cause an otherwise tax-qualified retirement plan, under which benefits are broadly available to employees of the Company, to fail to meet the requirements of Sections 401(a)(13) or 411(a) of the U.S.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968" w:right="220" w:hanging="320"/>
        <w:spacing w:after="0" w:line="266" w:lineRule="auto"/>
        <w:tabs>
          <w:tab w:leader="none" w:pos="96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indemnify any Covered Executive, directly or indirectly, for any losses that such Covered Executive may incur in connection with the recovery of Erroneously Awarded Compensation pursuant to this Policy, including through the payment of insurance premiums or gross-up payments.</w:t>
      </w:r>
    </w:p>
    <w:p>
      <w:pPr>
        <w:spacing w:after="0" w:line="175" w:lineRule="exact"/>
        <w:rPr>
          <w:rFonts w:ascii="Times New Roman" w:cs="Times New Roman" w:eastAsia="Times New Roman" w:hAnsi="Times New Roman"/>
          <w:sz w:val="18"/>
          <w:szCs w:val="18"/>
          <w:color w:val="auto"/>
        </w:rPr>
      </w:pPr>
    </w:p>
    <w:p>
      <w:pPr>
        <w:ind w:left="968" w:right="20" w:hanging="320"/>
        <w:spacing w:after="0" w:line="253" w:lineRule="auto"/>
        <w:tabs>
          <w:tab w:leader="none" w:pos="96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Committee shall determine, in its sole discretion, the manner and timing in which any Erroneously Awarded Compensation shall be recovered from a Covered Executive in accordance with applicable law, including, without limitation, by (i) requiring reimbursement of Covered Compensation previously paid in cash; (ii) seeking recovery of any gain realized on the vesting, exercise, settlement, sale, transfer or other disposition of any equity or equity-based awards; (iii) offsetting the Erroneously Awarded Compensation amount from any compensation otherwise owed by the Company or any of its affiliates to the Covered Executive; (iv) cancelling outstanding vested or unvested equity or equity-based awards; and/or (v) taking any other remedial and recovery action permitted by applicable law. For the avoidance of doubt, except as set forth in Section 2(d), in no event may the Company accept an amount that is less than the amount of Erroneously Awarded Compensation;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necessary to avoid any adverse tax consequences to the Covered Executive pursuant to Section 409A of the Code, any offsets against amounts under any nonqualified deferred compensation plans (as defined under Section 409A of the Code) shall be made in compliance with Section 409A of the Code.</w:t>
      </w:r>
    </w:p>
    <w:p>
      <w:pPr>
        <w:spacing w:after="0" w:line="189" w:lineRule="exact"/>
        <w:rPr>
          <w:rFonts w:ascii="Times New Roman" w:cs="Times New Roman" w:eastAsia="Times New Roman" w:hAnsi="Times New Roman"/>
          <w:sz w:val="18"/>
          <w:szCs w:val="18"/>
          <w:color w:val="auto"/>
        </w:rPr>
      </w:pPr>
    </w:p>
    <w:p>
      <w:pPr>
        <w:jc w:val="both"/>
        <w:ind w:left="328" w:right="140" w:hanging="328"/>
        <w:spacing w:after="0" w:line="266" w:lineRule="auto"/>
        <w:tabs>
          <w:tab w:leader="none" w:pos="32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This Policy shall be administered by the Committee. All decisions of the Committee shall be final, conclusive and binding upon the Company and the Covered Executives, their beneficiaries, heirs, executors, administrators and any other legal representative. The Committee shall have full power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360045</wp:posOffset>
            </wp:positionV>
            <wp:extent cx="629221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88"/>
          </w:cols>
          <w:pgMar w:left="1312" w:top="121" w:right="999" w:bottom="1440" w:gutter="0" w:footer="0" w:header="0"/>
        </w:sectPr>
      </w:pPr>
    </w:p>
    <w:bookmarkStart w:id="136" w:name="page137"/>
    <w:bookmarkEnd w:id="136"/>
    <w:p>
      <w:pPr>
        <w:ind w:left="328" w:right="60"/>
        <w:spacing w:after="0" w:line="274" w:lineRule="auto"/>
        <w:rPr>
          <w:sz w:val="20"/>
          <w:szCs w:val="20"/>
          <w:color w:val="auto"/>
        </w:rPr>
      </w:pPr>
      <w:r>
        <w:rPr>
          <w:rFonts w:ascii="Times New Roman" w:cs="Times New Roman" w:eastAsia="Times New Roman" w:hAnsi="Times New Roman"/>
          <w:sz w:val="17"/>
          <w:szCs w:val="17"/>
          <w:color w:val="auto"/>
        </w:rPr>
        <w:t>authority to (i) administer and interpret this Policy, (ii) correct any defect, supply any omission and reconcile any inconsistency in this Policy and (iii) make any other determination and take any other action that the Committee deems necessary or desirable for the administration of this Policy and to comply with applicable law (including Section 10D of the Exchange Act) and applicable stock market or exchange rules and regulations. Notwithstanding anything to the contrary contained herein, to the extent permitted by Section 10D of the Exchange Act and Section 303A.14 of the NYSE Listed Company Manual, the Board may, in its sole discretion, at any time and from time to time, administer this Policy in the same manner as the Committee.</w:t>
      </w:r>
    </w:p>
    <w:p>
      <w:pPr>
        <w:spacing w:after="0" w:line="173" w:lineRule="exact"/>
        <w:rPr>
          <w:sz w:val="20"/>
          <w:szCs w:val="20"/>
          <w:color w:val="auto"/>
        </w:rPr>
      </w:pPr>
    </w:p>
    <w:p>
      <w:pPr>
        <w:ind w:left="328" w:hanging="328"/>
        <w:spacing w:after="0" w:line="273" w:lineRule="auto"/>
        <w:tabs>
          <w:tab w:leader="none" w:pos="328"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Amendment/Termination</w:t>
      </w:r>
      <w:r>
        <w:rPr>
          <w:rFonts w:ascii="Times New Roman" w:cs="Times New Roman" w:eastAsia="Times New Roman" w:hAnsi="Times New Roman"/>
          <w:sz w:val="17"/>
          <w:szCs w:val="17"/>
          <w:color w:val="auto"/>
        </w:rPr>
        <w:t>. Subject to Section 10D of the Exchange Act and Section 303A.14 of the NYSE Listed Company Manual, this Policy may be amended or terminated by the Committee at any time. To the extent that any applicable law, or stock market or exchange rules or regulations require recovery of Erroneously Awarded Compensation in circumstances in addition to those specified herein, nothing in this Policy shall be deemed to limit or restrict the right or obligation of the Company to recover Erroneously Awarded Compensation to the fullest extent required by such applicable law, stock market or exchange rules and regulations. Unless otherwise required by applicable law, this Policy shall no longer be effective from and after the date that the Company no longer has a class of securities publicly listed on a United States national securities exchange.</w:t>
      </w:r>
    </w:p>
    <w:p>
      <w:pPr>
        <w:spacing w:after="0" w:line="171" w:lineRule="exact"/>
        <w:rPr>
          <w:rFonts w:ascii="Times New Roman" w:cs="Times New Roman" w:eastAsia="Times New Roman" w:hAnsi="Times New Roman"/>
          <w:sz w:val="17"/>
          <w:szCs w:val="17"/>
          <w:color w:val="auto"/>
        </w:rPr>
      </w:pPr>
    </w:p>
    <w:p>
      <w:pPr>
        <w:ind w:left="328" w:right="120" w:hanging="328"/>
        <w:spacing w:after="0" w:line="256" w:lineRule="auto"/>
        <w:tabs>
          <w:tab w:leader="none" w:pos="32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Notwithstanding anything to the contrary herein, this Policy is intended to comply with the requirements of Section 10D of the Exchange Act and Section 303A.14 of the NYSE Listed Company Manual (and any applicable regulations, administrative interpretations or stock market or exchange rules and regulations adopted in connection therewith). The provisions of this Policy shall be interpreted in a manner that satisfies such requirements and this Policy shall be operated accordingly. If any provision of this Policy would otherwise frustrate or conflict with this intent, the provision shall be interpreted and deemed amended so as to avoid such conflict.</w:t>
      </w:r>
    </w:p>
    <w:p>
      <w:pPr>
        <w:spacing w:after="0" w:line="187" w:lineRule="exact"/>
        <w:rPr>
          <w:rFonts w:ascii="Times New Roman" w:cs="Times New Roman" w:eastAsia="Times New Roman" w:hAnsi="Times New Roman"/>
          <w:sz w:val="18"/>
          <w:szCs w:val="18"/>
          <w:color w:val="auto"/>
        </w:rPr>
      </w:pPr>
    </w:p>
    <w:p>
      <w:pPr>
        <w:ind w:left="328" w:right="80" w:hanging="328"/>
        <w:spacing w:after="0" w:line="254" w:lineRule="auto"/>
        <w:tabs>
          <w:tab w:leader="none" w:pos="32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Compensation Clawback/Recoupment Rights</w:t>
      </w:r>
      <w:r>
        <w:rPr>
          <w:rFonts w:ascii="Times New Roman" w:cs="Times New Roman" w:eastAsia="Times New Roman" w:hAnsi="Times New Roman"/>
          <w:sz w:val="18"/>
          <w:szCs w:val="18"/>
          <w:color w:val="auto"/>
        </w:rPr>
        <w:t xml:space="preserve">. Any right of recoupment under this Policy is in addition to, and not in lieu of, any other remedies, rights or requirements with respect to the clawback or recoupment of any compensation that may be available to the Company pursuant to the terms of any other recoupment or clawback policy of the Company (or any of its affiliates) that may be in effect from time to time, any provisions in any employment agreement, offer letter, equity plan, equity award agreement or similar plan or agreement, and any other legal remedies available to the Company, as well as applicable law, stock market or exchange rules, listing standards or regulations;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amounts recouped or clawed back under any other policy that would be recoupable under this Policy shall count toward any required clawback or recoupment under this Policy and vice versa.</w:t>
      </w:r>
    </w:p>
    <w:p>
      <w:pPr>
        <w:spacing w:after="0" w:line="191" w:lineRule="exact"/>
        <w:rPr>
          <w:rFonts w:ascii="Times New Roman" w:cs="Times New Roman" w:eastAsia="Times New Roman" w:hAnsi="Times New Roman"/>
          <w:sz w:val="18"/>
          <w:szCs w:val="18"/>
          <w:color w:val="auto"/>
        </w:rPr>
      </w:pPr>
    </w:p>
    <w:p>
      <w:pPr>
        <w:ind w:left="328" w:right="60" w:hanging="328"/>
        <w:spacing w:after="0" w:line="256" w:lineRule="auto"/>
        <w:tabs>
          <w:tab w:leader="none" w:pos="32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Exempt Compensation</w:t>
      </w:r>
      <w:r>
        <w:rPr>
          <w:rFonts w:ascii="Times New Roman" w:cs="Times New Roman" w:eastAsia="Times New Roman" w:hAnsi="Times New Roman"/>
          <w:sz w:val="18"/>
          <w:szCs w:val="18"/>
          <w:color w:val="auto"/>
        </w:rPr>
        <w:t xml:space="preserve">. Notwithstanding anything to the contrary herein, the Company has no obligation to seek recoupment of amounts paid to a Covered Executive which are granted, vested or earned based solely upon the occurrence or non-occurrence of non-financial events. Such exempt compensation includes, without limitation, base salary, time-vesting awards, compensation awarded on the basis of the achievement of metrics that are not Financial Reporting Measures or compensation awarded solely at the discretion of the Committee or the Board,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amounts are in no way contingent on, and were not in any way granted on the basis of, the achievement of any Financial Reporting Measure performance goal.</w:t>
      </w:r>
    </w:p>
    <w:p>
      <w:pPr>
        <w:spacing w:after="0" w:line="18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68" w:hanging="320"/>
        <w:spacing w:after="0" w:line="255" w:lineRule="auto"/>
        <w:tabs>
          <w:tab w:leader="none" w:pos="968"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award agreement or other document setting forth the terms and conditions of any compensation covered by this Policy shall be deemed to include the restrictions imposed herein and incorporate this Policy by reference and, in the event of any inconsistency, the terms of this Policy will govern. For the avoidance of doubt, this Policy applies to all compensation that is received on or after the Effective Date, regardless of the date on which the award agreement or other document setting forth the terms and conditions of the Covered Executive’s compensation became effective, including, without limitation, compensation received under the Amended and Restated Kyndryl 2021 Long-Term Performance Plan and any successor plan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360045</wp:posOffset>
            </wp:positionV>
            <wp:extent cx="629221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68"/>
          </w:cols>
          <w:pgMar w:left="1312" w:top="121" w:right="1019" w:bottom="1440" w:gutter="0" w:footer="0" w:header="0"/>
        </w:sectPr>
      </w:pPr>
    </w:p>
    <w:bookmarkStart w:id="137" w:name="page138"/>
    <w:bookmarkEnd w:id="137"/>
    <w:p>
      <w:pPr>
        <w:ind w:left="840" w:right="220" w:hanging="320"/>
        <w:spacing w:after="0" w:line="282" w:lineRule="auto"/>
        <w:tabs>
          <w:tab w:leader="none" w:pos="8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Policy shall be binding and enforceable against all Covered Executives and their beneficiaries, heirs, executors, administrators or other legal representatives.</w:t>
      </w:r>
    </w:p>
    <w:p>
      <w:pPr>
        <w:spacing w:after="0" w:line="161" w:lineRule="exact"/>
        <w:rPr>
          <w:rFonts w:ascii="Times New Roman" w:cs="Times New Roman" w:eastAsia="Times New Roman" w:hAnsi="Times New Roman"/>
          <w:sz w:val="18"/>
          <w:szCs w:val="18"/>
          <w:color w:val="auto"/>
        </w:rPr>
      </w:pPr>
    </w:p>
    <w:p>
      <w:pPr>
        <w:ind w:left="840" w:right="100" w:hanging="320"/>
        <w:spacing w:after="0" w:line="258" w:lineRule="auto"/>
        <w:tabs>
          <w:tab w:leader="none" w:pos="8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issues concerning the construction, validity, enforcement and interpretation of this Policy and all related documents, including, without limitation, any employment agreement, offer letter, equity award agreement or similar agreement, shall be governed by, and construed in accordance with, the laws of the State of New York, without giving effect to any choice of law or conflict of law rules or provisions (whether of the State of New York or any other jurisdiction) that would cause the application of the laws of any jurisdiction other than the State of New York.</w:t>
      </w:r>
    </w:p>
    <w:p>
      <w:pPr>
        <w:spacing w:after="0" w:line="183" w:lineRule="exact"/>
        <w:rPr>
          <w:rFonts w:ascii="Times New Roman" w:cs="Times New Roman" w:eastAsia="Times New Roman" w:hAnsi="Times New Roman"/>
          <w:sz w:val="18"/>
          <w:szCs w:val="18"/>
          <w:color w:val="auto"/>
        </w:rPr>
      </w:pPr>
    </w:p>
    <w:p>
      <w:pPr>
        <w:ind w:left="840" w:hanging="320"/>
        <w:spacing w:after="0" w:line="253" w:lineRule="auto"/>
        <w:tabs>
          <w:tab w:leader="none" w:pos="8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Covered Executives, their beneficiaries, heirs, executors, administrators and any other legal representative and the Company shall initially attempt to resolve all claims, disputes or controversies arising under, out of or in connection with this Policy by conducting good faith negotiations amongst themselves. To ensure the timely and economical resolution of disputes that arise in connection with this Policy, the federal and state courts sitting in New York County or Westchester County, New York, shall be the sole and exclusive forums for any and all disputes, claims, or causes of action arising from or relating to the enforcement, performance or interpretation of this Policy. To the fullest extent permitted by law, the Covered Executives, their beneficiaries, heirs, executors, administrators, and any other legal representative, and the Company, shall waive (and shall hereby be deemed to have waived) the right to resolve any such dispute through a trial by jury. In the event that a Covered Executive, their beneficiaries, heirs, executors, administers and any other legal representative and the Company brings an action to enforce the terms of this Policy and the Company prevails, the Covered Executive shall pay all costs and expenses incurred by the Company in connection with that action, including reasonable attorneys’ fees and all further costs and fees, including reasonable attorneys’ fees incurred by the Company in connection with collection.</w:t>
      </w:r>
    </w:p>
    <w:p>
      <w:pPr>
        <w:spacing w:after="0" w:line="187" w:lineRule="exact"/>
        <w:rPr>
          <w:rFonts w:ascii="Times New Roman" w:cs="Times New Roman" w:eastAsia="Times New Roman" w:hAnsi="Times New Roman"/>
          <w:sz w:val="18"/>
          <w:szCs w:val="18"/>
          <w:color w:val="auto"/>
        </w:rPr>
      </w:pPr>
    </w:p>
    <w:p>
      <w:pPr>
        <w:jc w:val="both"/>
        <w:ind w:left="840" w:right="240" w:hanging="320"/>
        <w:spacing w:after="0" w:line="261" w:lineRule="auto"/>
        <w:tabs>
          <w:tab w:leader="none" w:pos="8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Policy is determined to be unenforceable or invalid under any applicable law, such provision will be applied to the maximum extent permitted by applicable law and shall automatically be deemed amended in a manner consistent with its objectives to the extent necessary to conform to any limitations required under applicable law.</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440"/>
      </w:cols>
      <w:pgMar w:left="1440" w:top="121"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lvl w:ilvl="1">
      <w:lvlJc w:val="left"/>
      <w:lvlText w:val="☒"/>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lvl w:ilvl="1">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
      <w:numFmt w:val="bullet"/>
      <w:start w:val="1"/>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1)"/>
      <w:numFmt w:val="lowerRoman"/>
      <w:start w:val="1"/>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1)"/>
      <w:numFmt w:val="decimal"/>
      <w:start w:val="1"/>
    </w:lvl>
  </w:abstractNum>
  <w:abstractNum w:abstractNumId="17">
    <w:nsid w:val="75C6C33A"/>
    <w:multiLevelType w:val="hybridMultilevel"/>
    <w:lvl w:ilvl="0">
      <w:lvlJc w:val="left"/>
      <w:lvlText w:val="(%1)"/>
      <w:numFmt w:val="decimal"/>
      <w:start w:val="1"/>
    </w:lvl>
  </w:abstractNum>
  <w:abstractNum w:abstractNumId="18">
    <w:nsid w:val="12E685FB"/>
    <w:multiLevelType w:val="hybridMultilevel"/>
    <w:lvl w:ilvl="0">
      <w:lvlJc w:val="left"/>
      <w:lvlText w:val="*"/>
      <w:numFmt w:val="bullet"/>
      <w:start w:val="1"/>
    </w:lvl>
  </w:abstractNum>
  <w:abstractNum w:abstractNumId="19">
    <w:nsid w:val="70C6A529"/>
    <w:multiLevelType w:val="hybridMultilevel"/>
    <w:lvl w:ilvl="0">
      <w:lvlJc w:val="left"/>
      <w:lvlText w:val="●"/>
      <w:numFmt w:val="bullet"/>
      <w:start w:val="1"/>
    </w:lvl>
  </w:abstractNum>
  <w:abstractNum w:abstractNumId="20">
    <w:nsid w:val="520EEDD1"/>
    <w:multiLevelType w:val="hybridMultilevel"/>
    <w:lvl w:ilvl="0">
      <w:lvlJc w:val="left"/>
      <w:lvlText w:val="●"/>
      <w:numFmt w:val="bullet"/>
      <w:start w:val="1"/>
    </w:lvl>
  </w:abstractNum>
  <w:abstractNum w:abstractNumId="21">
    <w:nsid w:val="374A3FE6"/>
    <w:multiLevelType w:val="hybridMultilevel"/>
    <w:lvl w:ilvl="0">
      <w:lvlJc w:val="left"/>
      <w:lvlText w:val="*"/>
      <w:numFmt w:val="bullet"/>
      <w:start w:val="1"/>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
      <w:numFmt w:val="bullet"/>
      <w:start w:val="1"/>
    </w:lvl>
  </w:abstractNum>
  <w:abstractNum w:abstractNumId="24">
    <w:nsid w:val="649BB77C"/>
    <w:multiLevelType w:val="hybridMultilevel"/>
    <w:lvl w:ilvl="0">
      <w:lvlJc w:val="left"/>
      <w:lvlText w:val="*"/>
      <w:numFmt w:val="bullet"/>
      <w:start w:val="1"/>
    </w:lvl>
  </w:abstractNum>
  <w:abstractNum w:abstractNumId="25">
    <w:nsid w:val="275AC794"/>
    <w:multiLevelType w:val="hybridMultilevel"/>
    <w:lvl w:ilvl="0">
      <w:lvlJc w:val="left"/>
      <w:lvlText w:val="*"/>
      <w:numFmt w:val="bullet"/>
      <w:start w:val="1"/>
    </w:lvl>
  </w:abstractNum>
  <w:abstractNum w:abstractNumId="26">
    <w:nsid w:val="39386575"/>
    <w:multiLevelType w:val="hybridMultilevel"/>
    <w:lvl w:ilvl="0">
      <w:lvlJc w:val="left"/>
      <w:lvlText w:val="**"/>
      <w:numFmt w:val="bullet"/>
      <w:start w:val="1"/>
    </w:lvl>
  </w:abstractNum>
  <w:abstractNum w:abstractNumId="27">
    <w:nsid w:val="1CF10FD8"/>
    <w:multiLevelType w:val="hybridMultilevel"/>
    <w:lvl w:ilvl="0">
      <w:lvlJc w:val="left"/>
      <w:lvlText w:val="*"/>
      <w:numFmt w:val="bullet"/>
      <w:start w:val="1"/>
    </w:lvl>
  </w:abstractNum>
  <w:abstractNum w:abstractNumId="28">
    <w:nsid w:val="180115BE"/>
    <w:multiLevelType w:val="hybridMultilevel"/>
    <w:lvl w:ilvl="0">
      <w:lvlJc w:val="left"/>
      <w:lvlText w:val="*"/>
      <w:numFmt w:val="bullet"/>
      <w:start w:val="1"/>
    </w:lvl>
  </w:abstractNum>
  <w:abstractNum w:abstractNumId="29">
    <w:nsid w:val="235BA861"/>
    <w:multiLevelType w:val="hybridMultilevel"/>
    <w:lvl w:ilvl="0">
      <w:lvlJc w:val="left"/>
      <w:lvlText w:val="*"/>
      <w:numFmt w:val="bullet"/>
      <w:start w:val="1"/>
    </w:lvl>
  </w:abstractNum>
  <w:abstractNum w:abstractNumId="30">
    <w:nsid w:val="47398C89"/>
    <w:multiLevelType w:val="hybridMultilevel"/>
    <w:lvl w:ilvl="0">
      <w:lvlJc w:val="left"/>
      <w:lvlText w:val="*"/>
      <w:numFmt w:val="bullet"/>
      <w:start w:val="1"/>
    </w:lvl>
  </w:abstractNum>
  <w:abstractNum w:abstractNumId="31">
    <w:nsid w:val="354FE9F9"/>
    <w:multiLevelType w:val="hybridMultilevel"/>
    <w:lvl w:ilvl="0">
      <w:lvlJc w:val="left"/>
      <w:lvlText w:val="*"/>
      <w:numFmt w:val="bullet"/>
      <w:start w:val="1"/>
    </w:lvl>
  </w:abstractNum>
  <w:abstractNum w:abstractNumId="32">
    <w:nsid w:val="15B5AF5C"/>
    <w:multiLevelType w:val="hybridMultilevel"/>
    <w:lvl w:ilvl="0">
      <w:lvlJc w:val="left"/>
      <w:lvlText w:val="*"/>
      <w:numFmt w:val="bullet"/>
      <w:start w:val="1"/>
    </w:lvl>
  </w:abstractNum>
  <w:abstractNum w:abstractNumId="33">
    <w:nsid w:val="741226BB"/>
    <w:multiLevelType w:val="hybridMultilevel"/>
    <w:lvl w:ilvl="0">
      <w:lvlJc w:val="left"/>
      <w:lvlText w:val="*"/>
      <w:numFmt w:val="bullet"/>
      <w:start w:val="1"/>
    </w:lvl>
  </w:abstractNum>
  <w:abstractNum w:abstractNumId="34">
    <w:nsid w:val="D34B6A8"/>
    <w:multiLevelType w:val="hybridMultilevel"/>
    <w:lvl w:ilvl="0">
      <w:lvlJc w:val="left"/>
      <w:lvlText w:val="**"/>
      <w:numFmt w:val="bullet"/>
      <w:start w:val="1"/>
    </w:lvl>
  </w:abstractNum>
  <w:abstractNum w:abstractNumId="35">
    <w:nsid w:val="10233C99"/>
    <w:multiLevelType w:val="hybridMultilevel"/>
    <w:lvl w:ilvl="0">
      <w:lvlJc w:val="left"/>
      <w:lvlText w:val="*"/>
      <w:numFmt w:val="bullet"/>
      <w:start w:val="1"/>
    </w:lvl>
  </w:abstractNum>
  <w:abstractNum w:abstractNumId="36">
    <w:nsid w:val="3F6AB60F"/>
    <w:multiLevelType w:val="hybridMultilevel"/>
    <w:lvl w:ilvl="0">
      <w:lvlJc w:val="left"/>
      <w:lvlText w:val="*"/>
      <w:numFmt w:val="bullet"/>
      <w:start w:val="1"/>
    </w:lvl>
  </w:abstractNum>
  <w:abstractNum w:abstractNumId="37">
    <w:nsid w:val="61574095"/>
    <w:multiLevelType w:val="hybridMultilevel"/>
    <w:lvl w:ilvl="0">
      <w:lvlJc w:val="left"/>
      <w:lvlText w:val="*"/>
      <w:numFmt w:val="bullet"/>
      <w:start w:val="1"/>
    </w:lvl>
  </w:abstractNum>
  <w:abstractNum w:abstractNumId="38">
    <w:nsid w:val="7E0C57B1"/>
    <w:multiLevelType w:val="hybridMultilevel"/>
    <w:lvl w:ilvl="0">
      <w:lvlJc w:val="left"/>
      <w:lvlText w:val="*"/>
      <w:numFmt w:val="bullet"/>
      <w:start w:val="1"/>
    </w:lvl>
  </w:abstractNum>
  <w:abstractNum w:abstractNumId="39">
    <w:nsid w:val="77AE35EB"/>
    <w:multiLevelType w:val="hybridMultilevel"/>
    <w:lvl w:ilvl="0">
      <w:lvlJc w:val="left"/>
      <w:lvlText w:val="*"/>
      <w:numFmt w:val="bullet"/>
      <w:start w:val="1"/>
    </w:lvl>
  </w:abstractNum>
  <w:abstractNum w:abstractNumId="40">
    <w:nsid w:val="579BE4F1"/>
    <w:multiLevelType w:val="hybridMultilevel"/>
    <w:lvl w:ilvl="0">
      <w:lvlJc w:val="left"/>
      <w:lvlText w:val="*"/>
      <w:numFmt w:val="bullet"/>
      <w:start w:val="1"/>
    </w:lvl>
  </w:abstractNum>
  <w:abstractNum w:abstractNumId="41">
    <w:nsid w:val="310C50B3"/>
    <w:multiLevelType w:val="hybridMultilevel"/>
    <w:lvl w:ilvl="0">
      <w:lvlJc w:val="left"/>
      <w:lvlText w:val="*"/>
      <w:numFmt w:val="bullet"/>
      <w:start w:val="1"/>
    </w:lvl>
  </w:abstractNum>
  <w:abstractNum w:abstractNumId="42">
    <w:nsid w:val="5FF87E05"/>
    <w:multiLevelType w:val="hybridMultilevel"/>
    <w:lvl w:ilvl="0">
      <w:lvlJc w:val="left"/>
      <w:lvlText w:val="*"/>
      <w:numFmt w:val="bullet"/>
      <w:start w:val="1"/>
    </w:lvl>
  </w:abstractNum>
  <w:abstractNum w:abstractNumId="43">
    <w:nsid w:val="2F305DEF"/>
    <w:multiLevelType w:val="hybridMultilevel"/>
    <w:lvl w:ilvl="0">
      <w:lvlJc w:val="left"/>
      <w:lvlText w:val="*"/>
      <w:numFmt w:val="bullet"/>
      <w:start w:val="1"/>
    </w:lvl>
  </w:abstractNum>
  <w:abstractNum w:abstractNumId="44">
    <w:nsid w:val="25A70BF7"/>
    <w:multiLevelType w:val="hybridMultilevel"/>
    <w:lvl w:ilvl="0">
      <w:lvlJc w:val="left"/>
      <w:lvlText w:val="*"/>
      <w:numFmt w:val="bullet"/>
      <w:start w:val="1"/>
    </w:lvl>
  </w:abstractNum>
  <w:abstractNum w:abstractNumId="45">
    <w:nsid w:val="1DBABF00"/>
    <w:multiLevelType w:val="hybridMultilevel"/>
    <w:lvl w:ilvl="0">
      <w:lvlJc w:val="left"/>
      <w:lvlText w:val="*"/>
      <w:numFmt w:val="bullet"/>
      <w:start w:val="1"/>
    </w:lvl>
  </w:abstractNum>
  <w:abstractNum w:abstractNumId="46">
    <w:nsid w:val="4AD084E9"/>
    <w:multiLevelType w:val="hybridMultilevel"/>
    <w:lvl w:ilvl="0">
      <w:lvlJc w:val="left"/>
      <w:lvlText w:val="*"/>
      <w:numFmt w:val="bullet"/>
      <w:start w:val="1"/>
    </w:lvl>
  </w:abstractNum>
  <w:abstractNum w:abstractNumId="47">
    <w:nsid w:val="1F48EAA1"/>
    <w:multiLevelType w:val="hybridMultilevel"/>
    <w:lvl w:ilvl="0">
      <w:lvlJc w:val="left"/>
      <w:lvlText w:val="*"/>
      <w:numFmt w:val="bullet"/>
      <w:start w:val="1"/>
    </w:lvl>
  </w:abstractNum>
  <w:abstractNum w:abstractNumId="48">
    <w:nsid w:val="1381823A"/>
    <w:multiLevelType w:val="hybridMultilevel"/>
    <w:lvl w:ilvl="0">
      <w:lvlJc w:val="left"/>
      <w:lvlText w:val="**"/>
      <w:numFmt w:val="bullet"/>
      <w:start w:val="1"/>
    </w:lvl>
  </w:abstractNum>
  <w:abstractNum w:abstractNumId="49">
    <w:nsid w:val="5DB70AE5"/>
    <w:multiLevelType w:val="hybridMultilevel"/>
    <w:lvl w:ilvl="0">
      <w:lvlJc w:val="left"/>
      <w:lvlText w:val="*"/>
      <w:numFmt w:val="bullet"/>
      <w:start w:val="1"/>
    </w:lvl>
  </w:abstractNum>
  <w:abstractNum w:abstractNumId="50">
    <w:nsid w:val="100F8FCA"/>
    <w:multiLevelType w:val="hybridMultilevel"/>
    <w:lvl w:ilvl="0">
      <w:lvlJc w:val="left"/>
      <w:lvlText w:val="(%1)"/>
      <w:numFmt w:val="decimal"/>
      <w:start w:val="1"/>
    </w:lvl>
  </w:abstractNum>
  <w:abstractNum w:abstractNumId="51">
    <w:nsid w:val="6590700B"/>
    <w:multiLevelType w:val="hybridMultilevel"/>
    <w:lvl w:ilvl="0">
      <w:lvlJc w:val="left"/>
      <w:lvlText w:val="*"/>
      <w:numFmt w:val="bullet"/>
      <w:start w:val="1"/>
    </w:lvl>
  </w:abstractNum>
  <w:abstractNum w:abstractNumId="52">
    <w:nsid w:val="15014ACB"/>
    <w:multiLevelType w:val="hybridMultilevel"/>
    <w:lvl w:ilvl="0">
      <w:lvlJc w:val="left"/>
      <w:lvlText w:val="*"/>
      <w:numFmt w:val="bullet"/>
      <w:start w:val="1"/>
    </w:lvl>
  </w:abstractNum>
  <w:abstractNum w:abstractNumId="53">
    <w:nsid w:val="5F5E7FD0"/>
    <w:multiLevelType w:val="hybridMultilevel"/>
    <w:lvl w:ilvl="0">
      <w:lvlJc w:val="left"/>
      <w:lvlText w:val="●"/>
      <w:numFmt w:val="bullet"/>
      <w:start w:val="1"/>
    </w:lvl>
  </w:abstractNum>
  <w:abstractNum w:abstractNumId="54">
    <w:nsid w:val="98A3148"/>
    <w:multiLevelType w:val="hybridMultilevel"/>
    <w:lvl w:ilvl="0">
      <w:lvlJc w:val="left"/>
      <w:lvlText w:val="●"/>
      <w:numFmt w:val="bullet"/>
      <w:start w:val="1"/>
    </w:lvl>
  </w:abstractNum>
  <w:abstractNum w:abstractNumId="55">
    <w:nsid w:val="799D0247"/>
    <w:multiLevelType w:val="hybridMultilevel"/>
    <w:lvl w:ilvl="0">
      <w:lvlJc w:val="left"/>
      <w:lvlText w:val="(%1)"/>
      <w:numFmt w:val="lowerRoman"/>
      <w:start w:val="1"/>
    </w:lvl>
  </w:abstractNum>
  <w:abstractNum w:abstractNumId="56">
    <w:nsid w:val="6B94764"/>
    <w:multiLevelType w:val="hybridMultilevel"/>
    <w:lvl w:ilvl="0">
      <w:lvlJc w:val="left"/>
      <w:lvlText w:val="%1"/>
      <w:numFmt w:val="decimal"/>
      <w:start w:val="104"/>
    </w:lvl>
  </w:abstractNum>
  <w:abstractNum w:abstractNumId="57">
    <w:nsid w:val="42C296BD"/>
    <w:multiLevelType w:val="hybridMultilevel"/>
    <w:lvl w:ilvl="0">
      <w:lvlJc w:val="left"/>
      <w:lvlText w:val="*"/>
      <w:numFmt w:val="bullet"/>
      <w:start w:val="1"/>
    </w:lvl>
  </w:abstractNum>
  <w:abstractNum w:abstractNumId="58">
    <w:nsid w:val="168E121F"/>
    <w:multiLevelType w:val="hybridMultilevel"/>
    <w:lvl w:ilvl="0">
      <w:lvlJc w:val="left"/>
      <w:lvlText w:val="●"/>
      <w:numFmt w:val="bullet"/>
      <w:start w:val="1"/>
    </w:lvl>
  </w:abstractNum>
  <w:abstractNum w:abstractNumId="59">
    <w:nsid w:val="1EBA5D23"/>
    <w:multiLevelType w:val="hybridMultilevel"/>
    <w:lvl w:ilvl="0">
      <w:lvlJc w:val="left"/>
      <w:lvlText w:val="●"/>
      <w:numFmt w:val="bullet"/>
      <w:start w:val="1"/>
    </w:lvl>
  </w:abstractNum>
  <w:abstractNum w:abstractNumId="60">
    <w:nsid w:val="661E3F1E"/>
    <w:multiLevelType w:val="hybridMultilevel"/>
    <w:lvl w:ilvl="0">
      <w:lvlJc w:val="left"/>
      <w:lvlText w:val="%1."/>
      <w:numFmt w:val="upperLetter"/>
      <w:start w:val="9"/>
    </w:lvl>
  </w:abstractNum>
  <w:abstractNum w:abstractNumId="61">
    <w:nsid w:val="5DC79EA8"/>
    <w:multiLevelType w:val="hybridMultilevel"/>
    <w:lvl w:ilvl="0">
      <w:lvlJc w:val="left"/>
      <w:lvlText w:val="%1."/>
      <w:numFmt w:val="upperLetter"/>
      <w:start w:val="35"/>
    </w:lvl>
  </w:abstractNum>
  <w:abstractNum w:abstractNumId="62">
    <w:nsid w:val="540A471C"/>
    <w:multiLevelType w:val="hybridMultilevel"/>
    <w:lvl w:ilvl="0">
      <w:lvlJc w:val="left"/>
      <w:lvlText w:val="%1."/>
      <w:numFmt w:val="upperLetter"/>
      <w:start w:val="61"/>
    </w:lvl>
  </w:abstractNum>
  <w:abstractNum w:abstractNumId="63">
    <w:nsid w:val="7BD3EE7B"/>
    <w:multiLevelType w:val="hybridMultilevel"/>
    <w:lvl w:ilvl="0">
      <w:lvlJc w:val="left"/>
      <w:lvlText w:val="●"/>
      <w:numFmt w:val="bullet"/>
      <w:start w:val="1"/>
    </w:lvl>
  </w:abstractNum>
  <w:abstractNum w:abstractNumId="64">
    <w:nsid w:val="51D9C564"/>
    <w:multiLevelType w:val="hybridMultilevel"/>
    <w:lvl w:ilvl="0">
      <w:lvlJc w:val="left"/>
      <w:lvlText w:val="●"/>
      <w:numFmt w:val="bullet"/>
      <w:start w:val="1"/>
    </w:lvl>
  </w:abstractNum>
  <w:abstractNum w:abstractNumId="65">
    <w:nsid w:val="613EFDC5"/>
    <w:multiLevelType w:val="hybridMultilevel"/>
    <w:lvl w:ilvl="0">
      <w:lvlJc w:val="left"/>
      <w:lvlText w:val="●"/>
      <w:numFmt w:val="bullet"/>
      <w:start w:val="1"/>
    </w:lvl>
  </w:abstractNum>
  <w:abstractNum w:abstractNumId="66">
    <w:nsid w:val="BF72B14"/>
    <w:multiLevelType w:val="hybridMultilevel"/>
    <w:lvl w:ilvl="0">
      <w:lvlJc w:val="left"/>
      <w:lvlText w:val="●"/>
      <w:numFmt w:val="bullet"/>
      <w:start w:val="1"/>
    </w:lvl>
  </w:abstractNum>
  <w:abstractNum w:abstractNumId="67">
    <w:nsid w:val="11447B73"/>
    <w:multiLevelType w:val="hybridMultilevel"/>
    <w:lvl w:ilvl="0">
      <w:lvlJc w:val="left"/>
      <w:lvlText w:val="●"/>
      <w:numFmt w:val="bullet"/>
      <w:start w:val="1"/>
    </w:lvl>
  </w:abstractNum>
  <w:abstractNum w:abstractNumId="68">
    <w:nsid w:val="42963E5A"/>
    <w:multiLevelType w:val="hybridMultilevel"/>
    <w:lvl w:ilvl="0">
      <w:lvlJc w:val="left"/>
      <w:lvlText w:val="%1"/>
      <w:numFmt w:val="upperLetter"/>
      <w:start w:val="1"/>
    </w:lvl>
    <w:lvl w:ilvl="1">
      <w:lvlJc w:val="left"/>
      <w:lvlText w:val="%2."/>
      <w:numFmt w:val="decimal"/>
      <w:start w:val="1"/>
    </w:lvl>
  </w:abstractNum>
  <w:abstractNum w:abstractNumId="69">
    <w:nsid w:val="A0382C5"/>
    <w:multiLevelType w:val="hybridMultilevel"/>
    <w:lvl w:ilvl="0">
      <w:lvlJc w:val="left"/>
      <w:lvlText w:val="%1."/>
      <w:numFmt w:val="upperLetter"/>
      <w:start w:val="22"/>
    </w:lvl>
    <w:lvl w:ilvl="1">
      <w:lvlJc w:val="left"/>
      <w:lvlText w:val="%2"/>
      <w:numFmt w:val="decimal"/>
      <w:start w:val="1"/>
    </w:lvl>
  </w:abstractNum>
  <w:abstractNum w:abstractNumId="70">
    <w:nsid w:val="8F2B15E"/>
    <w:multiLevelType w:val="hybridMultilevel"/>
    <w:lvl w:ilvl="0">
      <w:lvlJc w:val="left"/>
      <w:lvlText w:val="●"/>
      <w:numFmt w:val="bullet"/>
      <w:start w:val="1"/>
    </w:lvl>
  </w:abstractNum>
  <w:abstractNum w:abstractNumId="71">
    <w:nsid w:val="1A32234B"/>
    <w:multiLevelType w:val="hybridMultilevel"/>
    <w:lvl w:ilvl="0">
      <w:lvlJc w:val="left"/>
      <w:lvlText w:val="%1."/>
      <w:numFmt w:val="decimal"/>
      <w:start w:val="1"/>
    </w:lvl>
    <w:lvl w:ilvl="1">
      <w:lvlJc w:val="left"/>
      <w:lvlText w:val="%2)"/>
      <w:numFmt w:val="lowerLetter"/>
      <w:start w:val="1"/>
    </w:lvl>
  </w:abstractNum>
  <w:abstractNum w:abstractNumId="72">
    <w:nsid w:val="3B0FD379"/>
    <w:multiLevelType w:val="hybridMultilevel"/>
    <w:lvl w:ilvl="0">
      <w:lvlJc w:val="left"/>
      <w:lvlText w:val="%1."/>
      <w:numFmt w:val="decimal"/>
      <w:start w:val="1"/>
    </w:lvl>
    <w:lvl w:ilvl="1">
      <w:lvlJc w:val="left"/>
      <w:lvlText w:val="%2)"/>
      <w:numFmt w:val="lowerLetter"/>
      <w:start w:val="1"/>
    </w:lvl>
  </w:abstractNum>
  <w:abstractNum w:abstractNumId="73">
    <w:nsid w:val="68EB2F63"/>
    <w:multiLevelType w:val="hybridMultilevel"/>
    <w:lvl w:ilvl="0">
      <w:lvlJc w:val="left"/>
      <w:lvlText w:val="%1."/>
      <w:numFmt w:val="decimal"/>
      <w:start w:val="1"/>
    </w:lvl>
  </w:abstractNum>
  <w:abstractNum w:abstractNumId="74">
    <w:nsid w:val="4962813B"/>
    <w:multiLevelType w:val="hybridMultilevel"/>
    <w:lvl w:ilvl="0">
      <w:lvlJc w:val="left"/>
      <w:lvlText w:val="%1."/>
      <w:numFmt w:val="decimal"/>
      <w:start w:val="1"/>
    </w:lvl>
  </w:abstractNum>
  <w:abstractNum w:abstractNumId="75">
    <w:nsid w:val="60B6DF7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6">
    <w:nsid w:val="6A5EE64"/>
    <w:multiLevelType w:val="hybridMultilevel"/>
    <w:lvl w:ilvl="0">
      <w:lvlJc w:val="left"/>
      <w:lvlText w:val="(%1)"/>
      <w:numFmt w:val="lowerLetter"/>
      <w:start w:val="4"/>
    </w:lvl>
  </w:abstractNum>
  <w:abstractNum w:abstractNumId="77">
    <w:nsid w:val="14330624"/>
    <w:multiLevelType w:val="hybridMultilevel"/>
    <w:lvl w:ilvl="0">
      <w:lvlJc w:val="left"/>
      <w:lvlText w:val="(%1)"/>
      <w:numFmt w:val="lowerRoman"/>
      <w:start w:val="1"/>
    </w:lvl>
    <w:lvl w:ilvl="1">
      <w:lvlJc w:val="left"/>
      <w:lvlText w:val="(%2)"/>
      <w:numFmt w:val="lowerRoman"/>
      <w:start w:val="1"/>
    </w:lvl>
  </w:abstractNum>
  <w:abstractNum w:abstractNumId="78">
    <w:nsid w:val="7FFFCA11"/>
    <w:multiLevelType w:val="hybridMultilevel"/>
    <w:lvl w:ilvl="0">
      <w:lvlJc w:val="left"/>
      <w:lvlText w:val="%1"/>
      <w:numFmt w:val="decimal"/>
      <w:start w:val="1"/>
    </w:lvl>
    <w:lvl w:ilvl="1">
      <w:lvlJc w:val="left"/>
      <w:lvlText w:val="(%2)"/>
      <w:numFmt w:val="lowerLetter"/>
      <w:start w:val="10"/>
    </w:lvl>
  </w:abstractNum>
  <w:abstractNum w:abstractNumId="79">
    <w:nsid w:val="1A27709E"/>
    <w:multiLevelType w:val="hybridMultilevel"/>
    <w:lvl w:ilvl="0">
      <w:lvlJc w:val="left"/>
      <w:lvlText w:val="%1."/>
      <w:numFmt w:val="decimal"/>
      <w:start w:val="2"/>
    </w:lvl>
    <w:lvl w:ilvl="1">
      <w:lvlJc w:val="left"/>
      <w:lvlText w:val="(%2)"/>
      <w:numFmt w:val="lowerLetter"/>
      <w:start w:val="1"/>
    </w:lvl>
  </w:abstractNum>
  <w:abstractNum w:abstractNumId="80">
    <w:nsid w:val="71EA1109"/>
    <w:multiLevelType w:val="hybridMultilevel"/>
    <w:lvl w:ilvl="0">
      <w:lvlJc w:val="left"/>
      <w:lvlText w:val="(%1)"/>
      <w:numFmt w:val="lowerLetter"/>
      <w:start w:val="2"/>
    </w:lvl>
  </w:abstractNum>
  <w:abstractNum w:abstractNumId="81">
    <w:nsid w:val="100F59D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2">
    <w:nsid w:val="7FB7E0AA"/>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83">
    <w:nsid w:val="6EB5BD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84">
    <w:nsid w:val="6F6DD9AC"/>
    <w:multiLevelType w:val="hybridMultilevel"/>
    <w:lvl w:ilvl="0">
      <w:lvlJc w:val="left"/>
      <w:lvlText w:val="%1."/>
      <w:numFmt w:val="decimal"/>
      <w:start w:val="4"/>
    </w:lvl>
    <w:lvl w:ilvl="1">
      <w:lvlJc w:val="left"/>
      <w:lvlText w:val="(%2)"/>
      <w:numFmt w:val="lowerLetter"/>
      <w:start w:val="1"/>
    </w:lvl>
  </w:abstractNum>
  <w:abstractNum w:abstractNumId="85">
    <w:nsid w:val="94211F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53" Type="http://schemas.openxmlformats.org/officeDocument/2006/relationships/image" Target="media/image118.png"/><Relationship Id="rId168" Type="http://schemas.openxmlformats.org/officeDocument/2006/relationships/image" Target="media/image119.png"/><Relationship Id="rId169" Type="http://schemas.openxmlformats.org/officeDocument/2006/relationships/image" Target="media/image120.png"/><Relationship Id="rId170" Type="http://schemas.openxmlformats.org/officeDocument/2006/relationships/image" Target="media/image121.png"/><Relationship Id="rId171" Type="http://schemas.openxmlformats.org/officeDocument/2006/relationships/image" Target="media/image122.png"/><Relationship Id="rId172" Type="http://schemas.openxmlformats.org/officeDocument/2006/relationships/image" Target="media/image123.png"/><Relationship Id="rId173" Type="http://schemas.openxmlformats.org/officeDocument/2006/relationships/image" Target="media/image124.png"/><Relationship Id="rId174" Type="http://schemas.openxmlformats.org/officeDocument/2006/relationships/image" Target="media/image125.png"/><Relationship Id="rId175" Type="http://schemas.openxmlformats.org/officeDocument/2006/relationships/image" Target="media/image126.png"/><Relationship Id="rId176" Type="http://schemas.openxmlformats.org/officeDocument/2006/relationships/image" Target="media/image127.png"/><Relationship Id="rId177" Type="http://schemas.openxmlformats.org/officeDocument/2006/relationships/image" Target="media/image128.png"/><Relationship Id="rId178" Type="http://schemas.openxmlformats.org/officeDocument/2006/relationships/image" Target="media/image129.png"/><Relationship Id="rId179" Type="http://schemas.openxmlformats.org/officeDocument/2006/relationships/image" Target="media/image130.png"/><Relationship Id="rId180" Type="http://schemas.openxmlformats.org/officeDocument/2006/relationships/image" Target="media/image131.png"/><Relationship Id="rId181" Type="http://schemas.openxmlformats.org/officeDocument/2006/relationships/image" Target="media/image132.png"/><Relationship Id="rId182" Type="http://schemas.openxmlformats.org/officeDocument/2006/relationships/image" Target="media/image133.png"/><Relationship Id="rId183" Type="http://schemas.openxmlformats.org/officeDocument/2006/relationships/image" Target="media/image134.png"/><Relationship Id="rId184" Type="http://schemas.openxmlformats.org/officeDocument/2006/relationships/image" Target="media/image135.png"/><Relationship Id="rId185" Type="http://schemas.openxmlformats.org/officeDocument/2006/relationships/image" Target="media/image136.png"/><Relationship Id="rId186" Type="http://schemas.openxmlformats.org/officeDocument/2006/relationships/image" Target="media/image137.png"/><Relationship Id="rId187" Type="http://schemas.openxmlformats.org/officeDocument/2006/relationships/image" Target="media/image138.png"/><Relationship Id="rId188" Type="http://schemas.openxmlformats.org/officeDocument/2006/relationships/image" Target="media/image139.png"/><Relationship Id="rId189" Type="http://schemas.openxmlformats.org/officeDocument/2006/relationships/image" Target="media/image140.png"/><Relationship Id="rId190" Type="http://schemas.openxmlformats.org/officeDocument/2006/relationships/image" Target="media/image141.png"/><Relationship Id="rId191" Type="http://schemas.openxmlformats.org/officeDocument/2006/relationships/image" Target="media/image142.png"/><Relationship Id="rId192" Type="http://schemas.openxmlformats.org/officeDocument/2006/relationships/image" Target="media/image143.png"/><Relationship Id="rId193" Type="http://schemas.openxmlformats.org/officeDocument/2006/relationships/image" Target="media/image144.png"/><Relationship Id="rId194" Type="http://schemas.openxmlformats.org/officeDocument/2006/relationships/image" Target="media/image145.png"/><Relationship Id="rId195" Type="http://schemas.openxmlformats.org/officeDocument/2006/relationships/image" Target="media/image146.png"/><Relationship Id="rId196" Type="http://schemas.openxmlformats.org/officeDocument/2006/relationships/image" Target="media/image147.png"/><Relationship Id="rId197" Type="http://schemas.openxmlformats.org/officeDocument/2006/relationships/image" Target="media/image148.png"/><Relationship Id="rId198" Type="http://schemas.openxmlformats.org/officeDocument/2006/relationships/image" Target="media/image149.png"/><Relationship Id="rId199" Type="http://schemas.openxmlformats.org/officeDocument/2006/relationships/image" Target="media/image150.png"/><Relationship Id="rId200" Type="http://schemas.openxmlformats.org/officeDocument/2006/relationships/image" Target="media/image151.png"/><Relationship Id="rId201" Type="http://schemas.openxmlformats.org/officeDocument/2006/relationships/image" Target="media/image152.png"/><Relationship Id="rId125" Type="http://schemas.openxmlformats.org/officeDocument/2006/relationships/hyperlink" Target="https://www.sec.gov/Archives/edgar/data/1867072/000110465921134456/tm2131654d1_ex2-1.htm" TargetMode="External"/><Relationship Id="rId126" Type="http://schemas.openxmlformats.org/officeDocument/2006/relationships/hyperlink" Target="https://www.sec.gov/Archives/edgar/data/1867072/000110465921134456/tm2131654d1_ex3-1.htm" TargetMode="External"/><Relationship Id="rId127" Type="http://schemas.openxmlformats.org/officeDocument/2006/relationships/hyperlink" Target="https://www.sec.gov/Archives/edgar/data/1867072/000155837023000663/kd-20230125xex3d1.htm" TargetMode="External"/><Relationship Id="rId128" Type="http://schemas.openxmlformats.org/officeDocument/2006/relationships/hyperlink" Target="https://www.sec.gov/Archives/edgar/data/1867072/000110465921126755/tm2129119d4_ex4-1.htm" TargetMode="External"/><Relationship Id="rId129" Type="http://schemas.openxmlformats.org/officeDocument/2006/relationships/hyperlink" Target="https://www.sec.gov/Archives/edgar/data/1867072/000110465921126755/tm2129119d4_ex4-2.htm" TargetMode="External"/><Relationship Id="rId130" Type="http://schemas.openxmlformats.org/officeDocument/2006/relationships/hyperlink" Target="https://www.sec.gov/Archives/edgar/data/1867072/000110465924025284/tm246507d1_ex4-1.htm" TargetMode="External"/><Relationship Id="rId131" Type="http://schemas.openxmlformats.org/officeDocument/2006/relationships/hyperlink" Target="https://www.sec.gov/Archives/edgar/data/1867072/000155837022003291/kd-20211231xex4d3.htm" TargetMode="External"/><Relationship Id="rId132" Type="http://schemas.openxmlformats.org/officeDocument/2006/relationships/hyperlink" Target="https://www.sec.gov/Archives/edgar/data/1867072/000110465921128978/tm2130563d2_ex10-1.htm" TargetMode="External"/><Relationship Id="rId133" Type="http://schemas.openxmlformats.org/officeDocument/2006/relationships/hyperlink" Target="https://www.sec.gov/Archives/edgar/data/1867072/000110465923074355/tm2319411d1_ex10-2.htm" TargetMode="External"/><Relationship Id="rId134" Type="http://schemas.openxmlformats.org/officeDocument/2006/relationships/hyperlink" Target="https://www.sec.gov/Archives/edgar/data/1867072/000110465921128978/tm2130563d2_ex10-2.htm" TargetMode="External"/><Relationship Id="rId135" Type="http://schemas.openxmlformats.org/officeDocument/2006/relationships/hyperlink" Target="https://www.sec.gov/Archives/edgar/data/1867072/000110465923074355/tm2319411d1_ex10-1.htm" TargetMode="External"/><Relationship Id="rId136" Type="http://schemas.openxmlformats.org/officeDocument/2006/relationships/hyperlink" Target="https://www.sec.gov/Archives/edgar/data/1867072/000110465921132370/tm2130563d3_ex10-1.htm" TargetMode="External"/><Relationship Id="rId137" Type="http://schemas.openxmlformats.org/officeDocument/2006/relationships/hyperlink" Target="https://www.sec.gov/Archives/edgar/data/1867072/000155837022003291/kd-20211231xex10d4.htm" TargetMode="External"/><Relationship Id="rId138" Type="http://schemas.openxmlformats.org/officeDocument/2006/relationships/hyperlink" Target="https://www.sec.gov/Archives/edgar/data/1867072/000155837023001077/kd-20221231xex10d1.htm" TargetMode="External"/><Relationship Id="rId139" Type="http://schemas.openxmlformats.org/officeDocument/2006/relationships/hyperlink" Target="https://www.sec.gov/Archives/edgar/data/1867072/000155837023001077/kd-20221231xex10d2.htm" TargetMode="External"/><Relationship Id="rId140" Type="http://schemas.openxmlformats.org/officeDocument/2006/relationships/hyperlink" Target="https://www.sec.gov/Archives/edgar/data/1867072/000110465921134456/tm2131654d1_ex10-2.htm" TargetMode="External"/><Relationship Id="rId141" Type="http://schemas.openxmlformats.org/officeDocument/2006/relationships/hyperlink" Target="https://www.sec.gov/Archives/edgar/data/1867072/000110465921134456/tm2131654d1_ex10-3.htm" TargetMode="External"/><Relationship Id="rId142" Type="http://schemas.openxmlformats.org/officeDocument/2006/relationships/hyperlink" Target="https://www.sec.gov/Archives/edgar/data/1867072/000110465921134456/tm2131654d1_ex10-4.htm" TargetMode="External"/><Relationship Id="rId143" Type="http://schemas.openxmlformats.org/officeDocument/2006/relationships/hyperlink" Target="https://www.sec.gov/Archives/edgar/data/1867072/000110465921134456/tm2131654d1_ex10-5.htm" TargetMode="External"/><Relationship Id="rId144" Type="http://schemas.openxmlformats.org/officeDocument/2006/relationships/hyperlink" Target="https://www.sec.gov/Archives/edgar/data/1867072/000110465921134456/tm2131654d1_ex10-6.htm" TargetMode="External"/><Relationship Id="rId145" Type="http://schemas.openxmlformats.org/officeDocument/2006/relationships/hyperlink" Target="https://www.sec.gov/Archives/edgar/data/1867072/000110465921134456/tm2131654d1_ex10-7.htm" TargetMode="External"/><Relationship Id="rId146" Type="http://schemas.openxmlformats.org/officeDocument/2006/relationships/hyperlink" Target="https://www.sec.gov/Archives/edgar/data/1867072/000110465922084325/tm2222020d1_ex4-3.htm" TargetMode="External"/><Relationship Id="rId147" Type="http://schemas.openxmlformats.org/officeDocument/2006/relationships/hyperlink" Target="https://www.sec.gov/Archives/edgar/data/1867072/000110465923085827/tm2322073d1_ex4-3.htm" TargetMode="External"/><Relationship Id="rId148" Type="http://schemas.openxmlformats.org/officeDocument/2006/relationships/hyperlink" Target="https://www.sec.gov/Archives/edgar/data/1867072/000110465921134456/tm2131654d1_ex10-10.htm" TargetMode="External"/><Relationship Id="rId149" Type="http://schemas.openxmlformats.org/officeDocument/2006/relationships/hyperlink" Target="https://www.sec.gov/Archives/edgar/data/1867072/000110465921134456/tm2131654d1_ex10-11.htm" TargetMode="External"/><Relationship Id="rId150" Type="http://schemas.openxmlformats.org/officeDocument/2006/relationships/hyperlink" Target="https://www.sec.gov/Archives/edgar/data/1867072/000110465921134456/tm2131654d1_ex10-12.htm" TargetMode="External"/><Relationship Id="rId151" Type="http://schemas.openxmlformats.org/officeDocument/2006/relationships/hyperlink" Target="https://www.sec.gov/Archives/edgar/data/1867072/000155837022003291/kd-20211231xex10d25.htm" TargetMode="External"/><Relationship Id="rId152" Type="http://schemas.openxmlformats.org/officeDocument/2006/relationships/hyperlink" Target="https://www.sec.gov/Archives/edgar/data/1867072/000155837022003291/kd-20211231xex10d26.htm" TargetMode="External"/><Relationship Id="rId154" Type="http://schemas.openxmlformats.org/officeDocument/2006/relationships/hyperlink" Target="https://www.sec.gov/Archives/edgar/data/1867072/000155837022016438/kd-20220930xex10d3.htm" TargetMode="External"/><Relationship Id="rId155" Type="http://schemas.openxmlformats.org/officeDocument/2006/relationships/hyperlink" Target="https://www.sec.gov/Archives/edgar/data/1867072/000155837023018275/kd-20230930xex10d5.htm" TargetMode="External"/><Relationship Id="rId156" Type="http://schemas.openxmlformats.org/officeDocument/2006/relationships/hyperlink" Target="https://www.sec.gov/Archives/edgar/data/1867072/000155837023018275/kd-20230930xex10d6.htm" TargetMode="External"/><Relationship Id="rId157" Type="http://schemas.openxmlformats.org/officeDocument/2006/relationships/hyperlink" Target="https://www.sec.gov/Archives/edgar/data/1867072/000110465921134456/tm2131654d1_ex10-13.htm" TargetMode="External"/><Relationship Id="rId158" Type="http://schemas.openxmlformats.org/officeDocument/2006/relationships/hyperlink" Target="https://www.sec.gov/Archives/edgar/data/1867072/000110465921125040/tm2119587d13_ex10-13.htm" TargetMode="External"/><Relationship Id="rId159" Type="http://schemas.openxmlformats.org/officeDocument/2006/relationships/hyperlink" Target="https://www.sec.gov/Archives/edgar/data/1867072/000110465921125040/tm2119587d13_ex10-14.htm" TargetMode="External"/><Relationship Id="rId160" Type="http://schemas.openxmlformats.org/officeDocument/2006/relationships/hyperlink" Target="https://www.sec.gov/Archives/edgar/data/1867072/000110465921125040/tm2119587d13_ex10-15.htm" TargetMode="External"/><Relationship Id="rId161" Type="http://schemas.openxmlformats.org/officeDocument/2006/relationships/hyperlink" Target="https://www.sec.gov/Archives/edgar/data/1867072/000110465921125040/tm2119587d13_ex10-16.htm" TargetMode="External"/><Relationship Id="rId162" Type="http://schemas.openxmlformats.org/officeDocument/2006/relationships/hyperlink" Target="https://www.sec.gov/Archives/edgar/data/1867072/000110465921125040/tm2119587d13_ex10-17.htm" TargetMode="External"/><Relationship Id="rId163" Type="http://schemas.openxmlformats.org/officeDocument/2006/relationships/hyperlink" Target="https://www.sec.gov/Archives/edgar/data/1867072/000110465922027351/tm227537d1_ex10-2.htm" TargetMode="External"/><Relationship Id="rId164" Type="http://schemas.openxmlformats.org/officeDocument/2006/relationships/hyperlink" Target="https://www.sec.gov/Archives/edgar/data/1867072/000110465922084380/tm2222002d1_ex10-2.htm" TargetMode="External"/><Relationship Id="rId165" Type="http://schemas.openxmlformats.org/officeDocument/2006/relationships/hyperlink" Target="https://www.sec.gov/Archives/edgar/data/1867072/000110465923085864/tm2322073d2_ex10-2.htm" TargetMode="External"/><Relationship Id="rId166" Type="http://schemas.openxmlformats.org/officeDocument/2006/relationships/hyperlink" Target="https://www.sec.gov/Archives/edgar/data/1867072/000155837023018275/kd-20230930xex10d7.htm" TargetMode="External"/><Relationship Id="rId167" Type="http://schemas.openxmlformats.org/officeDocument/2006/relationships/hyperlink" Target="https://www.sec.gov/Archives/edgar/data/1867072/000110465922027351/tm227537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2024-05-30T16:25:58Z</dcterms:created>
  <dcterms:modified xsi:type="dcterms:W3CDTF">2024-05-30T16:25:58Z</dcterms:modified>
</cp:coreProperties>
</file>