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Kyndryl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14,398,694.00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14,636,830.00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14,636,830.00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14,398,694.00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14,636,830.00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14,636,830.00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88"/>
        <w:gridCol w:w="8962"/>
        <w:gridCol w:w="155"/>
      </w:tblGrid>
      <w:tr>
        <w:trPr/>
        <w:tc>
          <w:tcPr>
            <w:tcW w:w="1088" w:type="dxa"/>
            <w:tcBorders/>
            <w:vAlign w:val="center"/>
          </w:tcPr>
          <w:p>
            <w:pPr>
              <w:pStyle w:val="TableContents"/>
              <w:bidi w:val="0"/>
              <w:spacing w:before="0" w:after="283"/>
              <w:jc w:val="left"/>
              <w:rPr/>
            </w:pPr>
            <w:r>
              <w:rPr/>
              <w:t>Item 1.</w:t>
            </w:r>
          </w:p>
        </w:tc>
        <w:tc>
          <w:tcPr>
            <w:tcW w:w="896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jc w:val="left"/>
              <w:rPr/>
            </w:pPr>
            <w:r>
              <w:rPr/>
              <w:t xml:space="preserve">Name of issuer: </w:t>
            </w:r>
          </w:p>
          <w:p>
            <w:pPr>
              <w:pStyle w:val="TableContents"/>
              <w:bidi w:val="0"/>
              <w:spacing w:before="0" w:after="0"/>
              <w:jc w:val="left"/>
              <w:rPr/>
            </w:pPr>
            <w:r>
              <w:rPr/>
              <w:t>Kyndryl Holdings, Inc.</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VANDERBILT AVENUE, 15TH FLOOR, NEW YORK, NEW YORK 10017</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2.</w:t>
            </w:r>
          </w:p>
        </w:tc>
        <w:tc>
          <w:tcPr>
            <w:tcW w:w="896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(c)</w:t>
            </w:r>
          </w:p>
        </w:tc>
        <w:tc>
          <w:tcPr>
            <w:tcW w:w="8962"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(d)</w:t>
            </w:r>
          </w:p>
        </w:tc>
        <w:tc>
          <w:tcPr>
            <w:tcW w:w="896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(e)</w:t>
            </w:r>
          </w:p>
        </w:tc>
        <w:tc>
          <w:tcPr>
            <w:tcW w:w="896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3.</w:t>
            </w:r>
          </w:p>
        </w:tc>
        <w:tc>
          <w:tcPr>
            <w:tcW w:w="896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(c)</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(d)</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(e)</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(f)</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(g)</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(h)</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(j)</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(k)</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9117" w:type="dxa"/>
            <w:gridSpan w:val="2"/>
            <w:tcBorders/>
            <w:vAlign w:val="center"/>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4.</w:t>
            </w:r>
          </w:p>
        </w:tc>
        <w:tc>
          <w:tcPr>
            <w:tcW w:w="896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14,636,830</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6.64  %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(c)</w:t>
            </w:r>
          </w:p>
        </w:tc>
        <w:tc>
          <w:tcPr>
            <w:tcW w:w="896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- 14,398,694 AQR Capital Management Holdings, LLC - 14,398,694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- 14,636,830 AQR Capital Management Holdings, LLC - 14,636,830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5.</w:t>
            </w:r>
          </w:p>
        </w:tc>
        <w:tc>
          <w:tcPr>
            <w:tcW w:w="896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6.</w:t>
            </w:r>
          </w:p>
        </w:tc>
        <w:tc>
          <w:tcPr>
            <w:tcW w:w="896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7.</w:t>
            </w:r>
          </w:p>
        </w:tc>
        <w:tc>
          <w:tcPr>
            <w:tcW w:w="896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8.</w:t>
            </w:r>
          </w:p>
        </w:tc>
        <w:tc>
          <w:tcPr>
            <w:tcW w:w="896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9.</w:t>
            </w:r>
          </w:p>
        </w:tc>
        <w:tc>
          <w:tcPr>
            <w:tcW w:w="896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AQR Capital Management Holdings, LLC and AQR Capital Management, LLC hereby agree that this Schedule 13G is filed on behalf of each of the parties. AQR Capital Management, LLC is a wholly owned subsidiary of AQR Capital Management Holdings, LLC.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1033</Words>
  <Characters>5407</Characters>
  <CharactersWithSpaces>6409</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