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90928.xml.htm"/>
      <w:bookmarkStart w:id="1" w:name="ksform409032026_0909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Paulek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Kyndryl Holdings, Inc.</w:t>
              </w:r>
            </w:hyperlink>
            <w:r>
              <w:rPr/>
              <w:t xml:space="preserve"> [ </w:t>
            </w:r>
            <w:r>
              <w:rPr>
                <w:rFonts w:ascii="Times;serif" w:hAnsi="Times;serif"/>
                <w:color w:val="0000FF"/>
                <w:sz w:val="24"/>
                <w:shd w:fill="FFFFFF" w:val="clear"/>
              </w:rPr>
              <w:t>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1,661</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147,546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from delivery of shares of Common Stock from the Issuer to satisfy the Reporting Person's tax withholding obligation upon the vesting of 3,434 restricted stock units previously granted on September 1, 2022 to the Reporting Person. These shares of Common Stock were not sold by the Reporting Person but were instead offset from the total number of vested shares of Common Stock received by the Reporting Person from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Schlaffman,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558" TargetMode="External"/><Relationship Id="rId5" Type="http://schemas.openxmlformats.org/officeDocument/2006/relationships/hyperlink" Target="http://www.sec.gov/cgi-bin/browse-edgar?action=getcompany&amp;CIK=00018670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3470</Characters>
  <CharactersWithSpaces>4043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