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jc w:val="center"/>
        <w:ind w:right="-360"/>
        <w:spacing w:after="0"/>
        <w:rPr>
          <w:sz w:val="20"/>
          <w:szCs w:val="20"/>
          <w:color w:val="auto"/>
        </w:rPr>
      </w:pPr>
      <w:r>
        <w:rPr>
          <w:rFonts w:ascii="Arial" w:cs="Arial" w:eastAsia="Arial" w:hAnsi="Arial"/>
          <w:sz w:val="29"/>
          <w:szCs w:val="29"/>
          <w:b w:val="1"/>
          <w:bCs w:val="1"/>
          <w:color w:val="auto"/>
        </w:rPr>
        <w:t>SCHEDULE 14A</w:t>
      </w:r>
    </w:p>
    <w:p>
      <w:pPr>
        <w:spacing w:after="0" w:line="120" w:lineRule="exact"/>
        <w:rPr>
          <w:sz w:val="24"/>
          <w:szCs w:val="24"/>
          <w:color w:val="auto"/>
        </w:rPr>
      </w:pPr>
    </w:p>
    <w:p>
      <w:pPr>
        <w:jc w:val="center"/>
        <w:ind w:right="-300"/>
        <w:spacing w:after="0"/>
        <w:rPr>
          <w:sz w:val="20"/>
          <w:szCs w:val="20"/>
          <w:color w:val="auto"/>
        </w:rPr>
      </w:pPr>
      <w:r>
        <w:rPr>
          <w:rFonts w:ascii="Arial" w:cs="Arial" w:eastAsia="Arial" w:hAnsi="Arial"/>
          <w:sz w:val="22"/>
          <w:szCs w:val="22"/>
          <w:color w:val="auto"/>
        </w:rPr>
        <w:t>Proxy Statement Pursuant to Section 14(a) of</w:t>
      </w:r>
    </w:p>
    <w:p>
      <w:pPr>
        <w:spacing w:after="0" w:line="10" w:lineRule="exact"/>
        <w:rPr>
          <w:sz w:val="24"/>
          <w:szCs w:val="24"/>
          <w:color w:val="auto"/>
        </w:rPr>
      </w:pPr>
    </w:p>
    <w:p>
      <w:pPr>
        <w:jc w:val="center"/>
        <w:ind w:right="-360"/>
        <w:spacing w:after="0"/>
        <w:rPr>
          <w:sz w:val="20"/>
          <w:szCs w:val="20"/>
          <w:color w:val="auto"/>
        </w:rPr>
      </w:pPr>
      <w:r>
        <w:rPr>
          <w:rFonts w:ascii="Arial" w:cs="Arial" w:eastAsia="Arial" w:hAnsi="Arial"/>
          <w:sz w:val="22"/>
          <w:szCs w:val="22"/>
          <w:color w:val="auto"/>
        </w:rPr>
        <w:t>the Securities Exchange Act of 1934 (Amendment No.       )</w:t>
      </w:r>
    </w:p>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04"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189230</wp:posOffset>
            </wp:positionV>
            <wp:extent cx="144843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10" w:lineRule="exact"/>
        <w:rPr>
          <w:sz w:val="24"/>
          <w:szCs w:val="24"/>
          <w:color w:val="auto"/>
        </w:rPr>
      </w:pPr>
    </w:p>
    <w:p>
      <w:pPr>
        <w:ind w:left="2780"/>
        <w:spacing w:after="0"/>
        <w:rPr>
          <w:sz w:val="20"/>
          <w:szCs w:val="20"/>
          <w:color w:val="auto"/>
        </w:rPr>
      </w:pPr>
      <w:r>
        <w:rPr>
          <w:rFonts w:ascii="Arial" w:cs="Arial" w:eastAsia="Arial" w:hAnsi="Arial"/>
          <w:sz w:val="40"/>
          <w:szCs w:val="40"/>
          <w:b w:val="1"/>
          <w:bCs w:val="1"/>
          <w:color w:val="auto"/>
        </w:rPr>
        <w:t>Kyndryl Holdings, Inc.</w:t>
      </w:r>
    </w:p>
    <w:p>
      <w:pPr>
        <w:spacing w:after="0" w:line="32"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86"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04"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3"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359410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196215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9052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2" w:name="page3"/>
    <w:bookmarkEnd w:id="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120015</wp:posOffset>
            </wp:positionV>
            <wp:extent cx="5623560" cy="1405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356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0" w:right="2439"/>
        <w:spacing w:after="0" w:line="379" w:lineRule="auto"/>
        <w:rPr>
          <w:sz w:val="20"/>
          <w:szCs w:val="20"/>
          <w:color w:val="auto"/>
        </w:rPr>
      </w:pPr>
      <w:r>
        <w:rPr>
          <w:rFonts w:ascii="Arial" w:cs="Arial" w:eastAsia="Arial" w:hAnsi="Arial"/>
          <w:sz w:val="37"/>
          <w:szCs w:val="37"/>
          <w:b w:val="1"/>
          <w:bCs w:val="1"/>
          <w:color w:val="FFFFFF"/>
        </w:rPr>
        <w:t>A Message from Our 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-41910</wp:posOffset>
            </wp:positionV>
            <wp:extent cx="1474470" cy="14744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1474470"/>
                    </a:xfrm>
                    <a:prstGeom prst="rect">
                      <a:avLst/>
                    </a:prstGeom>
                    <a:noFill/>
                  </pic:spPr>
                </pic:pic>
              </a:graphicData>
            </a:graphic>
          </wp:anchor>
        </w:drawing>
      </w:r>
    </w:p>
    <w:p>
      <w:pPr>
        <w:ind w:left="80"/>
        <w:spacing w:after="0"/>
        <w:rPr>
          <w:sz w:val="20"/>
          <w:szCs w:val="20"/>
          <w:color w:val="auto"/>
        </w:rPr>
      </w:pPr>
      <w:r>
        <w:rPr>
          <w:rFonts w:ascii="Arial" w:cs="Arial" w:eastAsia="Arial" w:hAnsi="Arial"/>
          <w:sz w:val="31"/>
          <w:szCs w:val="31"/>
          <w:b w:val="1"/>
          <w:bCs w:val="1"/>
          <w:color w:val="auto"/>
        </w:rPr>
        <w:t>Dear Fellow Stockholders,</w:t>
      </w:r>
    </w:p>
    <w:p>
      <w:pPr>
        <w:spacing w:after="0" w:line="281" w:lineRule="exact"/>
        <w:rPr>
          <w:sz w:val="20"/>
          <w:szCs w:val="20"/>
          <w:color w:val="auto"/>
        </w:rPr>
      </w:pPr>
    </w:p>
    <w:p>
      <w:pPr>
        <w:ind w:left="80" w:right="3139"/>
        <w:spacing w:after="0" w:line="241" w:lineRule="auto"/>
        <w:rPr>
          <w:sz w:val="20"/>
          <w:szCs w:val="20"/>
          <w:color w:val="auto"/>
        </w:rPr>
      </w:pPr>
      <w:r>
        <w:rPr>
          <w:rFonts w:ascii="Arial" w:cs="Arial" w:eastAsia="Arial" w:hAnsi="Arial"/>
          <w:sz w:val="17"/>
          <w:szCs w:val="17"/>
          <w:color w:val="auto"/>
        </w:rPr>
        <w:t>On behalf of the entire Kyndryl Board of Directors, I am pleased to invite you to Kyndryl’s 2026 Annual Meeting of Stockholders on July 30, 2026, at 1:00 p.m. Eastern Daylight Time. To enable all of our stockholders to participate fully and equally from any place in the world at little to no cost, the Annual Meeting will once again be held as a virtual live audio webcast.</w:t>
      </w:r>
    </w:p>
    <w:p>
      <w:pPr>
        <w:spacing w:after="0" w:line="146"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720" w:type="dxa"/>
            <w:vAlign w:val="bottom"/>
          </w:tcPr>
          <w:p>
            <w:pPr>
              <w:spacing w:after="0"/>
              <w:rPr>
                <w:sz w:val="20"/>
                <w:szCs w:val="20"/>
                <w:color w:val="auto"/>
              </w:rPr>
            </w:pPr>
            <w:r>
              <w:rPr>
                <w:rFonts w:ascii="Arial" w:cs="Arial" w:eastAsia="Arial" w:hAnsi="Arial"/>
                <w:sz w:val="17"/>
                <w:szCs w:val="17"/>
                <w:color w:val="auto"/>
              </w:rPr>
              <w:t>You will be able to attend the virtual Annual Meeting, vote your shares</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line="189" w:lineRule="exact"/>
              <w:rPr>
                <w:sz w:val="20"/>
                <w:szCs w:val="20"/>
                <w:color w:val="auto"/>
              </w:rPr>
            </w:pPr>
            <w:r>
              <w:rPr>
                <w:rFonts w:ascii="Arial" w:cs="Arial" w:eastAsia="Arial" w:hAnsi="Arial"/>
                <w:sz w:val="17"/>
                <w:szCs w:val="17"/>
                <w:color w:val="auto"/>
              </w:rPr>
              <w:t>electronically and submit questions both during and prior to the Annual</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720" w:type="dxa"/>
            <w:vAlign w:val="bottom"/>
          </w:tcPr>
          <w:p>
            <w:pPr>
              <w:spacing w:after="0"/>
              <w:rPr>
                <w:sz w:val="20"/>
                <w:szCs w:val="20"/>
                <w:color w:val="auto"/>
              </w:rPr>
            </w:pPr>
            <w:r>
              <w:rPr>
                <w:rFonts w:ascii="Arial" w:cs="Arial" w:eastAsia="Arial" w:hAnsi="Arial"/>
                <w:sz w:val="17"/>
                <w:szCs w:val="17"/>
                <w:color w:val="auto"/>
              </w:rPr>
              <w:t xml:space="preserve">Meeting by visiting </w:t>
            </w:r>
            <w:r>
              <w:rPr>
                <w:rFonts w:ascii="Arial" w:cs="Arial" w:eastAsia="Arial" w:hAnsi="Arial"/>
                <w:sz w:val="17"/>
                <w:szCs w:val="17"/>
                <w:b w:val="1"/>
                <w:bCs w:val="1"/>
                <w:i w:val="1"/>
                <w:iCs w:val="1"/>
                <w:color w:val="auto"/>
              </w:rPr>
              <w:t>virtualshareholdermeeting.com/KD2026</w:t>
            </w:r>
            <w:r>
              <w:rPr>
                <w:rFonts w:ascii="Arial" w:cs="Arial" w:eastAsia="Arial" w:hAnsi="Arial"/>
                <w:sz w:val="17"/>
                <w:szCs w:val="17"/>
                <w:color w:val="auto"/>
              </w:rPr>
              <w:t>.</w:t>
            </w:r>
          </w:p>
        </w:tc>
        <w:tc>
          <w:tcPr>
            <w:tcW w:w="460" w:type="dxa"/>
            <w:vAlign w:val="bottom"/>
            <w:vMerge w:val="restart"/>
          </w:tcPr>
          <w:p>
            <w:pPr>
              <w:ind w:left="38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71"/>
        </w:trPr>
        <w:tc>
          <w:tcPr>
            <w:tcW w:w="57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Martin Schroeter</w:t>
      </w:r>
    </w:p>
    <w:p>
      <w:pPr>
        <w:spacing w:after="0" w:line="156" w:lineRule="exact"/>
        <w:rPr>
          <w:sz w:val="20"/>
          <w:szCs w:val="20"/>
          <w:color w:val="auto"/>
        </w:rPr>
      </w:pPr>
    </w:p>
    <w:p>
      <w:pPr>
        <w:ind w:left="80" w:right="239"/>
        <w:spacing w:after="0" w:line="241" w:lineRule="auto"/>
        <w:rPr>
          <w:sz w:val="20"/>
          <w:szCs w:val="20"/>
          <w:color w:val="auto"/>
        </w:rPr>
      </w:pPr>
      <w:r>
        <w:rPr>
          <w:rFonts w:ascii="Arial" w:cs="Arial" w:eastAsia="Arial" w:hAnsi="Arial"/>
          <w:sz w:val="17"/>
          <w:szCs w:val="17"/>
          <w:color w:val="auto"/>
        </w:rPr>
        <w:t>As we have done each year, we are furnishing our proxy materials to stockholders primarily over the Internet. This process expedites your receipt of the proxy materials and reduces the cost of the Annual Meeting. Stockholders of record as of the close of business on June 3, 2026 will either receive a proxy card or a Notice of Internet Availability of Proxy Materials for the Annual Meeting. The notice contains instructions on how to access our Proxy Statement and Annual Report for the fiscal year ended March 31, 2026 and submit your proxy online.</w:t>
      </w:r>
    </w:p>
    <w:p>
      <w:pPr>
        <w:spacing w:after="0" w:line="126" w:lineRule="exact"/>
        <w:rPr>
          <w:sz w:val="20"/>
          <w:szCs w:val="20"/>
          <w:color w:val="auto"/>
        </w:rPr>
      </w:pPr>
    </w:p>
    <w:p>
      <w:pPr>
        <w:ind w:left="80" w:right="159"/>
        <w:spacing w:after="0" w:line="244" w:lineRule="auto"/>
        <w:rPr>
          <w:sz w:val="20"/>
          <w:szCs w:val="20"/>
          <w:color w:val="auto"/>
        </w:rPr>
      </w:pPr>
      <w:r>
        <w:rPr>
          <w:rFonts w:ascii="Arial" w:cs="Arial" w:eastAsia="Arial" w:hAnsi="Arial"/>
          <w:sz w:val="17"/>
          <w:szCs w:val="17"/>
          <w:color w:val="auto"/>
        </w:rPr>
        <w:t>Your vote is important to us. Even if you plan to attend the Annual Meeting, we recommend that you promptly submit your proxy with your voting instructions. You may do this over the Internet, as well as by telephone or mail. Please review the instructions regarding each of these options on your proxy card or Notice of Internet Availability of Proxy Materials.</w:t>
      </w:r>
    </w:p>
    <w:p>
      <w:pPr>
        <w:spacing w:after="0" w:line="123" w:lineRule="exact"/>
        <w:rPr>
          <w:sz w:val="20"/>
          <w:szCs w:val="20"/>
          <w:color w:val="auto"/>
        </w:rPr>
      </w:pPr>
    </w:p>
    <w:p>
      <w:pPr>
        <w:ind w:left="80" w:right="179"/>
        <w:spacing w:after="0" w:line="241" w:lineRule="auto"/>
        <w:rPr>
          <w:sz w:val="20"/>
          <w:szCs w:val="20"/>
          <w:color w:val="auto"/>
        </w:rPr>
      </w:pPr>
      <w:r>
        <w:rPr>
          <w:rFonts w:ascii="Arial" w:cs="Arial" w:eastAsia="Arial" w:hAnsi="Arial"/>
          <w:sz w:val="17"/>
          <w:szCs w:val="17"/>
          <w:color w:val="auto"/>
        </w:rPr>
        <w:t>I hope that you can join us for our 2026 Annual Meeting so that you can hear firsthand about Kyndryl’s progress and the momentum we are building in managing and modernizing our customers’ most complex, mission-critical</w:t>
      </w:r>
    </w:p>
    <w:p>
      <w:pPr>
        <w:spacing w:after="0" w:line="1" w:lineRule="exact"/>
        <w:rPr>
          <w:sz w:val="20"/>
          <w:szCs w:val="20"/>
          <w:color w:val="auto"/>
        </w:rPr>
      </w:pPr>
    </w:p>
    <w:p>
      <w:pPr>
        <w:ind w:left="80" w:right="319"/>
        <w:spacing w:after="0" w:line="236" w:lineRule="auto"/>
        <w:rPr>
          <w:sz w:val="20"/>
          <w:szCs w:val="20"/>
          <w:color w:val="auto"/>
        </w:rPr>
      </w:pPr>
      <w:r>
        <w:rPr>
          <w:rFonts w:ascii="Arial" w:cs="Arial" w:eastAsia="Arial" w:hAnsi="Arial"/>
          <w:sz w:val="17"/>
          <w:szCs w:val="17"/>
          <w:color w:val="auto"/>
        </w:rPr>
        <w:t>IT environments. We have continued to invest in Kyndryl Consult, our alliance partnerships and our agentic AI capabilities, strengthening our unique position to deliver meaningful business outcomes for our customers. We are focused on advancing our targeted growth areas while further streamlining our operations. With a strong Kyndryl team, we remain confident in our strategic direction, providing world-class services to our customers and creating long-term value for our stockholders.</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Thank you for your continued confidence in Kyndryl.</w:t>
      </w:r>
    </w:p>
    <w:p>
      <w:pPr>
        <w:spacing w:after="0" w:line="237" w:lineRule="exact"/>
        <w:rPr>
          <w:sz w:val="20"/>
          <w:szCs w:val="20"/>
          <w:color w:val="auto"/>
        </w:rPr>
      </w:pPr>
    </w:p>
    <w:p>
      <w:pPr>
        <w:ind w:left="8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44450</wp:posOffset>
            </wp:positionV>
            <wp:extent cx="925830" cy="334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5830" cy="3346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  </w:t>
      </w:r>
    </w:p>
    <w:p>
      <w:pPr>
        <w:spacing w:after="0" w:line="4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F0533D"/>
        </w:rPr>
        <w:t>Martin Schroeter</w:t>
      </w:r>
    </w:p>
    <w:p>
      <w:pPr>
        <w:spacing w:after="0" w:line="3"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Chairman of the Board and Chief Executive Officer</w:t>
      </w:r>
    </w:p>
    <w:p>
      <w:pPr>
        <w:ind w:left="80"/>
        <w:spacing w:after="0"/>
        <w:rPr>
          <w:sz w:val="20"/>
          <w:szCs w:val="20"/>
          <w:color w:val="auto"/>
        </w:rPr>
      </w:pPr>
      <w:r>
        <w:rPr>
          <w:rFonts w:ascii="Arial" w:cs="Arial" w:eastAsia="Arial" w:hAnsi="Arial"/>
          <w:sz w:val="17"/>
          <w:szCs w:val="17"/>
          <w:b w:val="1"/>
          <w:bCs w:val="1"/>
          <w:color w:val="auto"/>
        </w:rPr>
        <w:t>Kyndryl</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7"/>
          <w:szCs w:val="17"/>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318770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155575</wp:posOffset>
            </wp:positionV>
            <wp:extent cx="56235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235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6"/>
          <w:szCs w:val="36"/>
          <w:b w:val="1"/>
          <w:bCs w:val="1"/>
          <w:color w:val="FFFFFF"/>
        </w:rPr>
        <w:t xml:space="preserve"> 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68580</wp:posOffset>
            </wp:positionV>
            <wp:extent cx="2468880" cy="4483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68880" cy="44837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80" w:type="dxa"/>
        <w:tblCellMar>
          <w:top w:w="0" w:type="dxa"/>
          <w:left w:w="0" w:type="dxa"/>
          <w:bottom w:w="0" w:type="dxa"/>
          <w:right w:w="0" w:type="dxa"/>
        </w:tblCellMar>
      </w:tblPr>
      <w:tr>
        <w:trPr>
          <w:trHeight w:val="277"/>
        </w:trPr>
        <w:tc>
          <w:tcPr>
            <w:tcW w:w="2040" w:type="dxa"/>
            <w:vAlign w:val="bottom"/>
            <w:tcBorders>
              <w:bottom w:val="single" w:sz="8" w:color="F0533D"/>
            </w:tcBorders>
          </w:tcPr>
          <w:p>
            <w:pPr>
              <w:spacing w:after="0"/>
              <w:rPr>
                <w:sz w:val="20"/>
                <w:szCs w:val="20"/>
                <w:color w:val="auto"/>
              </w:rPr>
            </w:pPr>
            <w:r>
              <w:rPr>
                <w:rFonts w:ascii="Arial" w:cs="Arial" w:eastAsia="Arial" w:hAnsi="Arial"/>
                <w:sz w:val="20"/>
                <w:szCs w:val="20"/>
                <w:b w:val="1"/>
                <w:bCs w:val="1"/>
                <w:color w:val="F0533D"/>
              </w:rPr>
              <w:t>Date and Time</w:t>
            </w:r>
          </w:p>
        </w:tc>
        <w:tc>
          <w:tcPr>
            <w:tcW w:w="340" w:type="dxa"/>
            <w:vAlign w:val="bottom"/>
          </w:tcPr>
          <w:p>
            <w:pPr>
              <w:spacing w:after="0"/>
              <w:rPr>
                <w:sz w:val="24"/>
                <w:szCs w:val="24"/>
                <w:color w:val="auto"/>
              </w:rPr>
            </w:pPr>
          </w:p>
        </w:tc>
        <w:tc>
          <w:tcPr>
            <w:tcW w:w="2040" w:type="dxa"/>
            <w:vAlign w:val="bottom"/>
            <w:tcBorders>
              <w:bottom w:val="single" w:sz="8" w:color="F0533D"/>
            </w:tcBorders>
          </w:tcPr>
          <w:p>
            <w:pPr>
              <w:spacing w:after="0"/>
              <w:rPr>
                <w:sz w:val="20"/>
                <w:szCs w:val="20"/>
                <w:color w:val="auto"/>
              </w:rPr>
            </w:pPr>
            <w:r>
              <w:rPr>
                <w:rFonts w:ascii="Arial" w:cs="Arial" w:eastAsia="Arial" w:hAnsi="Arial"/>
                <w:sz w:val="20"/>
                <w:szCs w:val="20"/>
                <w:b w:val="1"/>
                <w:bCs w:val="1"/>
                <w:color w:val="F0533D"/>
              </w:rPr>
              <w:t>Record Date</w:t>
            </w:r>
          </w:p>
        </w:tc>
      </w:tr>
      <w:tr>
        <w:trPr>
          <w:trHeight w:val="227"/>
        </w:trPr>
        <w:tc>
          <w:tcPr>
            <w:tcW w:w="2040" w:type="dxa"/>
            <w:vAlign w:val="bottom"/>
          </w:tcPr>
          <w:p>
            <w:pPr>
              <w:spacing w:after="0"/>
              <w:rPr>
                <w:sz w:val="20"/>
                <w:szCs w:val="20"/>
                <w:color w:val="auto"/>
              </w:rPr>
            </w:pPr>
            <w:r>
              <w:rPr>
                <w:rFonts w:ascii="Arial" w:cs="Arial" w:eastAsia="Arial" w:hAnsi="Arial"/>
                <w:sz w:val="17"/>
                <w:szCs w:val="17"/>
                <w:color w:val="auto"/>
              </w:rPr>
              <w:t>July 30, 2026</w:t>
            </w:r>
          </w:p>
        </w:tc>
        <w:tc>
          <w:tcPr>
            <w:tcW w:w="34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Close of business on</w:t>
            </w:r>
          </w:p>
        </w:tc>
      </w:tr>
      <w:tr>
        <w:trPr>
          <w:trHeight w:val="221"/>
        </w:trPr>
        <w:tc>
          <w:tcPr>
            <w:tcW w:w="2040" w:type="dxa"/>
            <w:vAlign w:val="bottom"/>
          </w:tcPr>
          <w:p>
            <w:pPr>
              <w:spacing w:after="0"/>
              <w:rPr>
                <w:sz w:val="20"/>
                <w:szCs w:val="20"/>
                <w:color w:val="auto"/>
              </w:rPr>
            </w:pPr>
            <w:r>
              <w:rPr>
                <w:rFonts w:ascii="Arial" w:cs="Arial" w:eastAsia="Arial" w:hAnsi="Arial"/>
                <w:sz w:val="17"/>
                <w:szCs w:val="17"/>
                <w:color w:val="auto"/>
              </w:rPr>
              <w:t>1:00 p.m.</w:t>
            </w:r>
          </w:p>
        </w:tc>
        <w:tc>
          <w:tcPr>
            <w:tcW w:w="340" w:type="dxa"/>
            <w:vAlign w:val="bottom"/>
          </w:tcPr>
          <w:p>
            <w:pPr>
              <w:spacing w:after="0"/>
              <w:rPr>
                <w:sz w:val="19"/>
                <w:szCs w:val="19"/>
                <w:color w:val="auto"/>
              </w:rPr>
            </w:pPr>
          </w:p>
        </w:tc>
        <w:tc>
          <w:tcPr>
            <w:tcW w:w="2040" w:type="dxa"/>
            <w:vAlign w:val="bottom"/>
          </w:tcPr>
          <w:p>
            <w:pPr>
              <w:spacing w:after="0"/>
              <w:rPr>
                <w:sz w:val="20"/>
                <w:szCs w:val="20"/>
                <w:color w:val="auto"/>
              </w:rPr>
            </w:pPr>
            <w:r>
              <w:rPr>
                <w:rFonts w:ascii="Arial" w:cs="Arial" w:eastAsia="Arial" w:hAnsi="Arial"/>
                <w:sz w:val="17"/>
                <w:szCs w:val="17"/>
                <w:color w:val="auto"/>
              </w:rPr>
              <w:t>June 3, 2026</w:t>
            </w:r>
          </w:p>
        </w:tc>
      </w:tr>
      <w:tr>
        <w:trPr>
          <w:trHeight w:val="225"/>
        </w:trPr>
        <w:tc>
          <w:tcPr>
            <w:tcW w:w="2040" w:type="dxa"/>
            <w:vAlign w:val="bottom"/>
          </w:tcPr>
          <w:p>
            <w:pPr>
              <w:spacing w:after="0"/>
              <w:rPr>
                <w:sz w:val="20"/>
                <w:szCs w:val="20"/>
                <w:color w:val="auto"/>
              </w:rPr>
            </w:pPr>
            <w:r>
              <w:rPr>
                <w:rFonts w:ascii="Arial" w:cs="Arial" w:eastAsia="Arial" w:hAnsi="Arial"/>
                <w:sz w:val="17"/>
                <w:szCs w:val="17"/>
                <w:color w:val="auto"/>
              </w:rPr>
              <w:t>Eastern Daylight Time</w:t>
            </w:r>
          </w:p>
        </w:tc>
        <w:tc>
          <w:tcPr>
            <w:tcW w:w="340" w:type="dxa"/>
            <w:vAlign w:val="bottom"/>
          </w:tcPr>
          <w:p>
            <w:pPr>
              <w:spacing w:after="0"/>
              <w:rPr>
                <w:sz w:val="19"/>
                <w:szCs w:val="19"/>
                <w:color w:val="auto"/>
              </w:rPr>
            </w:pPr>
          </w:p>
        </w:tc>
        <w:tc>
          <w:tcPr>
            <w:tcW w:w="20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-702310</wp:posOffset>
            </wp:positionV>
            <wp:extent cx="24003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-694055</wp:posOffset>
            </wp:positionV>
            <wp:extent cx="240030" cy="2317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3177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196850</wp:posOffset>
            </wp:positionV>
            <wp:extent cx="23114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140" cy="179705"/>
                    </a:xfrm>
                    <a:prstGeom prst="rect">
                      <a:avLst/>
                    </a:prstGeom>
                    <a:noFill/>
                  </pic:spPr>
                </pic:pic>
              </a:graphicData>
            </a:graphic>
          </wp:anchor>
        </w:drawing>
      </w:r>
    </w:p>
    <w:p>
      <w:pPr>
        <w:spacing w:after="0" w:line="33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0533D"/>
        </w:rPr>
        <w:t>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31750</wp:posOffset>
            </wp:positionV>
            <wp:extent cx="28117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48" w:lineRule="exact"/>
        <w:rPr>
          <w:sz w:val="20"/>
          <w:szCs w:val="20"/>
          <w:color w:val="auto"/>
        </w:rPr>
      </w:pPr>
    </w:p>
    <w:p>
      <w:pPr>
        <w:ind w:left="80" w:right="220"/>
        <w:spacing w:after="0"/>
        <w:rPr>
          <w:sz w:val="20"/>
          <w:szCs w:val="20"/>
          <w:color w:val="auto"/>
        </w:rPr>
      </w:pPr>
      <w:r>
        <w:rPr>
          <w:rFonts w:ascii="Arial" w:cs="Arial" w:eastAsia="Arial" w:hAnsi="Arial"/>
          <w:sz w:val="17"/>
          <w:szCs w:val="17"/>
          <w:color w:val="auto"/>
        </w:rPr>
        <w:t xml:space="preserve">You can attend the Annual Meeting, vote your shares and submit your questions by visiting </w:t>
      </w:r>
      <w:r>
        <w:rPr>
          <w:rFonts w:ascii="Arial" w:cs="Arial" w:eastAsia="Arial" w:hAnsi="Arial"/>
          <w:sz w:val="17"/>
          <w:szCs w:val="17"/>
          <w:b w:val="1"/>
          <w:bCs w:val="1"/>
          <w:color w:val="auto"/>
        </w:rPr>
        <w:t>virtualshareholdermeeting.com/KD2026</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w:t>
      </w:r>
    </w:p>
    <w:p>
      <w:pPr>
        <w:spacing w:after="0" w:line="186" w:lineRule="exact"/>
        <w:rPr>
          <w:sz w:val="20"/>
          <w:szCs w:val="20"/>
          <w:color w:val="auto"/>
        </w:rPr>
      </w:pPr>
    </w:p>
    <w:p>
      <w:pPr>
        <w:ind w:left="80" w:right="640"/>
        <w:spacing w:after="0" w:line="238" w:lineRule="auto"/>
        <w:rPr>
          <w:sz w:val="20"/>
          <w:szCs w:val="20"/>
          <w:color w:val="auto"/>
        </w:rPr>
      </w:pPr>
      <w:r>
        <w:rPr>
          <w:rFonts w:ascii="Arial" w:cs="Arial" w:eastAsia="Arial" w:hAnsi="Arial"/>
          <w:sz w:val="17"/>
          <w:szCs w:val="17"/>
          <w:color w:val="auto"/>
        </w:rPr>
        <w:t>To participate in the virtual-only Annual Meeting, you will need your individual 16-digit control number included on your Notice of Internet Availability of Proxy Materials or on your proxy card.</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0533D"/>
        </w:rPr>
        <w:t>Items of Business</w:t>
      </w:r>
    </w:p>
    <w:p>
      <w:pPr>
        <w:spacing w:after="0" w:line="82" w:lineRule="exact"/>
        <w:rPr>
          <w:sz w:val="20"/>
          <w:szCs w:val="20"/>
          <w:color w:val="auto"/>
        </w:rPr>
      </w:pPr>
    </w:p>
    <w:p>
      <w:pPr>
        <w:ind w:left="560" w:right="760" w:hanging="363"/>
        <w:spacing w:after="0" w:line="183" w:lineRule="auto"/>
        <w:tabs>
          <w:tab w:leader="none" w:pos="560" w:val="left"/>
        </w:tabs>
        <w:numPr>
          <w:ilvl w:val="0"/>
          <w:numId w:val="3"/>
        </w:numPr>
        <w:rPr>
          <w:rFonts w:ascii="Arial" w:cs="Arial" w:eastAsia="Arial" w:hAnsi="Arial"/>
          <w:sz w:val="33"/>
          <w:szCs w:val="33"/>
          <w:b w:val="1"/>
          <w:bCs w:val="1"/>
          <w:color w:val="F0533D"/>
          <w:vertAlign w:val="subscript"/>
        </w:rPr>
      </w:pPr>
      <w:r>
        <w:rPr>
          <w:rFonts w:ascii="Arial" w:cs="Arial" w:eastAsia="Arial" w:hAnsi="Arial"/>
          <w:sz w:val="14"/>
          <w:szCs w:val="14"/>
          <w:color w:val="auto"/>
        </w:rPr>
        <w:t>Election of the six director nominees named herein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-281305</wp:posOffset>
            </wp:positionV>
            <wp:extent cx="28117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4" w:lineRule="exact"/>
        <w:rPr>
          <w:sz w:val="20"/>
          <w:szCs w:val="20"/>
          <w:color w:val="auto"/>
        </w:rPr>
      </w:pPr>
    </w:p>
    <w:p>
      <w:pPr>
        <w:ind w:left="560" w:right="380" w:hanging="363"/>
        <w:spacing w:after="0" w:line="183" w:lineRule="auto"/>
        <w:tabs>
          <w:tab w:leader="none" w:pos="560" w:val="left"/>
        </w:tabs>
        <w:numPr>
          <w:ilvl w:val="0"/>
          <w:numId w:val="4"/>
        </w:numPr>
        <w:rPr>
          <w:rFonts w:ascii="Arial" w:cs="Arial" w:eastAsia="Arial" w:hAnsi="Arial"/>
          <w:sz w:val="33"/>
          <w:szCs w:val="33"/>
          <w:b w:val="1"/>
          <w:bCs w:val="1"/>
          <w:color w:val="F0533D"/>
          <w:vertAlign w:val="subscript"/>
        </w:rPr>
      </w:pPr>
      <w:r>
        <w:rPr>
          <w:rFonts w:ascii="Arial" w:cs="Arial" w:eastAsia="Arial" w:hAnsi="Arial"/>
          <w:sz w:val="14"/>
          <w:szCs w:val="14"/>
          <w:color w:val="auto"/>
        </w:rPr>
        <w:t>Approval, in an advisory, non-binding vote,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-281305</wp:posOffset>
            </wp:positionV>
            <wp:extent cx="28117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4" w:lineRule="exact"/>
        <w:rPr>
          <w:sz w:val="20"/>
          <w:szCs w:val="20"/>
          <w:color w:val="auto"/>
        </w:rPr>
      </w:pPr>
    </w:p>
    <w:p>
      <w:pPr>
        <w:ind w:left="560" w:right="460" w:hanging="363"/>
        <w:spacing w:after="0" w:line="183" w:lineRule="auto"/>
        <w:tabs>
          <w:tab w:leader="none" w:pos="560" w:val="left"/>
        </w:tabs>
        <w:numPr>
          <w:ilvl w:val="0"/>
          <w:numId w:val="5"/>
        </w:numPr>
        <w:rPr>
          <w:rFonts w:ascii="Arial" w:cs="Arial" w:eastAsia="Arial" w:hAnsi="Arial"/>
          <w:sz w:val="33"/>
          <w:szCs w:val="33"/>
          <w:b w:val="1"/>
          <w:bCs w:val="1"/>
          <w:color w:val="F0533D"/>
          <w:vertAlign w:val="subscript"/>
        </w:rPr>
      </w:pPr>
      <w:r>
        <w:rPr>
          <w:rFonts w:ascii="Arial" w:cs="Arial" w:eastAsia="Arial" w:hAnsi="Arial"/>
          <w:sz w:val="14"/>
          <w:szCs w:val="14"/>
          <w:color w:val="auto"/>
        </w:rPr>
        <w:t>Approval of the Amended and Restated Kyndryl 2021 Long-Term Performance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-281305</wp:posOffset>
            </wp:positionV>
            <wp:extent cx="28117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4" w:lineRule="exact"/>
        <w:rPr>
          <w:sz w:val="20"/>
          <w:szCs w:val="20"/>
          <w:color w:val="auto"/>
        </w:rPr>
      </w:pPr>
    </w:p>
    <w:p>
      <w:pPr>
        <w:ind w:left="560" w:right="380" w:hanging="363"/>
        <w:spacing w:after="0" w:line="181" w:lineRule="auto"/>
        <w:tabs>
          <w:tab w:leader="none" w:pos="560" w:val="left"/>
        </w:tabs>
        <w:numPr>
          <w:ilvl w:val="0"/>
          <w:numId w:val="6"/>
        </w:numPr>
        <w:rPr>
          <w:rFonts w:ascii="Arial" w:cs="Arial" w:eastAsia="Arial" w:hAnsi="Arial"/>
          <w:sz w:val="43"/>
          <w:szCs w:val="43"/>
          <w:b w:val="1"/>
          <w:bCs w:val="1"/>
          <w:color w:val="F0533D"/>
          <w:vertAlign w:val="subscript"/>
        </w:rPr>
      </w:pPr>
      <w:r>
        <w:rPr>
          <w:rFonts w:ascii="Arial" w:cs="Arial" w:eastAsia="Arial" w:hAnsi="Arial"/>
          <w:sz w:val="16"/>
          <w:szCs w:val="16"/>
          <w:color w:val="auto"/>
        </w:rPr>
        <w:t>Ratification of the appointment of PricewaterhouseCoopers LLP as our independent registered public accounting firm for the fiscal year ending March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-520700</wp:posOffset>
            </wp:positionV>
            <wp:extent cx="28117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27305</wp:posOffset>
            </wp:positionV>
            <wp:extent cx="2811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55" w:lineRule="exact"/>
        <w:rPr>
          <w:sz w:val="20"/>
          <w:szCs w:val="20"/>
          <w:color w:val="auto"/>
        </w:rPr>
      </w:pPr>
    </w:p>
    <w:p>
      <w:pPr>
        <w:ind w:left="560" w:right="860" w:hanging="330"/>
        <w:spacing w:after="0" w:line="233" w:lineRule="auto"/>
        <w:tabs>
          <w:tab w:leader="none" w:pos="560" w:val="left"/>
        </w:tabs>
        <w:numPr>
          <w:ilvl w:val="0"/>
          <w:numId w:val="7"/>
        </w:numPr>
        <w:rPr>
          <w:rFonts w:ascii="Arial" w:cs="Arial" w:eastAsia="Arial" w:hAnsi="Arial"/>
          <w:sz w:val="20"/>
          <w:szCs w:val="20"/>
          <w:b w:val="1"/>
          <w:bCs w:val="1"/>
          <w:color w:val="F0533D"/>
        </w:rPr>
      </w:pPr>
      <w:r>
        <w:rPr>
          <w:rFonts w:ascii="Arial" w:cs="Arial" w:eastAsia="Arial" w:hAnsi="Arial"/>
          <w:sz w:val="17"/>
          <w:szCs w:val="17"/>
          <w:color w:val="auto"/>
        </w:rPr>
        <w:t>Transaction of any other business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wp:posOffset>
            </wp:positionV>
            <wp:extent cx="5623560" cy="1174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23560" cy="1174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jc w:val="center"/>
        <w:ind w:right="1559"/>
        <w:spacing w:after="0"/>
        <w:rPr>
          <w:sz w:val="20"/>
          <w:szCs w:val="20"/>
          <w:color w:val="auto"/>
        </w:rPr>
      </w:pPr>
      <w:r>
        <w:rPr>
          <w:rFonts w:ascii="Arial" w:cs="Arial" w:eastAsia="Arial" w:hAnsi="Arial"/>
          <w:sz w:val="19"/>
          <w:szCs w:val="19"/>
          <w:b w:val="1"/>
          <w:bCs w:val="1"/>
          <w:color w:val="F0533D"/>
        </w:rPr>
        <w:t>Your Vote Is Important</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to Vote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F0533D"/>
        </w:rPr>
        <w:t>INTERNET</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Go to </w:t>
      </w:r>
      <w:r>
        <w:rPr>
          <w:rFonts w:ascii="Arial" w:cs="Arial" w:eastAsia="Arial" w:hAnsi="Arial"/>
          <w:sz w:val="17"/>
          <w:szCs w:val="17"/>
          <w:b w:val="1"/>
          <w:bCs w:val="1"/>
          <w:color w:val="auto"/>
        </w:rPr>
        <w:t>www.proxyvote.com</w:t>
      </w:r>
      <w:r>
        <w:rPr>
          <w:rFonts w:ascii="Arial" w:cs="Arial" w:eastAsia="Arial" w:hAnsi="Arial"/>
          <w:sz w:val="17"/>
          <w:szCs w:val="17"/>
          <w:color w:val="auto"/>
        </w:rPr>
        <w:t>, 24/7</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F0533D"/>
        </w:rPr>
        <w:t>PHONE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Call toll-free, 24/7</w:t>
      </w:r>
    </w:p>
    <w:p>
      <w:pPr>
        <w:spacing w:after="0" w:line="181" w:lineRule="auto"/>
        <w:tabs>
          <w:tab w:leader="none" w:pos="2920" w:val="left"/>
        </w:tabs>
        <w:rPr>
          <w:sz w:val="20"/>
          <w:szCs w:val="20"/>
          <w:color w:val="auto"/>
        </w:rPr>
      </w:pPr>
      <w:r>
        <w:rPr>
          <w:rFonts w:ascii="Arial" w:cs="Arial" w:eastAsia="Arial" w:hAnsi="Arial"/>
          <w:sz w:val="17"/>
          <w:szCs w:val="17"/>
          <w:color w:val="auto"/>
        </w:rPr>
        <w:t>1-800-690-6903</w:t>
      </w:r>
      <w:r>
        <w:rPr>
          <w:sz w:val="20"/>
          <w:szCs w:val="20"/>
          <w:color w:val="auto"/>
        </w:rPr>
        <w:tab/>
      </w:r>
      <w:r>
        <w:rPr>
          <w:rFonts w:ascii="Arial" w:cs="Arial" w:eastAsia="Arial" w:hAnsi="Arial"/>
          <w:sz w:val="34"/>
          <w:szCs w:val="34"/>
          <w:b w:val="1"/>
          <w:bCs w:val="1"/>
          <w:color w:val="F0533D"/>
          <w:vertAlign w:val="subscript"/>
        </w:rPr>
        <w:t> </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F0533D"/>
        </w:rPr>
        <w:t>MAIL</w:t>
      </w:r>
    </w:p>
    <w:p>
      <w:pPr>
        <w:spacing w:after="0" w:line="8" w:lineRule="exact"/>
        <w:rPr>
          <w:sz w:val="20"/>
          <w:szCs w:val="20"/>
          <w:color w:val="auto"/>
        </w:rPr>
      </w:pPr>
    </w:p>
    <w:p>
      <w:pPr>
        <w:jc w:val="both"/>
        <w:ind w:right="579"/>
        <w:spacing w:after="0"/>
        <w:rPr>
          <w:sz w:val="20"/>
          <w:szCs w:val="20"/>
          <w:color w:val="auto"/>
        </w:rPr>
      </w:pPr>
      <w:r>
        <w:rPr>
          <w:rFonts w:ascii="Arial" w:cs="Arial" w:eastAsia="Arial" w:hAnsi="Arial"/>
          <w:sz w:val="17"/>
          <w:szCs w:val="17"/>
          <w:color w:val="auto"/>
        </w:rPr>
        <w:t>Complete, date and sign your proxy card or voting instruction form and mail in the postage-paid envelope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F0533D"/>
        </w:rPr>
        <w:t>LIVE</w:t>
      </w:r>
    </w:p>
    <w:p>
      <w:pPr>
        <w:spacing w:after="0" w:line="8" w:lineRule="exact"/>
        <w:rPr>
          <w:sz w:val="20"/>
          <w:szCs w:val="20"/>
          <w:color w:val="auto"/>
        </w:rPr>
      </w:pPr>
    </w:p>
    <w:p>
      <w:pPr>
        <w:ind w:right="679"/>
        <w:spacing w:after="0" w:line="248" w:lineRule="auto"/>
        <w:rPr>
          <w:sz w:val="20"/>
          <w:szCs w:val="20"/>
          <w:color w:val="auto"/>
        </w:rPr>
      </w:pPr>
      <w:r>
        <w:rPr>
          <w:rFonts w:ascii="Arial" w:cs="Arial" w:eastAsia="Arial" w:hAnsi="Arial"/>
          <w:sz w:val="17"/>
          <w:szCs w:val="17"/>
          <w:color w:val="auto"/>
        </w:rPr>
        <w:t>Attend the Annual Meeting virtually and cast your ballot</w:t>
      </w:r>
    </w:p>
    <w:p>
      <w:pPr>
        <w:spacing w:after="0" w:line="245" w:lineRule="exact"/>
        <w:rPr>
          <w:sz w:val="20"/>
          <w:szCs w:val="20"/>
          <w:color w:val="auto"/>
        </w:rPr>
      </w:pPr>
    </w:p>
    <w:p>
      <w:pPr>
        <w:jc w:val="center"/>
        <w:ind w:right="2239"/>
        <w:spacing w:after="0"/>
        <w:rPr>
          <w:sz w:val="20"/>
          <w:szCs w:val="20"/>
          <w:color w:val="auto"/>
        </w:rPr>
      </w:pPr>
      <w:r>
        <w:rPr>
          <w:rFonts w:ascii="Arial" w:cs="Arial" w:eastAsia="Arial" w:hAnsi="Arial"/>
          <w:sz w:val="17"/>
          <w:szCs w:val="17"/>
          <w:b w:val="1"/>
          <w:bCs w:val="1"/>
          <w:color w:val="F0533D"/>
        </w:rPr>
        <w:t>MOBILE DEVICE</w:t>
      </w:r>
    </w:p>
    <w:p>
      <w:pPr>
        <w:spacing w:after="0" w:line="20" w:lineRule="exact"/>
        <w:rPr>
          <w:sz w:val="20"/>
          <w:szCs w:val="20"/>
          <w:color w:val="auto"/>
        </w:rPr>
      </w:pPr>
    </w:p>
    <w:p>
      <w:pPr>
        <w:jc w:val="center"/>
        <w:ind w:right="2259"/>
        <w:spacing w:after="0"/>
        <w:rPr>
          <w:sz w:val="20"/>
          <w:szCs w:val="20"/>
          <w:color w:val="auto"/>
        </w:rPr>
      </w:pPr>
      <w:r>
        <w:rPr>
          <w:rFonts w:ascii="Arial" w:cs="Arial" w:eastAsia="Arial" w:hAnsi="Arial"/>
          <w:sz w:val="17"/>
          <w:szCs w:val="17"/>
          <w:color w:val="auto"/>
        </w:rPr>
        <w:t>Scan the QR code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514985</wp:posOffset>
            </wp:positionV>
            <wp:extent cx="2468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13" w:lineRule="exact"/>
        <w:rPr>
          <w:sz w:val="20"/>
          <w:szCs w:val="20"/>
          <w:color w:val="auto"/>
        </w:rPr>
      </w:pPr>
    </w:p>
    <w:p>
      <w:pPr>
        <w:sectPr>
          <w:pgSz w:w="11900" w:h="16838" w:orient="portrait"/>
          <w:cols w:equalWidth="0" w:num="2">
            <w:col w:w="4640" w:space="720"/>
            <w:col w:w="3659"/>
          </w:cols>
          <w:pgMar w:left="144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0" w:right="799"/>
        <w:spacing w:after="0" w:line="298" w:lineRule="auto"/>
        <w:rPr>
          <w:sz w:val="20"/>
          <w:szCs w:val="20"/>
          <w:color w:val="auto"/>
        </w:rPr>
      </w:pPr>
      <w:r>
        <w:rPr>
          <w:rFonts w:ascii="Arial" w:cs="Arial" w:eastAsia="Arial" w:hAnsi="Arial"/>
          <w:sz w:val="19"/>
          <w:szCs w:val="19"/>
          <w:b w:val="1"/>
          <w:bCs w:val="1"/>
          <w:color w:val="F0533D"/>
        </w:rPr>
        <w:t>IMPORTANT NOTICE REGARDING THE AVAILABILITY OF PROXY MATERIALS FOR THE ANNUAL MEETING OF STOCKHOLDERS TO BE HELD ON JULY 30, 2026</w:t>
      </w:r>
    </w:p>
    <w:p>
      <w:pPr>
        <w:spacing w:after="0" w:line="1" w:lineRule="exact"/>
        <w:rPr>
          <w:sz w:val="20"/>
          <w:szCs w:val="20"/>
          <w:color w:val="auto"/>
        </w:rPr>
      </w:pPr>
    </w:p>
    <w:p>
      <w:pPr>
        <w:ind w:left="400" w:right="319"/>
        <w:spacing w:after="0" w:line="278" w:lineRule="auto"/>
        <w:rPr>
          <w:sz w:val="20"/>
          <w:szCs w:val="20"/>
          <w:color w:val="auto"/>
        </w:rPr>
      </w:pPr>
      <w:r>
        <w:rPr>
          <w:rFonts w:ascii="Arial" w:cs="Arial" w:eastAsia="Arial" w:hAnsi="Arial"/>
          <w:sz w:val="17"/>
          <w:szCs w:val="17"/>
          <w:color w:val="auto"/>
        </w:rPr>
        <w:t xml:space="preserve">The Kyndryl Proxy Statement and Annual Report to stockholders for the fiscal year ended March 31, 2026 are available at </w:t>
      </w:r>
      <w:r>
        <w:rPr>
          <w:rFonts w:ascii="Arial" w:cs="Arial" w:eastAsia="Arial" w:hAnsi="Arial"/>
          <w:sz w:val="17"/>
          <w:szCs w:val="17"/>
          <w:b w:val="1"/>
          <w:bCs w:val="1"/>
          <w:color w:val="auto"/>
        </w:rPr>
        <w:t>www.proxyvote.com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34290</wp:posOffset>
            </wp:positionV>
            <wp:extent cx="56235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-1112520</wp:posOffset>
            </wp:positionV>
            <wp:extent cx="1002665" cy="1003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02665" cy="1003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1397000" cy="41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970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Mark Ringes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Interim General Counsel and Secretary</w:t>
      </w:r>
    </w:p>
    <w:p>
      <w:pPr>
        <w:spacing w:after="0" w:line="232" w:lineRule="auto"/>
        <w:rPr>
          <w:sz w:val="20"/>
          <w:szCs w:val="20"/>
          <w:color w:val="auto"/>
        </w:rPr>
      </w:pPr>
      <w:r>
        <w:rPr>
          <w:rFonts w:ascii="Arial" w:cs="Arial" w:eastAsia="Arial" w:hAnsi="Arial"/>
          <w:sz w:val="17"/>
          <w:szCs w:val="17"/>
          <w:color w:val="auto"/>
        </w:rPr>
        <w:t> </w:t>
      </w:r>
    </w:p>
    <w:p>
      <w:pPr>
        <w:spacing w:after="0" w:line="232" w:lineRule="auto"/>
        <w:rPr>
          <w:sz w:val="20"/>
          <w:szCs w:val="20"/>
          <w:color w:val="auto"/>
        </w:rPr>
      </w:pPr>
      <w:r>
        <w:rPr>
          <w:rFonts w:ascii="Arial" w:cs="Arial" w:eastAsia="Arial" w:hAnsi="Arial"/>
          <w:sz w:val="17"/>
          <w:szCs w:val="17"/>
          <w:color w:val="auto"/>
        </w:rPr>
        <w:t>New York, NY</w:t>
      </w:r>
    </w:p>
    <w:p>
      <w:pPr>
        <w:spacing w:after="0"/>
        <w:rPr>
          <w:sz w:val="20"/>
          <w:szCs w:val="20"/>
          <w:color w:val="auto"/>
        </w:rPr>
      </w:pPr>
      <w:r>
        <w:rPr>
          <w:rFonts w:ascii="Arial" w:cs="Arial" w:eastAsia="Arial" w:hAnsi="Arial"/>
          <w:sz w:val="17"/>
          <w:szCs w:val="17"/>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-2199005</wp:posOffset>
            </wp:positionH>
            <wp:positionV relativeFrom="paragraph">
              <wp:posOffset>248285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740" w:space="720"/>
            <w:col w:w="6559"/>
          </w:cols>
          <w:pgMar w:left="1440" w:top="114" w:right="1440" w:bottom="1440" w:gutter="0" w:footer="0" w:header="0"/>
          <w:type w:val="continuous"/>
        </w:sectPr>
      </w:pPr>
    </w:p>
    <w:bookmarkStart w:id="4" w:name="page5"/>
    <w:bookmarkEnd w:id="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Table of Contents</w:t>
      </w:r>
    </w:p>
    <w:p>
      <w:pPr>
        <w:spacing w:after="0" w:line="200" w:lineRule="exact"/>
        <w:rPr>
          <w:sz w:val="20"/>
          <w:szCs w:val="20"/>
          <w:color w:val="auto"/>
        </w:rPr>
      </w:pPr>
    </w:p>
    <w:p>
      <w:pPr>
        <w:spacing w:after="0" w:line="218" w:lineRule="exact"/>
        <w:rPr>
          <w:sz w:val="20"/>
          <w:szCs w:val="20"/>
          <w:color w:val="auto"/>
        </w:rPr>
      </w:pPr>
    </w:p>
    <w:p>
      <w:pPr>
        <w:ind w:left="720" w:hanging="482"/>
        <w:spacing w:after="0"/>
        <w:tabs>
          <w:tab w:leader="none" w:pos="720" w:val="left"/>
        </w:tabs>
        <w:numPr>
          <w:ilvl w:val="0"/>
          <w:numId w:val="8"/>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PROXY SUMMARY</w:t>
      </w:r>
    </w:p>
    <w:p>
      <w:pPr>
        <w:spacing w:after="0" w:line="113" w:lineRule="exact"/>
        <w:rPr>
          <w:rFonts w:ascii="Arial" w:cs="Arial" w:eastAsia="Arial" w:hAnsi="Arial"/>
          <w:sz w:val="16"/>
          <w:szCs w:val="16"/>
          <w:b w:val="1"/>
          <w:bCs w:val="1"/>
          <w:u w:val="single" w:color="auto"/>
          <w:color w:val="0000EE"/>
        </w:rPr>
      </w:pPr>
    </w:p>
    <w:p>
      <w:pPr>
        <w:ind w:left="720" w:hanging="482"/>
        <w:spacing w:after="0"/>
        <w:tabs>
          <w:tab w:leader="none" w:pos="720" w:val="left"/>
        </w:tabs>
        <w:numPr>
          <w:ilvl w:val="0"/>
          <w:numId w:val="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720" w:hanging="482"/>
        <w:spacing w:after="0"/>
        <w:tabs>
          <w:tab w:leader="none" w:pos="720" w:val="left"/>
        </w:tabs>
        <w:numPr>
          <w:ilvl w:val="0"/>
          <w:numId w:val="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720" w:hanging="482"/>
        <w:spacing w:after="0"/>
        <w:tabs>
          <w:tab w:leader="none" w:pos="720" w:val="left"/>
        </w:tabs>
        <w:numPr>
          <w:ilvl w:val="0"/>
          <w:numId w:val="1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Governance Highlights</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720" w:hanging="482"/>
        <w:spacing w:after="0"/>
        <w:tabs>
          <w:tab w:leader="none" w:pos="720" w:val="left"/>
        </w:tabs>
        <w:numPr>
          <w:ilvl w:val="0"/>
          <w:numId w:val="11"/>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42" w:lineRule="exact"/>
        <w:rPr>
          <w:sz w:val="20"/>
          <w:szCs w:val="20"/>
          <w:color w:val="auto"/>
        </w:rPr>
      </w:pPr>
    </w:p>
    <w:p>
      <w:pPr>
        <w:ind w:left="720" w:right="930" w:hanging="482"/>
        <w:spacing w:after="0" w:line="296" w:lineRule="auto"/>
        <w:tabs>
          <w:tab w:leader="none" w:pos="720" w:val="left"/>
        </w:tabs>
        <w:numPr>
          <w:ilvl w:val="0"/>
          <w:numId w:val="12"/>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CORPORATE GOVERNANCE AND BOARD MATTERS</w:t>
      </w:r>
    </w:p>
    <w:p>
      <w:pPr>
        <w:spacing w:after="0" w:line="32" w:lineRule="exact"/>
        <w:rPr>
          <w:rFonts w:ascii="Arial" w:cs="Arial" w:eastAsia="Arial" w:hAnsi="Arial"/>
          <w:sz w:val="16"/>
          <w:szCs w:val="16"/>
          <w:b w:val="1"/>
          <w:bCs w:val="1"/>
          <w:u w:val="single" w:color="auto"/>
          <w:color w:val="0000EE"/>
        </w:rPr>
      </w:pPr>
    </w:p>
    <w:p>
      <w:pPr>
        <w:ind w:left="720" w:hanging="482"/>
        <w:spacing w:after="0"/>
        <w:tabs>
          <w:tab w:leader="none" w:pos="720" w:val="left"/>
        </w:tabs>
        <w:numPr>
          <w:ilvl w:val="0"/>
          <w:numId w:val="12"/>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720" w:hanging="482"/>
        <w:spacing w:after="0"/>
        <w:tabs>
          <w:tab w:leader="none" w:pos="720" w:val="left"/>
        </w:tabs>
        <w:numPr>
          <w:ilvl w:val="0"/>
          <w:numId w:val="13"/>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Nominees Standing for Election</w:t>
      </w:r>
    </w:p>
    <w:p>
      <w:pPr>
        <w:spacing w:after="0" w:line="113" w:lineRule="exact"/>
        <w:rPr>
          <w:rFonts w:ascii="Arial" w:cs="Arial" w:eastAsia="Arial" w:hAnsi="Arial"/>
          <w:sz w:val="16"/>
          <w:szCs w:val="16"/>
          <w:u w:val="single" w:color="auto"/>
          <w:color w:val="0000EE"/>
        </w:rPr>
      </w:pPr>
    </w:p>
    <w:p>
      <w:pPr>
        <w:ind w:left="240"/>
        <w:spacing w:after="0"/>
        <w:rPr>
          <w:rFonts w:ascii="Arial" w:cs="Arial" w:eastAsia="Arial" w:hAnsi="Arial"/>
          <w:sz w:val="16"/>
          <w:szCs w:val="16"/>
          <w:u w:val="single" w:color="auto"/>
          <w:color w:val="0000EE"/>
        </w:rPr>
      </w:pPr>
      <w:r>
        <w:rPr>
          <w:rFonts w:ascii="Arial" w:cs="Arial" w:eastAsia="Arial" w:hAnsi="Arial"/>
          <w:sz w:val="16"/>
          <w:szCs w:val="16"/>
          <w:u w:val="single" w:color="auto"/>
          <w:color w:val="0000EE"/>
        </w:rPr>
        <w:t>13    Directors Continuing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720" w:right="270" w:hanging="482"/>
        <w:spacing w:after="0" w:line="286" w:lineRule="auto"/>
        <w:tabs>
          <w:tab w:leader="none" w:pos="720" w:val="left"/>
        </w:tabs>
        <w:numPr>
          <w:ilvl w:val="0"/>
          <w:numId w:val="1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Kyndryl Board of Directors — Experience and Skills</w:t>
      </w:r>
    </w:p>
    <w:p>
      <w:pPr>
        <w:spacing w:after="0" w:line="47"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Nomination Process</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Attendance</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-518795</wp:posOffset>
            </wp:positionV>
            <wp:extent cx="26060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-330200</wp:posOffset>
            </wp:positionV>
            <wp:extent cx="2606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720" w:hanging="482"/>
        <w:spacing w:after="0"/>
        <w:tabs>
          <w:tab w:leader="none" w:pos="720" w:val="left"/>
        </w:tabs>
        <w:numPr>
          <w:ilvl w:val="0"/>
          <w:numId w:val="1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Leadership Structure</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Oversight of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3" w:lineRule="exact"/>
        <w:rPr>
          <w:sz w:val="20"/>
          <w:szCs w:val="20"/>
          <w:color w:val="auto"/>
        </w:rPr>
      </w:pPr>
    </w:p>
    <w:p>
      <w:pPr>
        <w:ind w:left="720" w:right="690" w:hanging="482"/>
        <w:spacing w:after="0" w:line="286" w:lineRule="auto"/>
        <w:tabs>
          <w:tab w:leader="none" w:pos="720" w:val="left"/>
        </w:tabs>
        <w:numPr>
          <w:ilvl w:val="0"/>
          <w:numId w:val="16"/>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and Committee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5080</wp:posOffset>
            </wp:positionV>
            <wp:extent cx="2606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8" w:lineRule="exact"/>
        <w:rPr>
          <w:sz w:val="20"/>
          <w:szCs w:val="20"/>
          <w:color w:val="auto"/>
        </w:rPr>
      </w:pPr>
    </w:p>
    <w:p>
      <w:pPr>
        <w:ind w:left="720" w:hanging="482"/>
        <w:spacing w:after="0"/>
        <w:tabs>
          <w:tab w:leader="none" w:pos="720" w:val="left"/>
        </w:tabs>
        <w:numPr>
          <w:ilvl w:val="0"/>
          <w:numId w:val="1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Management Succession Planning</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Communications with the Board</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and Committee Self-Evaluation Process</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1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-518795</wp:posOffset>
            </wp:positionV>
            <wp:extent cx="2606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-330200</wp:posOffset>
            </wp:positionV>
            <wp:extent cx="2606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3" w:lineRule="exact"/>
        <w:rPr>
          <w:sz w:val="20"/>
          <w:szCs w:val="20"/>
          <w:color w:val="auto"/>
        </w:rPr>
      </w:pPr>
    </w:p>
    <w:p>
      <w:pPr>
        <w:ind w:left="720" w:right="250" w:hanging="482"/>
        <w:spacing w:after="0" w:line="286" w:lineRule="auto"/>
        <w:tabs>
          <w:tab w:leader="none" w:pos="720" w:val="left"/>
        </w:tabs>
        <w:numPr>
          <w:ilvl w:val="0"/>
          <w:numId w:val="1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Compensation and Human Capital Committee Oversight of Kyndryl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5080</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8" w:lineRule="exact"/>
        <w:rPr>
          <w:sz w:val="20"/>
          <w:szCs w:val="20"/>
          <w:color w:val="auto"/>
        </w:rPr>
      </w:pPr>
    </w:p>
    <w:p>
      <w:pPr>
        <w:ind w:left="720" w:hanging="482"/>
        <w:spacing w:after="0"/>
        <w:tabs>
          <w:tab w:leader="none" w:pos="720" w:val="left"/>
        </w:tabs>
        <w:numPr>
          <w:ilvl w:val="0"/>
          <w:numId w:val="2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Kyndryl Code of Conduct</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20"/>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3" w:lineRule="exact"/>
        <w:rPr>
          <w:sz w:val="20"/>
          <w:szCs w:val="20"/>
          <w:color w:val="auto"/>
        </w:rPr>
      </w:pPr>
    </w:p>
    <w:p>
      <w:pPr>
        <w:ind w:left="720" w:hanging="482"/>
        <w:spacing w:after="0"/>
        <w:tabs>
          <w:tab w:leader="none" w:pos="720" w:val="left"/>
        </w:tabs>
        <w:numPr>
          <w:ilvl w:val="0"/>
          <w:numId w:val="21"/>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Board Corporate Governance Guidelines</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22"/>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Education</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22"/>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Investor Engagement</w:t>
      </w:r>
    </w:p>
    <w:p>
      <w:pPr>
        <w:spacing w:after="0" w:line="113"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22"/>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Corporate Citizenship at Kyndryl</w:t>
      </w:r>
    </w:p>
    <w:p>
      <w:pPr>
        <w:spacing w:after="0" w:line="113" w:lineRule="exact"/>
        <w:rPr>
          <w:rFonts w:ascii="Arial" w:cs="Arial" w:eastAsia="Arial" w:hAnsi="Arial"/>
          <w:sz w:val="16"/>
          <w:szCs w:val="16"/>
          <w:u w:val="single" w:color="auto"/>
          <w:color w:val="0000EE"/>
        </w:rPr>
      </w:pPr>
    </w:p>
    <w:p>
      <w:pPr>
        <w:ind w:left="720" w:right="530" w:hanging="482"/>
        <w:spacing w:after="0" w:line="286" w:lineRule="auto"/>
        <w:tabs>
          <w:tab w:leader="none" w:pos="720" w:val="left"/>
        </w:tabs>
        <w:numPr>
          <w:ilvl w:val="0"/>
          <w:numId w:val="22"/>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Certain Relationships and Related Person Transactions</w:t>
      </w:r>
    </w:p>
    <w:p>
      <w:pPr>
        <w:spacing w:after="0" w:line="47" w:lineRule="exact"/>
        <w:rPr>
          <w:rFonts w:ascii="Arial" w:cs="Arial" w:eastAsia="Arial" w:hAnsi="Arial"/>
          <w:sz w:val="16"/>
          <w:szCs w:val="16"/>
          <w:u w:val="single" w:color="auto"/>
          <w:color w:val="0000EE"/>
        </w:rPr>
      </w:pPr>
    </w:p>
    <w:p>
      <w:pPr>
        <w:ind w:left="720" w:hanging="482"/>
        <w:spacing w:after="0"/>
        <w:tabs>
          <w:tab w:leader="none" w:pos="720" w:val="left"/>
        </w:tabs>
        <w:numPr>
          <w:ilvl w:val="0"/>
          <w:numId w:val="22"/>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-1016000</wp:posOffset>
            </wp:positionV>
            <wp:extent cx="2606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-827405</wp:posOffset>
            </wp:positionV>
            <wp:extent cx="2606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-638810</wp:posOffset>
            </wp:positionV>
            <wp:extent cx="260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-450215</wp:posOffset>
            </wp:positionV>
            <wp:extent cx="2606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-141605</wp:posOffset>
            </wp:positionV>
            <wp:extent cx="2606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38100</wp:posOffset>
            </wp:positionV>
            <wp:extent cx="26060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90" w:hanging="490"/>
        <w:spacing w:after="0"/>
        <w:tabs>
          <w:tab w:leader="none" w:pos="490" w:val="left"/>
        </w:tabs>
        <w:numPr>
          <w:ilvl w:val="0"/>
          <w:numId w:val="23"/>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2026 EXECUTIVE COMPENSATION</w:t>
      </w:r>
    </w:p>
    <w:p>
      <w:pPr>
        <w:spacing w:after="0" w:line="113" w:lineRule="exact"/>
        <w:rPr>
          <w:rFonts w:ascii="Arial" w:cs="Arial" w:eastAsia="Arial" w:hAnsi="Arial"/>
          <w:sz w:val="16"/>
          <w:szCs w:val="16"/>
          <w:b w:val="1"/>
          <w:bCs w:val="1"/>
          <w:u w:val="single" w:color="auto"/>
          <w:color w:val="0000EE"/>
        </w:rPr>
      </w:pPr>
    </w:p>
    <w:p>
      <w:pPr>
        <w:ind w:left="490" w:right="479" w:hanging="490"/>
        <w:spacing w:after="0" w:line="296" w:lineRule="auto"/>
        <w:tabs>
          <w:tab w:leader="none" w:pos="490" w:val="left"/>
        </w:tabs>
        <w:numPr>
          <w:ilvl w:val="0"/>
          <w:numId w:val="23"/>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Proposal 2 — Advisory Vote to Approve Executive Compensation</w:t>
      </w:r>
    </w:p>
    <w:p>
      <w:pPr>
        <w:spacing w:after="0" w:line="32" w:lineRule="exact"/>
        <w:rPr>
          <w:rFonts w:ascii="Arial" w:cs="Arial" w:eastAsia="Arial" w:hAnsi="Arial"/>
          <w:sz w:val="16"/>
          <w:szCs w:val="16"/>
          <w:b w:val="1"/>
          <w:bCs w:val="1"/>
          <w:u w:val="single" w:color="auto"/>
          <w:color w:val="0000EE"/>
        </w:rPr>
      </w:pPr>
    </w:p>
    <w:p>
      <w:pPr>
        <w:ind w:left="490" w:hanging="490"/>
        <w:spacing w:after="0"/>
        <w:tabs>
          <w:tab w:leader="none" w:pos="490" w:val="left"/>
        </w:tabs>
        <w:numPr>
          <w:ilvl w:val="0"/>
          <w:numId w:val="23"/>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-450215</wp:posOffset>
            </wp:positionV>
            <wp:extent cx="2606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-141605</wp:posOffset>
            </wp:positionV>
            <wp:extent cx="26060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46355</wp:posOffset>
            </wp:positionV>
            <wp:extent cx="26060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490" w:right="239" w:hanging="490"/>
        <w:spacing w:after="0" w:line="286" w:lineRule="auto"/>
        <w:tabs>
          <w:tab w:leader="none" w:pos="490" w:val="left"/>
        </w:tabs>
        <w:numPr>
          <w:ilvl w:val="0"/>
          <w:numId w:val="2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Compensation and Human Capital Committee Report</w:t>
      </w:r>
    </w:p>
    <w:p>
      <w:pPr>
        <w:spacing w:after="0" w:line="47" w:lineRule="exact"/>
        <w:rPr>
          <w:rFonts w:ascii="Arial" w:cs="Arial" w:eastAsia="Arial" w:hAnsi="Arial"/>
          <w:sz w:val="16"/>
          <w:szCs w:val="16"/>
          <w:u w:val="single" w:color="auto"/>
          <w:color w:val="0000EE"/>
        </w:rPr>
      </w:pPr>
    </w:p>
    <w:p>
      <w:pPr>
        <w:ind w:left="490" w:hanging="490"/>
        <w:spacing w:after="0"/>
        <w:tabs>
          <w:tab w:leader="none" w:pos="490" w:val="left"/>
        </w:tabs>
        <w:numPr>
          <w:ilvl w:val="0"/>
          <w:numId w:val="24"/>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-141605</wp:posOffset>
            </wp:positionV>
            <wp:extent cx="26060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46355</wp:posOffset>
            </wp:positionV>
            <wp:extent cx="26060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490" w:hanging="490"/>
        <w:spacing w:after="0"/>
        <w:tabs>
          <w:tab w:leader="none" w:pos="490" w:val="left"/>
        </w:tabs>
        <w:numPr>
          <w:ilvl w:val="0"/>
          <w:numId w:val="2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CEO Pay Ratio</w:t>
      </w:r>
    </w:p>
    <w:p>
      <w:pPr>
        <w:spacing w:after="0" w:line="113" w:lineRule="exact"/>
        <w:rPr>
          <w:rFonts w:ascii="Arial" w:cs="Arial" w:eastAsia="Arial" w:hAnsi="Arial"/>
          <w:sz w:val="16"/>
          <w:szCs w:val="16"/>
          <w:u w:val="single" w:color="auto"/>
          <w:color w:val="0000EE"/>
        </w:rPr>
      </w:pPr>
    </w:p>
    <w:p>
      <w:pPr>
        <w:ind w:left="490" w:hanging="490"/>
        <w:spacing w:after="0"/>
        <w:tabs>
          <w:tab w:leader="none" w:pos="490" w:val="left"/>
        </w:tabs>
        <w:numPr>
          <w:ilvl w:val="0"/>
          <w:numId w:val="2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-141605</wp:posOffset>
            </wp:positionV>
            <wp:extent cx="2606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46355</wp:posOffset>
            </wp:positionV>
            <wp:extent cx="26060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3" w:lineRule="exact"/>
        <w:rPr>
          <w:sz w:val="20"/>
          <w:szCs w:val="20"/>
          <w:color w:val="auto"/>
        </w:rPr>
      </w:pPr>
    </w:p>
    <w:p>
      <w:pPr>
        <w:ind w:left="490" w:hanging="490"/>
        <w:spacing w:after="0"/>
        <w:tabs>
          <w:tab w:leader="none" w:pos="490" w:val="left"/>
        </w:tabs>
        <w:numPr>
          <w:ilvl w:val="0"/>
          <w:numId w:val="26"/>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Equity Compensation Plan Information</w:t>
      </w:r>
    </w:p>
    <w:p>
      <w:pPr>
        <w:spacing w:after="0" w:line="113" w:lineRule="exact"/>
        <w:rPr>
          <w:rFonts w:ascii="Arial" w:cs="Arial" w:eastAsia="Arial" w:hAnsi="Arial"/>
          <w:sz w:val="16"/>
          <w:szCs w:val="16"/>
          <w:u w:val="single" w:color="auto"/>
          <w:color w:val="0000EE"/>
        </w:rPr>
      </w:pPr>
    </w:p>
    <w:p>
      <w:pPr>
        <w:ind w:left="490" w:right="499" w:hanging="490"/>
        <w:spacing w:after="0" w:line="271" w:lineRule="auto"/>
        <w:tabs>
          <w:tab w:leader="none" w:pos="490" w:val="left"/>
        </w:tabs>
        <w:numPr>
          <w:ilvl w:val="0"/>
          <w:numId w:val="26"/>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Proposal 3 — Approval of the Amended and Restated Kyndryl 2021 Long-Term Performance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-420370</wp:posOffset>
            </wp:positionV>
            <wp:extent cx="2606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7620</wp:posOffset>
            </wp:positionV>
            <wp:extent cx="2606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80" w:lineRule="exact"/>
        <w:rPr>
          <w:sz w:val="20"/>
          <w:szCs w:val="20"/>
          <w:color w:val="auto"/>
        </w:rPr>
      </w:pPr>
    </w:p>
    <w:p>
      <w:pPr>
        <w:ind w:left="10"/>
        <w:spacing w:after="0"/>
        <w:tabs>
          <w:tab w:leader="none" w:pos="470" w:val="left"/>
        </w:tabs>
        <w:rPr>
          <w:sz w:val="20"/>
          <w:szCs w:val="20"/>
          <w:color w:val="auto"/>
        </w:rPr>
      </w:pPr>
      <w:r>
        <w:rPr>
          <w:rFonts w:ascii="Arial" w:cs="Arial" w:eastAsia="Arial" w:hAnsi="Arial"/>
          <w:sz w:val="16"/>
          <w:szCs w:val="16"/>
          <w:b w:val="1"/>
          <w:bCs w:val="1"/>
          <w:u w:val="single" w:color="auto"/>
          <w:color w:val="0000EE"/>
        </w:rPr>
        <w:t>90</w:t>
      </w:r>
      <w:r>
        <w:rPr>
          <w:sz w:val="20"/>
          <w:szCs w:val="20"/>
          <w:color w:val="auto"/>
        </w:rPr>
        <w:tab/>
      </w:r>
      <w:r>
        <w:rPr>
          <w:rFonts w:ascii="Arial" w:cs="Arial" w:eastAsia="Arial" w:hAnsi="Arial"/>
          <w:sz w:val="16"/>
          <w:szCs w:val="16"/>
          <w:b w:val="1"/>
          <w:bCs w:val="1"/>
          <w:u w:val="single" w:color="auto"/>
          <w:color w:val="0000EE"/>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46355</wp:posOffset>
            </wp:positionV>
            <wp:extent cx="26060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3" w:lineRule="exact"/>
        <w:rPr>
          <w:sz w:val="20"/>
          <w:szCs w:val="20"/>
          <w:color w:val="auto"/>
        </w:rPr>
      </w:pPr>
    </w:p>
    <w:p>
      <w:pPr>
        <w:ind w:left="490" w:right="839" w:hanging="490"/>
        <w:spacing w:after="0" w:line="271" w:lineRule="auto"/>
        <w:tabs>
          <w:tab w:leader="none" w:pos="490" w:val="left"/>
        </w:tabs>
        <w:numPr>
          <w:ilvl w:val="0"/>
          <w:numId w:val="27"/>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Proposal 4 — Ratification of the Appointment of the Independent Registered Public Accounting Firm</w:t>
      </w:r>
    </w:p>
    <w:p>
      <w:pPr>
        <w:spacing w:after="0" w:line="51" w:lineRule="exact"/>
        <w:rPr>
          <w:rFonts w:ascii="Arial" w:cs="Arial" w:eastAsia="Arial" w:hAnsi="Arial"/>
          <w:sz w:val="16"/>
          <w:szCs w:val="16"/>
          <w:b w:val="1"/>
          <w:bCs w:val="1"/>
          <w:u w:val="single" w:color="auto"/>
          <w:color w:val="0000EE"/>
        </w:rPr>
      </w:pPr>
    </w:p>
    <w:p>
      <w:pPr>
        <w:ind w:left="490" w:hanging="490"/>
        <w:spacing w:after="0"/>
        <w:tabs>
          <w:tab w:leader="none" w:pos="490" w:val="left"/>
        </w:tabs>
        <w:numPr>
          <w:ilvl w:val="0"/>
          <w:numId w:val="2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Audit and Non-Audit Fees</w:t>
      </w:r>
    </w:p>
    <w:p>
      <w:pPr>
        <w:spacing w:after="0" w:line="113" w:lineRule="exact"/>
        <w:rPr>
          <w:rFonts w:ascii="Arial" w:cs="Arial" w:eastAsia="Arial" w:hAnsi="Arial"/>
          <w:sz w:val="16"/>
          <w:szCs w:val="16"/>
          <w:u w:val="single" w:color="auto"/>
          <w:color w:val="0000EE"/>
        </w:rPr>
      </w:pPr>
    </w:p>
    <w:p>
      <w:pPr>
        <w:ind w:left="490" w:right="479" w:hanging="490"/>
        <w:spacing w:after="0" w:line="266" w:lineRule="auto"/>
        <w:tabs>
          <w:tab w:leader="none" w:pos="490" w:val="left"/>
        </w:tabs>
        <w:numPr>
          <w:ilvl w:val="0"/>
          <w:numId w:val="2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Pre-Approval of Services Provided by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-601980</wp:posOffset>
            </wp:positionV>
            <wp:extent cx="2606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-413385</wp:posOffset>
            </wp:positionV>
            <wp:extent cx="2606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14605</wp:posOffset>
            </wp:positionV>
            <wp:extent cx="26060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43" w:lineRule="exact"/>
        <w:rPr>
          <w:sz w:val="20"/>
          <w:szCs w:val="20"/>
          <w:color w:val="auto"/>
        </w:rPr>
      </w:pPr>
    </w:p>
    <w:p>
      <w:pPr>
        <w:ind w:left="490" w:hanging="490"/>
        <w:spacing w:after="0"/>
        <w:tabs>
          <w:tab w:leader="none" w:pos="490" w:val="left"/>
        </w:tabs>
        <w:numPr>
          <w:ilvl w:val="0"/>
          <w:numId w:val="28"/>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Audit Committee Report</w:t>
      </w:r>
    </w:p>
    <w:p>
      <w:pPr>
        <w:spacing w:after="0" w:line="261" w:lineRule="exact"/>
        <w:rPr>
          <w:rFonts w:ascii="Arial" w:cs="Arial" w:eastAsia="Arial" w:hAnsi="Arial"/>
          <w:sz w:val="16"/>
          <w:szCs w:val="16"/>
          <w:u w:val="single" w:color="auto"/>
          <w:color w:val="0000EE"/>
        </w:rPr>
      </w:pPr>
    </w:p>
    <w:p>
      <w:pPr>
        <w:ind w:left="490" w:hanging="490"/>
        <w:spacing w:after="0"/>
        <w:tabs>
          <w:tab w:leader="none" w:pos="490" w:val="left"/>
        </w:tabs>
        <w:numPr>
          <w:ilvl w:val="0"/>
          <w:numId w:val="28"/>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STOCK OWNERSHIP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-235585</wp:posOffset>
            </wp:positionV>
            <wp:extent cx="26060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46355</wp:posOffset>
            </wp:positionV>
            <wp:extent cx="2606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490" w:right="639" w:hanging="490"/>
        <w:spacing w:after="0" w:line="286" w:lineRule="auto"/>
        <w:tabs>
          <w:tab w:leader="none" w:pos="490" w:val="left"/>
        </w:tabs>
        <w:numPr>
          <w:ilvl w:val="0"/>
          <w:numId w:val="2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Security Ownership of Certain Beneficial Owners and Management</w:t>
      </w:r>
    </w:p>
    <w:p>
      <w:pPr>
        <w:spacing w:after="0" w:line="47" w:lineRule="exact"/>
        <w:rPr>
          <w:rFonts w:ascii="Arial" w:cs="Arial" w:eastAsia="Arial" w:hAnsi="Arial"/>
          <w:sz w:val="16"/>
          <w:szCs w:val="16"/>
          <w:u w:val="single" w:color="auto"/>
          <w:color w:val="0000EE"/>
        </w:rPr>
      </w:pPr>
    </w:p>
    <w:p>
      <w:pPr>
        <w:ind w:left="490" w:hanging="490"/>
        <w:spacing w:after="0"/>
        <w:tabs>
          <w:tab w:leader="none" w:pos="490" w:val="left"/>
        </w:tabs>
        <w:numPr>
          <w:ilvl w:val="0"/>
          <w:numId w:val="29"/>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Delinquent Section 16(a) Reports</w:t>
      </w:r>
    </w:p>
    <w:p>
      <w:pPr>
        <w:spacing w:after="0" w:line="261" w:lineRule="exact"/>
        <w:rPr>
          <w:rFonts w:ascii="Arial" w:cs="Arial" w:eastAsia="Arial" w:hAnsi="Arial"/>
          <w:sz w:val="16"/>
          <w:szCs w:val="16"/>
          <w:u w:val="single" w:color="auto"/>
          <w:color w:val="0000EE"/>
        </w:rPr>
      </w:pPr>
    </w:p>
    <w:p>
      <w:pPr>
        <w:ind w:left="490" w:hanging="490"/>
        <w:spacing w:after="0"/>
        <w:tabs>
          <w:tab w:leader="none" w:pos="490" w:val="left"/>
        </w:tabs>
        <w:numPr>
          <w:ilvl w:val="0"/>
          <w:numId w:val="29"/>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FREQUENTLY ASKED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-424180</wp:posOffset>
            </wp:positionV>
            <wp:extent cx="26060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-235585</wp:posOffset>
            </wp:positionV>
            <wp:extent cx="260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46355</wp:posOffset>
            </wp:positionV>
            <wp:extent cx="26060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42" w:lineRule="exact"/>
        <w:rPr>
          <w:sz w:val="20"/>
          <w:szCs w:val="20"/>
          <w:color w:val="auto"/>
        </w:rPr>
      </w:pPr>
    </w:p>
    <w:p>
      <w:pPr>
        <w:ind w:left="490" w:right="459" w:hanging="485"/>
        <w:spacing w:after="0" w:line="271" w:lineRule="auto"/>
        <w:tabs>
          <w:tab w:leader="none" w:pos="470" w:val="left"/>
        </w:tabs>
        <w:rPr>
          <w:sz w:val="20"/>
          <w:szCs w:val="20"/>
          <w:color w:val="auto"/>
        </w:rPr>
      </w:pPr>
      <w:r>
        <w:rPr>
          <w:rFonts w:ascii="Arial" w:cs="Arial" w:eastAsia="Arial" w:hAnsi="Arial"/>
          <w:sz w:val="16"/>
          <w:szCs w:val="16"/>
          <w:b w:val="1"/>
          <w:bCs w:val="1"/>
          <w:u w:val="single" w:color="auto"/>
          <w:color w:val="0000EE"/>
        </w:rPr>
        <w:t>A-1</w:t>
        <w:tab/>
        <w:t>ANNEX A — AMENDED AND RESTATED KYNDRYL 2021 LONG-TERM PERFORMANCE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-635</wp:posOffset>
            </wp:positionV>
            <wp:extent cx="26060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ectPr>
          <w:pgSz w:w="11900" w:h="16838" w:orient="portrait"/>
          <w:cols w:equalWidth="0" w:num="2">
            <w:col w:w="4270" w:space="720"/>
            <w:col w:w="4029"/>
          </w:cols>
          <w:pgMar w:left="1440" w:top="114"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Proxy Summary</w:t>
      </w:r>
    </w:p>
    <w:p>
      <w:pPr>
        <w:spacing w:after="0" w:line="263" w:lineRule="exact"/>
        <w:rPr>
          <w:sz w:val="20"/>
          <w:szCs w:val="20"/>
          <w:color w:val="auto"/>
        </w:rPr>
      </w:pPr>
    </w:p>
    <w:p>
      <w:pPr>
        <w:ind w:left="80" w:right="79"/>
        <w:spacing w:after="0"/>
        <w:rPr>
          <w:sz w:val="20"/>
          <w:szCs w:val="20"/>
          <w:color w:val="auto"/>
        </w:rPr>
      </w:pPr>
      <w:r>
        <w:rPr>
          <w:rFonts w:ascii="Arial" w:cs="Arial" w:eastAsia="Arial" w:hAnsi="Arial"/>
          <w:sz w:val="17"/>
          <w:szCs w:val="17"/>
          <w:i w:val="1"/>
          <w:iCs w:val="1"/>
          <w:color w:val="auto"/>
        </w:rPr>
        <w:t>This summary highlights information contained elsewhere in this Proxy Statement. This summary does not contain all of the information you should consider. You should read the entire Proxy Statement carefully before voting. The proxy materials, including this Proxy Statement, the Annual Report for the fiscal year ended March 31, 2026 and the proxy card, or the Notice of Internet Availability of Proxy Materials, as applicable, are being distributed beginning on or about June 16, 2026 to all stockholders entitled to vote.</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Voting Matters</w:t>
      </w:r>
    </w:p>
    <w:p>
      <w:pPr>
        <w:spacing w:after="0" w:line="173" w:lineRule="exact"/>
        <w:rPr>
          <w:sz w:val="20"/>
          <w:szCs w:val="20"/>
          <w:color w:val="auto"/>
        </w:rPr>
      </w:pPr>
    </w:p>
    <w:p>
      <w:pPr>
        <w:ind w:left="80" w:right="179"/>
        <w:spacing w:after="0" w:line="244" w:lineRule="auto"/>
        <w:rPr>
          <w:sz w:val="20"/>
          <w:szCs w:val="20"/>
          <w:color w:val="auto"/>
        </w:rPr>
      </w:pPr>
      <w:r>
        <w:rPr>
          <w:rFonts w:ascii="Arial" w:cs="Arial" w:eastAsia="Arial" w:hAnsi="Arial"/>
          <w:sz w:val="17"/>
          <w:szCs w:val="17"/>
          <w:color w:val="auto"/>
        </w:rPr>
        <w:t>Stockholders will be asked to vote on the following matters at the Annual Meeting. Whether or not you plan to attend the Annual Meeting, we encourage you to promptly submit your proxy with your voting instructions. You may do this over the Internet, as well as by telephone or mail. See “Frequently Asked Questions — 8. Can I vote my shares without attending the Annual Meeting?”</w:t>
      </w:r>
    </w:p>
    <w:p>
      <w:pPr>
        <w:spacing w:after="0" w:line="231" w:lineRule="exact"/>
        <w:rPr>
          <w:sz w:val="20"/>
          <w:szCs w:val="20"/>
          <w:color w:val="auto"/>
        </w:rPr>
      </w:pPr>
    </w:p>
    <w:p>
      <w:pPr>
        <w:ind w:left="140"/>
        <w:spacing w:after="0"/>
        <w:tabs>
          <w:tab w:leader="none" w:pos="4380" w:val="left"/>
          <w:tab w:leader="none" w:pos="6680" w:val="left"/>
        </w:tabs>
        <w:rPr>
          <w:sz w:val="20"/>
          <w:szCs w:val="20"/>
          <w:color w:val="auto"/>
        </w:rPr>
      </w:pPr>
      <w:r>
        <w:rPr>
          <w:rFonts w:ascii="Arial" w:cs="Arial" w:eastAsia="Arial" w:hAnsi="Arial"/>
          <w:sz w:val="14"/>
          <w:szCs w:val="14"/>
          <w:b w:val="1"/>
          <w:bCs w:val="1"/>
          <w:color w:val="F0533D"/>
        </w:rPr>
        <w:t>Items of Business</w:t>
      </w:r>
      <w:r>
        <w:rPr>
          <w:sz w:val="20"/>
          <w:szCs w:val="20"/>
          <w:color w:val="auto"/>
        </w:rPr>
        <w:tab/>
      </w:r>
      <w:r>
        <w:rPr>
          <w:rFonts w:ascii="Arial" w:cs="Arial" w:eastAsia="Arial" w:hAnsi="Arial"/>
          <w:sz w:val="14"/>
          <w:szCs w:val="14"/>
          <w:b w:val="1"/>
          <w:bCs w:val="1"/>
          <w:color w:val="F0533D"/>
        </w:rPr>
        <w:t>Board Recommendations</w:t>
      </w:r>
      <w:r>
        <w:rPr>
          <w:sz w:val="20"/>
          <w:szCs w:val="20"/>
          <w:color w:val="auto"/>
        </w:rPr>
        <w:tab/>
      </w:r>
      <w:r>
        <w:rPr>
          <w:rFonts w:ascii="Arial" w:cs="Arial" w:eastAsia="Arial" w:hAnsi="Arial"/>
          <w:sz w:val="14"/>
          <w:szCs w:val="14"/>
          <w:b w:val="1"/>
          <w:bCs w:val="1"/>
          <w:color w:val="F0533D"/>
        </w:rPr>
        <w:t>For More Information, See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135255</wp:posOffset>
            </wp:positionV>
            <wp:extent cx="56235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07" w:lineRule="exact"/>
        <w:rPr>
          <w:sz w:val="20"/>
          <w:szCs w:val="20"/>
          <w:color w:val="auto"/>
        </w:rPr>
      </w:pPr>
    </w:p>
    <w:tbl>
      <w:tblPr>
        <w:tblLayout w:type="fixed"/>
        <w:tblInd w:w="160" w:type="dxa"/>
        <w:tblCellMar>
          <w:top w:w="0" w:type="dxa"/>
          <w:left w:w="0" w:type="dxa"/>
          <w:bottom w:w="0" w:type="dxa"/>
          <w:right w:w="0" w:type="dxa"/>
        </w:tblCellMar>
      </w:tblPr>
      <w:tr>
        <w:trPr>
          <w:trHeight w:val="264"/>
        </w:trPr>
        <w:tc>
          <w:tcPr>
            <w:tcW w:w="4160" w:type="dxa"/>
            <w:vAlign w:val="bottom"/>
          </w:tcPr>
          <w:p>
            <w:pPr>
              <w:spacing w:after="0"/>
              <w:rPr>
                <w:sz w:val="20"/>
                <w:szCs w:val="20"/>
                <w:color w:val="auto"/>
              </w:rPr>
            </w:pPr>
            <w:r>
              <w:rPr>
                <w:rFonts w:ascii="Arial" w:cs="Arial" w:eastAsia="Arial" w:hAnsi="Arial"/>
                <w:sz w:val="17"/>
                <w:szCs w:val="17"/>
                <w:b w:val="1"/>
                <w:bCs w:val="1"/>
                <w:color w:val="F0533D"/>
              </w:rPr>
              <w:t xml:space="preserve">1  </w:t>
            </w:r>
            <w:r>
              <w:rPr>
                <w:rFonts w:ascii="Arial" w:cs="Arial" w:eastAsia="Arial" w:hAnsi="Arial"/>
                <w:sz w:val="17"/>
                <w:szCs w:val="17"/>
                <w:color w:val="000000"/>
              </w:rPr>
              <w:t>Election of the six director nominees named</w:t>
            </w:r>
          </w:p>
        </w:tc>
        <w:tc>
          <w:tcPr>
            <w:tcW w:w="3420" w:type="dxa"/>
            <w:vAlign w:val="bottom"/>
          </w:tcPr>
          <w:p>
            <w:pPr>
              <w:ind w:left="580"/>
              <w:spacing w:after="0"/>
              <w:rPr>
                <w:sz w:val="20"/>
                <w:szCs w:val="20"/>
                <w:color w:val="auto"/>
              </w:rPr>
            </w:pPr>
            <w:r>
              <w:rPr>
                <w:rFonts w:ascii="Arial" w:cs="Arial" w:eastAsia="Arial" w:hAnsi="Arial"/>
                <w:sz w:val="23"/>
                <w:szCs w:val="23"/>
                <w:b w:val="1"/>
                <w:bCs w:val="1"/>
                <w:color w:val="72C593"/>
              </w:rPr>
              <w:t>FOR</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60"/>
              <w:spacing w:after="0"/>
              <w:rPr>
                <w:sz w:val="20"/>
                <w:szCs w:val="20"/>
                <w:color w:val="auto"/>
              </w:rPr>
            </w:pPr>
            <w:r>
              <w:rPr>
                <w:rFonts w:ascii="Arial" w:cs="Arial" w:eastAsia="Arial" w:hAnsi="Arial"/>
                <w:sz w:val="17"/>
                <w:szCs w:val="17"/>
                <w:color w:val="auto"/>
              </w:rPr>
              <w:t>herein for a one-year term</w:t>
            </w:r>
          </w:p>
        </w:tc>
        <w:tc>
          <w:tcPr>
            <w:tcW w:w="3420" w:type="dxa"/>
            <w:vAlign w:val="bottom"/>
            <w:vMerge w:val="restart"/>
          </w:tcPr>
          <w:p>
            <w:pPr>
              <w:ind w:left="580"/>
              <w:spacing w:after="0"/>
              <w:rPr>
                <w:sz w:val="20"/>
                <w:szCs w:val="20"/>
                <w:color w:val="auto"/>
              </w:rPr>
            </w:pPr>
            <w:r>
              <w:rPr>
                <w:rFonts w:ascii="Arial" w:cs="Arial" w:eastAsia="Arial" w:hAnsi="Arial"/>
                <w:sz w:val="17"/>
                <w:szCs w:val="17"/>
                <w:color w:val="auto"/>
              </w:rPr>
              <w:t>each nominee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4160" w:type="dxa"/>
            <w:vAlign w:val="bottom"/>
          </w:tcPr>
          <w:p>
            <w:pPr>
              <w:spacing w:after="0"/>
              <w:rPr>
                <w:sz w:val="6"/>
                <w:szCs w:val="6"/>
                <w:color w:val="auto"/>
              </w:rPr>
            </w:pPr>
          </w:p>
        </w:tc>
        <w:tc>
          <w:tcPr>
            <w:tcW w:w="3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93980</wp:posOffset>
            </wp:positionV>
            <wp:extent cx="56235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2911475</wp:posOffset>
            </wp:positionH>
            <wp:positionV relativeFrom="paragraph">
              <wp:posOffset>-307975</wp:posOffset>
            </wp:positionV>
            <wp:extent cx="137160" cy="102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88" w:lineRule="exact"/>
        <w:rPr>
          <w:sz w:val="20"/>
          <w:szCs w:val="20"/>
          <w:color w:val="auto"/>
        </w:rPr>
      </w:pPr>
    </w:p>
    <w:p>
      <w:pPr>
        <w:ind w:left="420" w:right="360" w:hanging="256"/>
        <w:spacing w:after="0" w:line="249" w:lineRule="auto"/>
        <w:tabs>
          <w:tab w:leader="none" w:pos="420" w:val="left"/>
        </w:tabs>
        <w:numPr>
          <w:ilvl w:val="0"/>
          <w:numId w:val="30"/>
        </w:numPr>
        <w:rPr>
          <w:rFonts w:ascii="Arial" w:cs="Arial" w:eastAsia="Arial" w:hAnsi="Arial"/>
          <w:sz w:val="17"/>
          <w:szCs w:val="17"/>
          <w:b w:val="1"/>
          <w:bCs w:val="1"/>
          <w:color w:val="F0533D"/>
        </w:rPr>
      </w:pPr>
      <w:r>
        <w:rPr>
          <w:rFonts w:ascii="Arial" w:cs="Arial" w:eastAsia="Arial" w:hAnsi="Arial"/>
          <w:sz w:val="17"/>
          <w:szCs w:val="17"/>
          <w:color w:val="auto"/>
        </w:rPr>
        <w:t>Approval, in an advisory, non-binding vote, of the compensation of our named executive officers (“Say-on-Pay Proposal”)</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0" w:type="dxa"/>
            <w:vAlign w:val="bottom"/>
            <w:vMerge w:val="restart"/>
          </w:tcPr>
          <w:p>
            <w:pPr>
              <w:spacing w:after="0"/>
              <w:rPr>
                <w:sz w:val="20"/>
                <w:szCs w:val="20"/>
                <w:color w:val="auto"/>
              </w:rPr>
            </w:pPr>
            <w:r>
              <w:rPr>
                <w:rFonts w:ascii="Arial" w:cs="Arial" w:eastAsia="Arial" w:hAnsi="Arial"/>
                <w:sz w:val="23"/>
                <w:szCs w:val="23"/>
                <w:b w:val="1"/>
                <w:bCs w:val="1"/>
                <w:color w:val="72C593"/>
              </w:rPr>
              <w:t>FOR</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37</w:t>
            </w: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271145</wp:posOffset>
            </wp:positionV>
            <wp:extent cx="56235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-191135</wp:posOffset>
            </wp:positionV>
            <wp:extent cx="137160" cy="1028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484" w:lineRule="exact"/>
        <w:rPr>
          <w:sz w:val="20"/>
          <w:szCs w:val="20"/>
          <w:color w:val="auto"/>
        </w:rPr>
      </w:pPr>
    </w:p>
    <w:p>
      <w:pPr>
        <w:sectPr>
          <w:pgSz w:w="11900" w:h="16838" w:orient="portrait"/>
          <w:cols w:equalWidth="0" w:num="2">
            <w:col w:w="4180" w:space="720"/>
            <w:col w:w="4119"/>
          </w:cols>
          <w:pgMar w:left="1440" w:top="114" w:right="1440" w:bottom="1440" w:gutter="0" w:footer="0" w:header="0"/>
          <w:type w:val="continuous"/>
        </w:sectPr>
      </w:pPr>
    </w:p>
    <w:p>
      <w:pPr>
        <w:spacing w:after="0" w:line="83" w:lineRule="exact"/>
        <w:rPr>
          <w:sz w:val="20"/>
          <w:szCs w:val="20"/>
          <w:color w:val="auto"/>
        </w:rPr>
      </w:pPr>
    </w:p>
    <w:p>
      <w:pPr>
        <w:ind w:left="420" w:right="480" w:hanging="256"/>
        <w:spacing w:after="0" w:line="267" w:lineRule="auto"/>
        <w:tabs>
          <w:tab w:leader="none" w:pos="420" w:val="left"/>
        </w:tabs>
        <w:numPr>
          <w:ilvl w:val="0"/>
          <w:numId w:val="31"/>
        </w:numPr>
        <w:rPr>
          <w:rFonts w:ascii="Arial" w:cs="Arial" w:eastAsia="Arial" w:hAnsi="Arial"/>
          <w:sz w:val="17"/>
          <w:szCs w:val="17"/>
          <w:b w:val="1"/>
          <w:bCs w:val="1"/>
          <w:color w:val="F0533D"/>
        </w:rPr>
      </w:pPr>
      <w:r>
        <w:rPr>
          <w:rFonts w:ascii="Arial" w:cs="Arial" w:eastAsia="Arial" w:hAnsi="Arial"/>
          <w:sz w:val="17"/>
          <w:szCs w:val="17"/>
          <w:color w:val="auto"/>
        </w:rPr>
        <w:t>Approval of the Amended and Restated Kyndryl 2021 Long-Term Performance Plan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0" w:type="dxa"/>
            <w:vAlign w:val="bottom"/>
            <w:vMerge w:val="restart"/>
          </w:tcPr>
          <w:p>
            <w:pPr>
              <w:spacing w:after="0"/>
              <w:rPr>
                <w:sz w:val="20"/>
                <w:szCs w:val="20"/>
                <w:color w:val="auto"/>
              </w:rPr>
            </w:pPr>
            <w:r>
              <w:rPr>
                <w:rFonts w:ascii="Arial" w:cs="Arial" w:eastAsia="Arial" w:hAnsi="Arial"/>
                <w:sz w:val="23"/>
                <w:szCs w:val="23"/>
                <w:b w:val="1"/>
                <w:bCs w:val="1"/>
                <w:color w:val="72C593"/>
              </w:rPr>
              <w:t>FOR</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84</w:t>
            </w: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-3062605</wp:posOffset>
            </wp:positionH>
            <wp:positionV relativeFrom="paragraph">
              <wp:posOffset>151130</wp:posOffset>
            </wp:positionV>
            <wp:extent cx="56235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-191135</wp:posOffset>
            </wp:positionV>
            <wp:extent cx="137160" cy="1028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4180" w:space="720"/>
            <w:col w:w="4119"/>
          </w:cols>
          <w:pgMar w:left="1440" w:top="114" w:right="1440" w:bottom="1440" w:gutter="0" w:footer="0" w:header="0"/>
          <w:type w:val="continuous"/>
        </w:sectPr>
      </w:pPr>
    </w:p>
    <w:p>
      <w:pPr>
        <w:spacing w:after="0" w:line="67" w:lineRule="exact"/>
        <w:rPr>
          <w:sz w:val="20"/>
          <w:szCs w:val="20"/>
          <w:color w:val="auto"/>
        </w:rPr>
      </w:pPr>
    </w:p>
    <w:p>
      <w:pPr>
        <w:ind w:left="420" w:right="660" w:hanging="256"/>
        <w:spacing w:after="0" w:line="239" w:lineRule="auto"/>
        <w:tabs>
          <w:tab w:leader="none" w:pos="420" w:val="left"/>
        </w:tabs>
        <w:numPr>
          <w:ilvl w:val="0"/>
          <w:numId w:val="32"/>
        </w:numPr>
        <w:rPr>
          <w:rFonts w:ascii="Arial" w:cs="Arial" w:eastAsia="Arial" w:hAnsi="Arial"/>
          <w:sz w:val="17"/>
          <w:szCs w:val="17"/>
          <w:b w:val="1"/>
          <w:bCs w:val="1"/>
          <w:color w:val="F0533D"/>
        </w:rPr>
      </w:pPr>
      <w:r>
        <w:rPr>
          <w:rFonts w:ascii="Arial" w:cs="Arial" w:eastAsia="Arial" w:hAnsi="Arial"/>
          <w:sz w:val="17"/>
          <w:szCs w:val="17"/>
          <w:color w:val="auto"/>
        </w:rPr>
        <w:t>Ratification of the appointment of PricewaterhouseCoopers LLP as our independent registered public accounting firm for the fiscal year ending March 31, 2027 (“fiscal 2027”) (“Auditor Ratification Proposal”)</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800" w:type="dxa"/>
            <w:vAlign w:val="bottom"/>
            <w:vMerge w:val="restart"/>
          </w:tcPr>
          <w:p>
            <w:pPr>
              <w:spacing w:after="0"/>
              <w:rPr>
                <w:sz w:val="20"/>
                <w:szCs w:val="20"/>
                <w:color w:val="auto"/>
              </w:rPr>
            </w:pPr>
            <w:r>
              <w:rPr>
                <w:rFonts w:ascii="Arial" w:cs="Arial" w:eastAsia="Arial" w:hAnsi="Arial"/>
                <w:sz w:val="23"/>
                <w:szCs w:val="23"/>
                <w:b w:val="1"/>
                <w:bCs w:val="1"/>
                <w:color w:val="72C593"/>
              </w:rPr>
              <w:t>FOR</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84"/>
              </w:rPr>
              <w:t>90</w:t>
            </w: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-191135</wp:posOffset>
            </wp:positionV>
            <wp:extent cx="137160" cy="1028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102870"/>
                    </a:xfrm>
                    <a:prstGeom prst="rect">
                      <a:avLst/>
                    </a:prstGeom>
                    <a:noFill/>
                  </pic:spPr>
                </pic:pic>
              </a:graphicData>
            </a:graphic>
          </wp:anchor>
        </w:drawing>
      </w:r>
    </w:p>
    <w:p>
      <w:pPr>
        <w:spacing w:after="0" w:line="863" w:lineRule="exact"/>
        <w:rPr>
          <w:sz w:val="20"/>
          <w:szCs w:val="20"/>
          <w:color w:val="auto"/>
        </w:rPr>
      </w:pPr>
    </w:p>
    <w:p>
      <w:pPr>
        <w:sectPr>
          <w:pgSz w:w="11900" w:h="16838" w:orient="portrait"/>
          <w:cols w:equalWidth="0" w:num="2">
            <w:col w:w="4180" w:space="720"/>
            <w:col w:w="4119"/>
          </w:cols>
          <w:pgMar w:left="1440" w:top="114" w:right="1440" w:bottom="1440" w:gutter="0" w:footer="0" w:header="0"/>
          <w:type w:val="continuous"/>
        </w:sectPr>
      </w:pPr>
    </w:p>
    <w:p>
      <w:pPr>
        <w:ind w:left="420" w:hanging="247"/>
        <w:spacing w:after="0"/>
        <w:tabs>
          <w:tab w:leader="none" w:pos="420" w:val="left"/>
        </w:tabs>
        <w:numPr>
          <w:ilvl w:val="0"/>
          <w:numId w:val="33"/>
        </w:numPr>
        <w:rPr>
          <w:rFonts w:ascii="Arial" w:cs="Arial" w:eastAsia="Arial" w:hAnsi="Arial"/>
          <w:sz w:val="43"/>
          <w:szCs w:val="43"/>
          <w:b w:val="1"/>
          <w:bCs w:val="1"/>
          <w:color w:val="F0533D"/>
          <w:vertAlign w:val="subscript"/>
        </w:rPr>
      </w:pPr>
      <w:r>
        <w:rPr>
          <w:rFonts w:ascii="Arial" w:cs="Arial" w:eastAsia="Arial" w:hAnsi="Arial"/>
          <w:sz w:val="17"/>
          <w:szCs w:val="17"/>
          <w:color w:val="auto"/>
        </w:rPr>
        <w:t>Transaction of any other business properly 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93980</wp:posOffset>
            </wp:positionV>
            <wp:extent cx="56235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-231140</wp:posOffset>
            </wp:positionV>
            <wp:extent cx="56235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57"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6" w:name="page7"/>
    <w:bookmarkEnd w:id="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Our Business</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ABOUT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219"/>
        <w:spacing w:after="0" w:line="241" w:lineRule="auto"/>
        <w:rPr>
          <w:sz w:val="20"/>
          <w:szCs w:val="20"/>
          <w:color w:val="auto"/>
        </w:rPr>
      </w:pPr>
      <w:r>
        <w:rPr>
          <w:rFonts w:ascii="Arial" w:cs="Arial" w:eastAsia="Arial" w:hAnsi="Arial"/>
          <w:sz w:val="17"/>
          <w:szCs w:val="17"/>
          <w:color w:val="auto"/>
        </w:rPr>
        <w:t>Kyndryl is a leading provider of mission-critical enterprise technology services offering advisory, implementation and managed service capabilities to thousands of customers in more than 60 countries. As the world’s largest</w:t>
      </w:r>
    </w:p>
    <w:p>
      <w:pPr>
        <w:spacing w:after="0" w:line="1" w:lineRule="exact"/>
        <w:rPr>
          <w:sz w:val="20"/>
          <w:szCs w:val="20"/>
          <w:color w:val="auto"/>
        </w:rPr>
      </w:pPr>
    </w:p>
    <w:p>
      <w:pPr>
        <w:ind w:left="80" w:right="199"/>
        <w:spacing w:after="0" w:line="248" w:lineRule="auto"/>
        <w:rPr>
          <w:sz w:val="20"/>
          <w:szCs w:val="20"/>
          <w:color w:val="auto"/>
        </w:rPr>
      </w:pPr>
      <w:r>
        <w:rPr>
          <w:rFonts w:ascii="Arial" w:cs="Arial" w:eastAsia="Arial" w:hAnsi="Arial"/>
          <w:sz w:val="17"/>
          <w:szCs w:val="17"/>
          <w:color w:val="auto"/>
        </w:rPr>
        <w:t>IT infrastructure services provider, the Company designs, builds, manages and modernizes the complex information systems that the world depends on every day.</w:t>
      </w:r>
    </w:p>
    <w:p>
      <w:pPr>
        <w:spacing w:after="0" w:line="7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OUR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439"/>
        <w:spacing w:after="0" w:line="249" w:lineRule="auto"/>
        <w:rPr>
          <w:sz w:val="20"/>
          <w:szCs w:val="20"/>
          <w:color w:val="auto"/>
        </w:rPr>
      </w:pPr>
      <w:r>
        <w:rPr>
          <w:rFonts w:ascii="Arial" w:cs="Arial" w:eastAsia="Arial" w:hAnsi="Arial"/>
          <w:sz w:val="17"/>
          <w:szCs w:val="17"/>
          <w:color w:val="auto"/>
        </w:rPr>
        <w:t>We provide a range of agentic AI, IT modernization, public and private clouds and cybersecurity solutions to help customers modernize at scale, strengthen resilience and unlock greater business value in a number of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22225</wp:posOffset>
            </wp:positionV>
            <wp:extent cx="5623560" cy="2317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23560" cy="23177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ind w:left="80"/>
        <w:spacing w:after="0"/>
        <w:rPr>
          <w:sz w:val="20"/>
          <w:szCs w:val="20"/>
          <w:color w:val="auto"/>
        </w:rPr>
      </w:pPr>
      <w:r>
        <w:rPr>
          <w:sz w:val="1"/>
          <w:szCs w:val="1"/>
          <w:color w:val="auto"/>
        </w:rPr>
        <w:drawing>
          <wp:inline distT="0" distB="0" distL="0" distR="0">
            <wp:extent cx="59690" cy="21907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219075"/>
                    </a:xfrm>
                    <a:prstGeom prst="rect">
                      <a:avLst/>
                    </a:prstGeom>
                    <a:noFill/>
                    <a:ln>
                      <a:noFill/>
                    </a:ln>
                  </pic:spPr>
                </pic:pic>
              </a:graphicData>
            </a:graphic>
          </wp:inline>
        </w:drawing>
      </w:r>
      <w:r>
        <w:rPr>
          <w:rFonts w:ascii="Arial" w:cs="Arial" w:eastAsia="Arial" w:hAnsi="Arial"/>
          <w:sz w:val="19"/>
          <w:szCs w:val="19"/>
          <w:color w:val="FFFFFF"/>
        </w:rPr>
        <w:t xml:space="preserve">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-153670</wp:posOffset>
            </wp:positionV>
            <wp:extent cx="1757045" cy="163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57045" cy="163195"/>
                    </a:xfrm>
                    <a:prstGeom prst="rect">
                      <a:avLst/>
                    </a:prstGeom>
                    <a:noFill/>
                  </pic:spPr>
                </pic:pic>
              </a:graphicData>
            </a:graphic>
          </wp:anchor>
        </w:drawing>
      </w:r>
    </w:p>
    <w:p>
      <w:pPr>
        <w:spacing w:after="0" w:line="7" w:lineRule="exact"/>
        <w:rPr>
          <w:sz w:val="20"/>
          <w:szCs w:val="20"/>
          <w:color w:val="auto"/>
        </w:rPr>
      </w:pPr>
    </w:p>
    <w:p>
      <w:pPr>
        <w:ind w:left="220"/>
        <w:spacing w:after="0" w:line="257" w:lineRule="auto"/>
        <w:rPr>
          <w:sz w:val="20"/>
          <w:szCs w:val="20"/>
          <w:color w:val="auto"/>
        </w:rPr>
      </w:pPr>
      <w:r>
        <w:rPr>
          <w:rFonts w:ascii="Arial" w:cs="Arial" w:eastAsia="Arial" w:hAnsi="Arial"/>
          <w:sz w:val="16"/>
          <w:szCs w:val="16"/>
          <w:color w:val="auto"/>
        </w:rPr>
        <w:t>Delivering seamless, integrated, multicloud management in a hybrid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311150</wp:posOffset>
            </wp:positionV>
            <wp:extent cx="1817370" cy="68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1737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FFFFFF"/>
        </w:rPr>
        <w:t>Security &amp; Resiliency</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Delivering a full line of cybersecurity, business continuity and disaster recovery services to help customers continuously adapt to new threats and regulatory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54610</wp:posOffset>
            </wp:positionV>
            <wp:extent cx="1800225" cy="2311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800225" cy="2311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color w:val="FFFFFF"/>
        </w:rPr>
        <w:t>Network &amp; Edge</w:t>
      </w:r>
    </w:p>
    <w:p>
      <w:pPr>
        <w:spacing w:after="0" w:line="78" w:lineRule="exact"/>
        <w:rPr>
          <w:sz w:val="20"/>
          <w:szCs w:val="20"/>
          <w:color w:val="auto"/>
        </w:rPr>
      </w:pPr>
    </w:p>
    <w:p>
      <w:pPr>
        <w:ind w:right="319"/>
        <w:spacing w:after="0" w:line="266" w:lineRule="auto"/>
        <w:rPr>
          <w:sz w:val="20"/>
          <w:szCs w:val="20"/>
          <w:color w:val="auto"/>
        </w:rPr>
      </w:pPr>
      <w:r>
        <w:rPr>
          <w:rFonts w:ascii="Arial" w:cs="Arial" w:eastAsia="Arial" w:hAnsi="Arial"/>
          <w:sz w:val="16"/>
          <w:szCs w:val="16"/>
          <w:color w:val="auto"/>
        </w:rPr>
        <w:t>Providing unified network services for cloud and data center connectivity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288925</wp:posOffset>
            </wp:positionV>
            <wp:extent cx="1731645" cy="2311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31645" cy="231140"/>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3">
            <w:col w:w="2740" w:space="460"/>
            <w:col w:w="2620" w:space="440"/>
            <w:col w:w="2759"/>
          </w:cols>
          <w:pgMar w:left="1440" w:top="114" w:right="1440" w:bottom="1440" w:gutter="0" w:footer="0" w:header="0"/>
          <w:type w:val="continuous"/>
        </w:sectPr>
      </w:pPr>
    </w:p>
    <w:p>
      <w:pPr>
        <w:ind w:left="80"/>
        <w:spacing w:after="0"/>
        <w:rPr>
          <w:sz w:val="20"/>
          <w:szCs w:val="20"/>
          <w:color w:val="auto"/>
        </w:rPr>
      </w:pPr>
      <w:r>
        <w:rPr>
          <w:sz w:val="1"/>
          <w:szCs w:val="1"/>
          <w:color w:val="auto"/>
        </w:rPr>
        <w:drawing>
          <wp:inline distT="0" distB="0" distL="0" distR="0">
            <wp:extent cx="59690" cy="2311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690" cy="231140"/>
                    </a:xfrm>
                    <a:prstGeom prst="rect">
                      <a:avLst/>
                    </a:prstGeom>
                    <a:noFill/>
                    <a:ln>
                      <a:noFill/>
                    </a:ln>
                  </pic:spPr>
                </pic:pic>
              </a:graphicData>
            </a:graphic>
          </wp:inline>
        </w:drawing>
      </w:r>
      <w:r>
        <w:rPr>
          <w:rFonts w:ascii="Arial" w:cs="Arial" w:eastAsia="Arial" w:hAnsi="Arial"/>
          <w:sz w:val="19"/>
          <w:szCs w:val="19"/>
          <w:color w:val="FFFFFF"/>
        </w:rPr>
        <w:t xml:space="preserve"> Applications, Data &amp;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1757045" cy="1631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57045" cy="163195"/>
                    </a:xfrm>
                    <a:prstGeom prst="rect">
                      <a:avLst/>
                    </a:prstGeom>
                    <a:noFill/>
                  </pic:spPr>
                </pic:pic>
              </a:graphicData>
            </a:graphic>
          </wp:anchor>
        </w:drawing>
      </w:r>
    </w:p>
    <w:p>
      <w:pPr>
        <w:jc w:val="both"/>
        <w:ind w:left="220"/>
        <w:spacing w:after="0" w:line="257" w:lineRule="auto"/>
        <w:rPr>
          <w:sz w:val="20"/>
          <w:szCs w:val="20"/>
          <w:color w:val="auto"/>
        </w:rPr>
      </w:pPr>
      <w:r>
        <w:rPr>
          <w:rFonts w:ascii="Arial" w:cs="Arial" w:eastAsia="Arial" w:hAnsi="Arial"/>
          <w:sz w:val="16"/>
          <w:szCs w:val="16"/>
          <w:color w:val="auto"/>
        </w:rPr>
        <w:t>Providing full application platform hosting and expert assistance for application modernization</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FFFFFF"/>
        </w:rPr>
        <w:t>Digital Workplace</w:t>
      </w:r>
    </w:p>
    <w:p>
      <w:pPr>
        <w:spacing w:after="0" w:line="7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Enhancing user experience and work location flexibility by providing a consumer experience to employees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FFFFFF"/>
        </w:rPr>
        <w:t>Core Enterprise</w:t>
      </w:r>
    </w:p>
    <w:p>
      <w:pPr>
        <w:spacing w:after="0" w:line="78" w:lineRule="exact"/>
        <w:rPr>
          <w:sz w:val="20"/>
          <w:szCs w:val="20"/>
          <w:color w:val="auto"/>
        </w:rPr>
      </w:pPr>
    </w:p>
    <w:p>
      <w:pPr>
        <w:jc w:val="both"/>
        <w:ind w:right="259"/>
        <w:spacing w:after="0" w:line="266" w:lineRule="auto"/>
        <w:rPr>
          <w:sz w:val="20"/>
          <w:szCs w:val="20"/>
          <w:color w:val="auto"/>
        </w:rPr>
      </w:pPr>
      <w:r>
        <w:rPr>
          <w:rFonts w:ascii="Arial" w:cs="Arial" w:eastAsia="Arial" w:hAnsi="Arial"/>
          <w:sz w:val="16"/>
          <w:szCs w:val="16"/>
          <w:color w:val="auto"/>
        </w:rPr>
        <w:t>Providing secure, unified and fault-tolerant mainframe services for our customers’ core infrastructure</w:t>
      </w:r>
    </w:p>
    <w:p>
      <w:pPr>
        <w:spacing w:after="0" w:line="86" w:lineRule="exact"/>
        <w:rPr>
          <w:sz w:val="20"/>
          <w:szCs w:val="20"/>
          <w:color w:val="auto"/>
        </w:rPr>
      </w:pPr>
    </w:p>
    <w:p>
      <w:pPr>
        <w:sectPr>
          <w:pgSz w:w="11900" w:h="16838" w:orient="portrait"/>
          <w:cols w:equalWidth="0" w:num="3">
            <w:col w:w="2600" w:space="600"/>
            <w:col w:w="2680" w:space="380"/>
            <w:col w:w="2759"/>
          </w:cols>
          <w:pgMar w:left="1440" w:top="114" w:right="1440" w:bottom="1440" w:gutter="0" w:footer="0" w:header="0"/>
          <w:type w:val="continuous"/>
        </w:sectPr>
      </w:pPr>
    </w:p>
    <w:p>
      <w:pPr>
        <w:ind w:left="80"/>
        <w:spacing w:after="0"/>
        <w:rPr>
          <w:sz w:val="20"/>
          <w:szCs w:val="20"/>
          <w:color w:val="auto"/>
        </w:rPr>
      </w:pPr>
      <w:r>
        <w:rPr>
          <w:rFonts w:ascii="Arial" w:cs="Arial" w:eastAsia="Arial" w:hAnsi="Arial"/>
          <w:sz w:val="21"/>
          <w:szCs w:val="21"/>
          <w:b w:val="1"/>
          <w:bCs w:val="1"/>
          <w:color w:val="F0533D"/>
        </w:rPr>
        <w:t>OUR FISCAL 2026 BUSINESS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81" w:lineRule="exact"/>
        <w:rPr>
          <w:sz w:val="20"/>
          <w:szCs w:val="20"/>
          <w:color w:val="auto"/>
        </w:rPr>
      </w:pPr>
    </w:p>
    <w:tbl>
      <w:tblPr>
        <w:tblLayout w:type="fixed"/>
        <w:tblInd w:w="80" w:type="dxa"/>
        <w:tblCellMar>
          <w:top w:w="0" w:type="dxa"/>
          <w:left w:w="0" w:type="dxa"/>
          <w:bottom w:w="0" w:type="dxa"/>
          <w:right w:w="0" w:type="dxa"/>
        </w:tblCellMar>
      </w:tblPr>
      <w:tr>
        <w:trPr>
          <w:trHeight w:val="310"/>
        </w:trPr>
        <w:tc>
          <w:tcPr>
            <w:tcW w:w="100" w:type="dxa"/>
            <w:vAlign w:val="bottom"/>
            <w:shd w:val="clear" w:color="auto" w:fill="F0533D"/>
          </w:tcPr>
          <w:p>
            <w:pPr>
              <w:spacing w:after="0"/>
              <w:rPr>
                <w:sz w:val="24"/>
                <w:szCs w:val="24"/>
                <w:color w:val="auto"/>
              </w:rPr>
            </w:pPr>
          </w:p>
        </w:tc>
        <w:tc>
          <w:tcPr>
            <w:tcW w:w="2680" w:type="dxa"/>
            <w:vAlign w:val="bottom"/>
            <w:shd w:val="clear" w:color="auto" w:fill="F0533D"/>
          </w:tcPr>
          <w:p>
            <w:pPr>
              <w:ind w:left="40"/>
              <w:spacing w:after="0"/>
              <w:rPr>
                <w:sz w:val="20"/>
                <w:szCs w:val="20"/>
                <w:color w:val="auto"/>
              </w:rPr>
            </w:pPr>
            <w:r>
              <w:rPr>
                <w:rFonts w:ascii="Arial" w:cs="Arial" w:eastAsia="Arial" w:hAnsi="Arial"/>
                <w:sz w:val="19"/>
                <w:szCs w:val="19"/>
                <w:color w:val="FFFFFF"/>
              </w:rPr>
              <w:t>Further Solidifying IT</w:t>
            </w:r>
          </w:p>
        </w:tc>
        <w:tc>
          <w:tcPr>
            <w:tcW w:w="240" w:type="dxa"/>
            <w:vAlign w:val="bottom"/>
            <w:tcBorders>
              <w:right w:val="single" w:sz="8" w:color="F0533D"/>
            </w:tcBorders>
          </w:tcPr>
          <w:p>
            <w:pPr>
              <w:spacing w:after="0"/>
              <w:rPr>
                <w:sz w:val="24"/>
                <w:szCs w:val="24"/>
                <w:color w:val="auto"/>
              </w:rPr>
            </w:pPr>
          </w:p>
        </w:tc>
        <w:tc>
          <w:tcPr>
            <w:tcW w:w="5840" w:type="dxa"/>
            <w:vAlign w:val="bottom"/>
            <w:vMerge w:val="restart"/>
            <w:shd w:val="clear" w:color="auto" w:fill="F0533D"/>
          </w:tcPr>
          <w:p>
            <w:pPr>
              <w:spacing w:after="0"/>
              <w:rPr>
                <w:sz w:val="20"/>
                <w:szCs w:val="20"/>
                <w:color w:val="auto"/>
              </w:rPr>
            </w:pPr>
            <w:r>
              <w:rPr>
                <w:rFonts w:ascii="Arial" w:cs="Arial" w:eastAsia="Arial" w:hAnsi="Arial"/>
                <w:sz w:val="19"/>
                <w:szCs w:val="19"/>
                <w:color w:val="FFFFFF"/>
              </w:rPr>
              <w:t>Strong Balance Sheet and Capital Allocation</w:t>
            </w:r>
          </w:p>
        </w:tc>
        <w:tc>
          <w:tcPr>
            <w:tcW w:w="0" w:type="dxa"/>
            <w:vAlign w:val="bottom"/>
          </w:tcPr>
          <w:p>
            <w:pPr>
              <w:spacing w:after="0"/>
              <w:rPr>
                <w:sz w:val="1"/>
                <w:szCs w:val="1"/>
                <w:color w:val="auto"/>
              </w:rPr>
            </w:pPr>
          </w:p>
        </w:tc>
      </w:tr>
      <w:tr>
        <w:trPr>
          <w:trHeight w:val="141"/>
        </w:trPr>
        <w:tc>
          <w:tcPr>
            <w:tcW w:w="100" w:type="dxa"/>
            <w:vAlign w:val="bottom"/>
            <w:shd w:val="clear" w:color="auto" w:fill="F0533D"/>
          </w:tcPr>
          <w:p>
            <w:pPr>
              <w:spacing w:after="0"/>
              <w:rPr>
                <w:sz w:val="12"/>
                <w:szCs w:val="12"/>
                <w:color w:val="auto"/>
              </w:rPr>
            </w:pPr>
          </w:p>
        </w:tc>
        <w:tc>
          <w:tcPr>
            <w:tcW w:w="2680" w:type="dxa"/>
            <w:vAlign w:val="bottom"/>
            <w:vMerge w:val="restart"/>
            <w:shd w:val="clear" w:color="auto" w:fill="F0533D"/>
          </w:tcPr>
          <w:p>
            <w:pPr>
              <w:ind w:left="40"/>
              <w:spacing w:after="0"/>
              <w:rPr>
                <w:sz w:val="20"/>
                <w:szCs w:val="20"/>
                <w:color w:val="auto"/>
              </w:rPr>
            </w:pPr>
            <w:r>
              <w:rPr>
                <w:rFonts w:ascii="Arial" w:cs="Arial" w:eastAsia="Arial" w:hAnsi="Arial"/>
                <w:sz w:val="19"/>
                <w:szCs w:val="19"/>
                <w:color w:val="FFFFFF"/>
              </w:rPr>
              <w:t>Services Leadership Position</w:t>
            </w:r>
          </w:p>
        </w:tc>
        <w:tc>
          <w:tcPr>
            <w:tcW w:w="240" w:type="dxa"/>
            <w:vAlign w:val="bottom"/>
            <w:tcBorders>
              <w:right w:val="single" w:sz="8" w:color="F0533D"/>
            </w:tcBorders>
          </w:tcPr>
          <w:p>
            <w:pPr>
              <w:spacing w:after="0"/>
              <w:rPr>
                <w:sz w:val="12"/>
                <w:szCs w:val="12"/>
                <w:color w:val="auto"/>
              </w:rPr>
            </w:pPr>
          </w:p>
        </w:tc>
        <w:tc>
          <w:tcPr>
            <w:tcW w:w="5840" w:type="dxa"/>
            <w:vAlign w:val="bottom"/>
            <w:vMerge w:val="continue"/>
            <w:shd w:val="clear" w:color="auto" w:fill="F0533D"/>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0" w:type="dxa"/>
            <w:vAlign w:val="bottom"/>
            <w:shd w:val="clear" w:color="auto" w:fill="F0533D"/>
          </w:tcPr>
          <w:p>
            <w:pPr>
              <w:spacing w:after="0"/>
              <w:rPr>
                <w:sz w:val="9"/>
                <w:szCs w:val="9"/>
                <w:color w:val="auto"/>
              </w:rPr>
            </w:pPr>
          </w:p>
        </w:tc>
        <w:tc>
          <w:tcPr>
            <w:tcW w:w="2680" w:type="dxa"/>
            <w:vAlign w:val="bottom"/>
            <w:vMerge w:val="continue"/>
            <w:shd w:val="clear" w:color="auto" w:fill="F0533D"/>
          </w:tcPr>
          <w:p>
            <w:pPr>
              <w:spacing w:after="0"/>
              <w:rPr>
                <w:sz w:val="9"/>
                <w:szCs w:val="9"/>
                <w:color w:val="auto"/>
              </w:rPr>
            </w:pPr>
          </w:p>
        </w:tc>
        <w:tc>
          <w:tcPr>
            <w:tcW w:w="240" w:type="dxa"/>
            <w:vAlign w:val="bottom"/>
            <w:tcBorders>
              <w:right w:val="single" w:sz="8" w:color="F0533D"/>
            </w:tcBorders>
          </w:tcPr>
          <w:p>
            <w:pPr>
              <w:spacing w:after="0"/>
              <w:rPr>
                <w:sz w:val="9"/>
                <w:szCs w:val="9"/>
                <w:color w:val="auto"/>
              </w:rPr>
            </w:pPr>
          </w:p>
        </w:tc>
        <w:tc>
          <w:tcPr>
            <w:tcW w:w="5840" w:type="dxa"/>
            <w:vAlign w:val="bottom"/>
            <w:shd w:val="clear" w:color="auto" w:fill="F0533D"/>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00" w:type="dxa"/>
            <w:vAlign w:val="bottom"/>
            <w:shd w:val="clear" w:color="auto" w:fill="F0533D"/>
          </w:tcPr>
          <w:p>
            <w:pPr>
              <w:spacing w:after="0" w:line="20" w:lineRule="exact"/>
              <w:rPr>
                <w:sz w:val="1"/>
                <w:szCs w:val="1"/>
                <w:color w:val="auto"/>
              </w:rPr>
            </w:pPr>
          </w:p>
        </w:tc>
        <w:tc>
          <w:tcPr>
            <w:tcW w:w="2680" w:type="dxa"/>
            <w:vAlign w:val="bottom"/>
            <w:shd w:val="clear" w:color="auto" w:fill="F0533D"/>
          </w:tcPr>
          <w:p>
            <w:pPr>
              <w:spacing w:after="0" w:line="20" w:lineRule="exact"/>
              <w:rPr>
                <w:sz w:val="1"/>
                <w:szCs w:val="1"/>
                <w:color w:val="auto"/>
              </w:rPr>
            </w:pPr>
          </w:p>
        </w:tc>
        <w:tc>
          <w:tcPr>
            <w:tcW w:w="240" w:type="dxa"/>
            <w:vAlign w:val="bottom"/>
            <w:tcBorders>
              <w:right w:val="single" w:sz="8" w:color="F0533D"/>
            </w:tcBorders>
          </w:tcPr>
          <w:p>
            <w:pPr>
              <w:spacing w:after="0" w:line="20" w:lineRule="exact"/>
              <w:rPr>
                <w:sz w:val="1"/>
                <w:szCs w:val="1"/>
                <w:color w:val="auto"/>
              </w:rPr>
            </w:pPr>
          </w:p>
        </w:tc>
        <w:tc>
          <w:tcPr>
            <w:tcW w:w="5840" w:type="dxa"/>
            <w:vAlign w:val="bottom"/>
            <w:shd w:val="clear" w:color="auto" w:fill="F0533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tbl>
      <w:tblPr>
        <w:tblLayout w:type="fixed"/>
        <w:tblInd w:w="220" w:type="dxa"/>
        <w:tblCellMar>
          <w:top w:w="0" w:type="dxa"/>
          <w:left w:w="0" w:type="dxa"/>
          <w:bottom w:w="0" w:type="dxa"/>
          <w:right w:w="0" w:type="dxa"/>
        </w:tblCellMar>
      </w:tblPr>
      <w:tr>
        <w:trPr>
          <w:trHeight w:val="442"/>
        </w:trPr>
        <w:tc>
          <w:tcPr>
            <w:tcW w:w="2400" w:type="dxa"/>
            <w:vAlign w:val="bottom"/>
          </w:tcPr>
          <w:p>
            <w:pPr>
              <w:spacing w:after="0"/>
              <w:rPr>
                <w:sz w:val="20"/>
                <w:szCs w:val="20"/>
                <w:color w:val="auto"/>
              </w:rPr>
            </w:pPr>
            <w:r>
              <w:rPr>
                <w:rFonts w:ascii="Arial" w:cs="Arial" w:eastAsia="Arial" w:hAnsi="Arial"/>
                <w:sz w:val="36"/>
                <w:szCs w:val="36"/>
                <w:color w:val="F0533D"/>
              </w:rPr>
              <w:t>$15.1 billion</w:t>
            </w:r>
          </w:p>
        </w:tc>
        <w:tc>
          <w:tcPr>
            <w:tcW w:w="2320" w:type="dxa"/>
            <w:vAlign w:val="bottom"/>
          </w:tcPr>
          <w:p>
            <w:pPr>
              <w:ind w:left="480"/>
              <w:spacing w:after="0"/>
              <w:rPr>
                <w:sz w:val="20"/>
                <w:szCs w:val="20"/>
                <w:color w:val="auto"/>
              </w:rPr>
            </w:pPr>
            <w:r>
              <w:rPr>
                <w:rFonts w:ascii="Arial" w:cs="Arial" w:eastAsia="Arial" w:hAnsi="Arial"/>
                <w:sz w:val="36"/>
                <w:szCs w:val="36"/>
                <w:color w:val="F0533D"/>
              </w:rPr>
              <w:t>$2.6 billion</w:t>
            </w:r>
          </w:p>
        </w:tc>
        <w:tc>
          <w:tcPr>
            <w:tcW w:w="1940" w:type="dxa"/>
            <w:vAlign w:val="bottom"/>
          </w:tcPr>
          <w:p>
            <w:pPr>
              <w:ind w:left="100"/>
              <w:spacing w:after="0"/>
              <w:rPr>
                <w:sz w:val="20"/>
                <w:szCs w:val="20"/>
                <w:color w:val="auto"/>
              </w:rPr>
            </w:pPr>
            <w:r>
              <w:rPr>
                <w:rFonts w:ascii="Arial" w:cs="Arial" w:eastAsia="Arial" w:hAnsi="Arial"/>
                <w:sz w:val="36"/>
                <w:szCs w:val="36"/>
                <w:color w:val="F0533D"/>
              </w:rPr>
              <w:t>$4.8 billion</w:t>
            </w:r>
          </w:p>
        </w:tc>
        <w:tc>
          <w:tcPr>
            <w:tcW w:w="2020" w:type="dxa"/>
            <w:vAlign w:val="bottom"/>
          </w:tcPr>
          <w:p>
            <w:pPr>
              <w:ind w:left="100"/>
              <w:spacing w:after="0"/>
              <w:rPr>
                <w:sz w:val="20"/>
                <w:szCs w:val="20"/>
                <w:color w:val="auto"/>
              </w:rPr>
            </w:pPr>
            <w:r>
              <w:rPr>
                <w:rFonts w:ascii="Arial" w:cs="Arial" w:eastAsia="Arial" w:hAnsi="Arial"/>
                <w:sz w:val="36"/>
                <w:szCs w:val="36"/>
                <w:color w:val="F0533D"/>
                <w:w w:val="98"/>
              </w:rPr>
              <w:t>$304 million</w:t>
            </w:r>
          </w:p>
        </w:tc>
      </w:tr>
      <w:tr>
        <w:trPr>
          <w:trHeight w:val="217"/>
        </w:trPr>
        <w:tc>
          <w:tcPr>
            <w:tcW w:w="2400" w:type="dxa"/>
            <w:vAlign w:val="bottom"/>
          </w:tcPr>
          <w:p>
            <w:pPr>
              <w:spacing w:after="0"/>
              <w:rPr>
                <w:sz w:val="20"/>
                <w:szCs w:val="20"/>
                <w:color w:val="auto"/>
              </w:rPr>
            </w:pPr>
            <w:r>
              <w:rPr>
                <w:rFonts w:ascii="Arial" w:cs="Arial" w:eastAsia="Arial" w:hAnsi="Arial"/>
                <w:sz w:val="16"/>
                <w:szCs w:val="16"/>
                <w:b w:val="1"/>
                <w:bCs w:val="1"/>
                <w:color w:val="F0533D"/>
              </w:rPr>
              <w:t>Fiscal 2026 revenue</w:t>
            </w:r>
          </w:p>
        </w:tc>
        <w:tc>
          <w:tcPr>
            <w:tcW w:w="2320" w:type="dxa"/>
            <w:vAlign w:val="bottom"/>
          </w:tcPr>
          <w:p>
            <w:pPr>
              <w:ind w:left="480"/>
              <w:spacing w:after="0"/>
              <w:rPr>
                <w:sz w:val="20"/>
                <w:szCs w:val="20"/>
                <w:color w:val="auto"/>
              </w:rPr>
            </w:pPr>
            <w:r>
              <w:rPr>
                <w:rFonts w:ascii="Arial" w:cs="Arial" w:eastAsia="Arial" w:hAnsi="Arial"/>
                <w:sz w:val="16"/>
                <w:szCs w:val="16"/>
                <w:b w:val="1"/>
                <w:bCs w:val="1"/>
                <w:color w:val="F0533D"/>
              </w:rPr>
              <w:t>Cash</w:t>
            </w:r>
          </w:p>
        </w:tc>
        <w:tc>
          <w:tcPr>
            <w:tcW w:w="1940" w:type="dxa"/>
            <w:vAlign w:val="bottom"/>
          </w:tcPr>
          <w:p>
            <w:pPr>
              <w:ind w:left="100"/>
              <w:spacing w:after="0"/>
              <w:rPr>
                <w:sz w:val="20"/>
                <w:szCs w:val="20"/>
                <w:color w:val="auto"/>
              </w:rPr>
            </w:pPr>
            <w:r>
              <w:rPr>
                <w:rFonts w:ascii="Arial" w:cs="Arial" w:eastAsia="Arial" w:hAnsi="Arial"/>
                <w:sz w:val="16"/>
                <w:szCs w:val="16"/>
                <w:b w:val="1"/>
                <w:bCs w:val="1"/>
                <w:color w:val="F0533D"/>
              </w:rPr>
              <w:t>Available liquidity</w:t>
            </w:r>
            <w:r>
              <w:rPr>
                <w:rFonts w:ascii="Arial" w:cs="Arial" w:eastAsia="Arial" w:hAnsi="Arial"/>
                <w:sz w:val="16"/>
                <w:szCs w:val="16"/>
                <w:b w:val="1"/>
                <w:bCs w:val="1"/>
                <w:color w:val="F0533D"/>
                <w:vertAlign w:val="superscript"/>
              </w:rPr>
              <w:t>*</w:t>
            </w:r>
          </w:p>
        </w:tc>
        <w:tc>
          <w:tcPr>
            <w:tcW w:w="2020" w:type="dxa"/>
            <w:vAlign w:val="bottom"/>
          </w:tcPr>
          <w:p>
            <w:pPr>
              <w:ind w:left="100"/>
              <w:spacing w:after="0"/>
              <w:rPr>
                <w:sz w:val="20"/>
                <w:szCs w:val="20"/>
                <w:color w:val="auto"/>
              </w:rPr>
            </w:pPr>
            <w:r>
              <w:rPr>
                <w:rFonts w:ascii="Arial" w:cs="Arial" w:eastAsia="Arial" w:hAnsi="Arial"/>
                <w:sz w:val="16"/>
                <w:szCs w:val="16"/>
                <w:b w:val="1"/>
                <w:bCs w:val="1"/>
                <w:color w:val="F0533D"/>
              </w:rPr>
              <w:t>Returned value to</w:t>
            </w:r>
          </w:p>
        </w:tc>
      </w:tr>
      <w:tr>
        <w:trPr>
          <w:trHeight w:val="161"/>
        </w:trPr>
        <w:tc>
          <w:tcPr>
            <w:tcW w:w="2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20" w:type="dxa"/>
            <w:vAlign w:val="bottom"/>
          </w:tcPr>
          <w:p>
            <w:pPr>
              <w:ind w:left="100"/>
              <w:spacing w:after="0" w:line="161" w:lineRule="exact"/>
              <w:rPr>
                <w:sz w:val="20"/>
                <w:szCs w:val="20"/>
                <w:color w:val="auto"/>
              </w:rPr>
            </w:pPr>
            <w:r>
              <w:rPr>
                <w:rFonts w:ascii="Arial" w:cs="Arial" w:eastAsia="Arial" w:hAnsi="Arial"/>
                <w:sz w:val="16"/>
                <w:szCs w:val="16"/>
                <w:b w:val="1"/>
                <w:bCs w:val="1"/>
                <w:color w:val="F0533D"/>
              </w:rPr>
              <w:t>stockholders through</w:t>
            </w:r>
          </w:p>
        </w:tc>
      </w:tr>
      <w:tr>
        <w:trPr>
          <w:trHeight w:val="223"/>
        </w:trPr>
        <w:tc>
          <w:tcPr>
            <w:tcW w:w="24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20" w:type="dxa"/>
            <w:vAlign w:val="bottom"/>
          </w:tcPr>
          <w:p>
            <w:pPr>
              <w:ind w:left="100"/>
              <w:spacing w:after="0"/>
              <w:rPr>
                <w:sz w:val="20"/>
                <w:szCs w:val="20"/>
                <w:color w:val="auto"/>
              </w:rPr>
            </w:pPr>
            <w:r>
              <w:rPr>
                <w:rFonts w:ascii="Arial" w:cs="Arial" w:eastAsia="Arial" w:hAnsi="Arial"/>
                <w:sz w:val="16"/>
                <w:szCs w:val="16"/>
                <w:b w:val="1"/>
                <w:bCs w:val="1"/>
                <w:color w:val="F0533D"/>
              </w:rPr>
              <w:t>share repurchases</w:t>
            </w:r>
          </w:p>
        </w:tc>
      </w:tr>
    </w:tbl>
    <w:p>
      <w:pPr>
        <w:spacing w:after="0" w:line="9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OUR STRATEGIC FOCUS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81280</wp:posOffset>
            </wp:positionV>
            <wp:extent cx="5623560" cy="685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23560" cy="6858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sz w:val="1"/>
          <w:szCs w:val="1"/>
          <w:color w:val="auto"/>
        </w:rPr>
        <w:drawing>
          <wp:inline distT="0" distB="0" distL="0" distR="0">
            <wp:extent cx="59690" cy="23177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231775"/>
                    </a:xfrm>
                    <a:prstGeom prst="rect">
                      <a:avLst/>
                    </a:prstGeom>
                    <a:noFill/>
                    <a:ln>
                      <a:noFill/>
                    </a:ln>
                  </pic:spPr>
                </pic:pic>
              </a:graphicData>
            </a:graphic>
          </wp:inline>
        </w:drawing>
      </w:r>
      <w:r>
        <w:rPr>
          <w:rFonts w:ascii="Arial" w:cs="Arial" w:eastAsia="Arial" w:hAnsi="Arial"/>
          <w:sz w:val="19"/>
          <w:szCs w:val="19"/>
          <w:color w:val="FFFFFF"/>
        </w:rPr>
        <w:t xml:space="preserve"> Executing on our Three A’s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-161925</wp:posOffset>
            </wp:positionV>
            <wp:extent cx="5563235"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63235" cy="162560"/>
                    </a:xfrm>
                    <a:prstGeom prst="rect">
                      <a:avLst/>
                    </a:prstGeom>
                    <a:noFill/>
                  </pic:spPr>
                </pic:pic>
              </a:graphicData>
            </a:graphic>
          </wp:anchor>
        </w:drawing>
      </w:r>
    </w:p>
    <w:p>
      <w:pPr>
        <w:spacing w:after="0" w:line="2" w:lineRule="exact"/>
        <w:rPr>
          <w:sz w:val="20"/>
          <w:szCs w:val="20"/>
          <w:color w:val="auto"/>
        </w:rPr>
      </w:pPr>
    </w:p>
    <w:p>
      <w:pPr>
        <w:ind w:left="220"/>
        <w:spacing w:after="0"/>
        <w:tabs>
          <w:tab w:leader="none" w:pos="3180" w:val="left"/>
          <w:tab w:leader="none" w:pos="6240" w:val="left"/>
        </w:tabs>
        <w:rPr>
          <w:sz w:val="20"/>
          <w:szCs w:val="20"/>
          <w:color w:val="auto"/>
        </w:rPr>
      </w:pPr>
      <w:r>
        <w:rPr>
          <w:rFonts w:ascii="Arial" w:cs="Arial" w:eastAsia="Arial" w:hAnsi="Arial"/>
          <w:sz w:val="18"/>
          <w:szCs w:val="18"/>
          <w:b w:val="1"/>
          <w:bCs w:val="1"/>
          <w:color w:val="F0533D"/>
        </w:rPr>
        <w:t>Alliances</w:t>
      </w:r>
      <w:r>
        <w:rPr>
          <w:sz w:val="20"/>
          <w:szCs w:val="20"/>
          <w:color w:val="auto"/>
        </w:rPr>
        <w:tab/>
      </w:r>
      <w:r>
        <w:rPr>
          <w:rFonts w:ascii="Arial" w:cs="Arial" w:eastAsia="Arial" w:hAnsi="Arial"/>
          <w:sz w:val="18"/>
          <w:szCs w:val="18"/>
          <w:b w:val="1"/>
          <w:bCs w:val="1"/>
          <w:color w:val="F0533D"/>
        </w:rPr>
        <w:t>Advanced Delivery</w:t>
      </w:r>
      <w:r>
        <w:rPr>
          <w:sz w:val="20"/>
          <w:szCs w:val="20"/>
          <w:color w:val="auto"/>
        </w:rPr>
        <w:tab/>
      </w:r>
      <w:r>
        <w:rPr>
          <w:rFonts w:ascii="Arial" w:cs="Arial" w:eastAsia="Arial" w:hAnsi="Arial"/>
          <w:sz w:val="17"/>
          <w:szCs w:val="17"/>
          <w:b w:val="1"/>
          <w:bCs w:val="1"/>
          <w:color w:val="F0533D"/>
        </w:rPr>
        <w:t>Accounts</w:t>
      </w:r>
    </w:p>
    <w:p>
      <w:pPr>
        <w:sectPr>
          <w:pgSz w:w="11900" w:h="16838" w:orient="portrait"/>
          <w:cols w:equalWidth="0" w:num="1">
            <w:col w:w="9019"/>
          </w:cols>
          <w:pgMar w:left="1440" w:top="114" w:right="1440" w:bottom="1440" w:gutter="0" w:footer="0" w:header="0"/>
          <w:type w:val="continuous"/>
        </w:sectPr>
      </w:pPr>
    </w:p>
    <w:p>
      <w:pPr>
        <w:spacing w:after="0" w:line="54" w:lineRule="exact"/>
        <w:rPr>
          <w:sz w:val="20"/>
          <w:szCs w:val="20"/>
          <w:color w:val="auto"/>
        </w:rPr>
      </w:pPr>
    </w:p>
    <w:p>
      <w:pPr>
        <w:ind w:left="220"/>
        <w:spacing w:after="0" w:line="248" w:lineRule="auto"/>
        <w:rPr>
          <w:sz w:val="20"/>
          <w:szCs w:val="20"/>
          <w:color w:val="auto"/>
        </w:rPr>
      </w:pPr>
      <w:r>
        <w:rPr>
          <w:rFonts w:ascii="Arial" w:cs="Arial" w:eastAsia="Arial" w:hAnsi="Arial"/>
          <w:sz w:val="16"/>
          <w:szCs w:val="16"/>
          <w:color w:val="auto"/>
        </w:rPr>
        <w:t>Our alliances initiative is driving signings, certifications and revenues with our broad ecosystem of partners and capabilities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color w:val="auto"/>
        </w:rPr>
        <w:t>Our advanced delivery initiative is</w:t>
      </w:r>
      <w:r>
        <w:rPr>
          <w:sz w:val="20"/>
          <w:szCs w:val="20"/>
          <w:color w:val="auto"/>
        </w:rPr>
        <w:tab/>
      </w:r>
      <w:r>
        <w:rPr>
          <w:rFonts w:ascii="Arial" w:cs="Arial" w:eastAsia="Arial" w:hAnsi="Arial"/>
          <w:sz w:val="16"/>
          <w:szCs w:val="16"/>
          <w:color w:val="auto"/>
        </w:rPr>
        <w:t>Our accounts initiative is addressing</w:t>
      </w:r>
    </w:p>
    <w:p>
      <w:pPr>
        <w:spacing w:after="0" w:line="21"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color w:val="auto"/>
        </w:rPr>
        <w:t>transforming service delivery through</w:t>
      </w:r>
      <w:r>
        <w:rPr>
          <w:sz w:val="20"/>
          <w:szCs w:val="20"/>
          <w:color w:val="auto"/>
        </w:rPr>
        <w:tab/>
      </w:r>
      <w:r>
        <w:rPr>
          <w:rFonts w:ascii="Arial" w:cs="Arial" w:eastAsia="Arial" w:hAnsi="Arial"/>
          <w:sz w:val="16"/>
          <w:szCs w:val="16"/>
          <w:color w:val="auto"/>
        </w:rPr>
        <w:t>elements of our business with</w:t>
      </w:r>
    </w:p>
    <w:p>
      <w:pPr>
        <w:spacing w:after="0" w:line="5" w:lineRule="exact"/>
        <w:rPr>
          <w:sz w:val="20"/>
          <w:szCs w:val="20"/>
          <w:color w:val="auto"/>
        </w:rPr>
      </w:pPr>
    </w:p>
    <w:p>
      <w:pPr>
        <w:spacing w:after="0"/>
        <w:tabs>
          <w:tab w:leader="none" w:pos="3040" w:val="left"/>
        </w:tabs>
        <w:rPr>
          <w:sz w:val="20"/>
          <w:szCs w:val="20"/>
          <w:color w:val="auto"/>
        </w:rPr>
      </w:pPr>
      <w:r>
        <w:rPr>
          <w:rFonts w:ascii="Arial" w:cs="Arial" w:eastAsia="Arial" w:hAnsi="Arial"/>
          <w:sz w:val="16"/>
          <w:szCs w:val="16"/>
          <w:color w:val="auto"/>
        </w:rPr>
        <w:t>upskilling, automation and agentic AI</w:t>
      </w:r>
      <w:r>
        <w:rPr>
          <w:sz w:val="20"/>
          <w:szCs w:val="20"/>
          <w:color w:val="auto"/>
        </w:rPr>
        <w:tab/>
      </w:r>
      <w:r>
        <w:rPr>
          <w:rFonts w:ascii="Arial" w:cs="Arial" w:eastAsia="Arial" w:hAnsi="Arial"/>
          <w:sz w:val="16"/>
          <w:szCs w:val="16"/>
          <w:color w:val="auto"/>
        </w:rPr>
        <w:t>substandard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173355</wp:posOffset>
            </wp:positionV>
            <wp:extent cx="5623560" cy="685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23560" cy="68580"/>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2780" w:space="420"/>
            <w:col w:w="5819"/>
          </w:cols>
          <w:pgMar w:left="1440" w:top="114" w:right="1440" w:bottom="1440" w:gutter="0" w:footer="0" w:header="0"/>
          <w:type w:val="continuous"/>
        </w:sectPr>
      </w:pPr>
    </w:p>
    <w:p>
      <w:pPr>
        <w:ind w:left="80"/>
        <w:spacing w:after="0"/>
        <w:rPr>
          <w:sz w:val="20"/>
          <w:szCs w:val="20"/>
          <w:color w:val="auto"/>
        </w:rPr>
      </w:pPr>
      <w:r>
        <w:rPr>
          <w:sz w:val="1"/>
          <w:szCs w:val="1"/>
          <w:color w:val="auto"/>
        </w:rPr>
        <w:drawing>
          <wp:inline distT="0" distB="0" distL="0" distR="0">
            <wp:extent cx="59690" cy="231775"/>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690" cy="231775"/>
                    </a:xfrm>
                    <a:prstGeom prst="rect">
                      <a:avLst/>
                    </a:prstGeom>
                    <a:noFill/>
                    <a:ln>
                      <a:noFill/>
                    </a:ln>
                  </pic:spPr>
                </pic:pic>
              </a:graphicData>
            </a:graphic>
          </wp:inline>
        </w:drawing>
      </w:r>
      <w:r>
        <w:rPr>
          <w:rFonts w:ascii="Arial" w:cs="Arial" w:eastAsia="Arial" w:hAnsi="Arial"/>
          <w:sz w:val="19"/>
          <w:szCs w:val="19"/>
          <w:color w:val="FFFFFF"/>
        </w:rPr>
        <w:t xml:space="preserve"> Engaging with Customers with New Innovations and Technical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-162560</wp:posOffset>
            </wp:positionV>
            <wp:extent cx="5563235" cy="3600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63235" cy="360045"/>
                    </a:xfrm>
                    <a:prstGeom prst="rect">
                      <a:avLst/>
                    </a:prstGeom>
                    <a:noFill/>
                  </pic:spPr>
                </pic:pic>
              </a:graphicData>
            </a:graphic>
          </wp:anchor>
        </w:drawing>
      </w:r>
    </w:p>
    <w:p>
      <w:pPr>
        <w:spacing w:after="0" w:line="276"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6"/>
          <w:szCs w:val="16"/>
          <w:color w:val="auto"/>
        </w:rPr>
        <w:t>Design-led advisory and implementation services</w:t>
      </w:r>
      <w:r>
        <w:rPr>
          <w:sz w:val="20"/>
          <w:szCs w:val="20"/>
          <w:color w:val="auto"/>
        </w:rPr>
        <w:tab/>
      </w:r>
      <w:r>
        <w:rPr>
          <w:rFonts w:ascii="Arial" w:cs="Arial" w:eastAsia="Arial" w:hAnsi="Arial"/>
          <w:sz w:val="16"/>
          <w:szCs w:val="16"/>
          <w:color w:val="auto"/>
        </w:rPr>
        <w:t>An AI-powered open integration digital platform</w:t>
      </w:r>
    </w:p>
    <w:p>
      <w:pPr>
        <w:spacing w:after="0" w:line="235"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6"/>
          <w:szCs w:val="16"/>
          <w:color w:val="auto"/>
        </w:rPr>
        <w:t>Providing our customers access to proven expertise</w:t>
      </w:r>
      <w:r>
        <w:rPr>
          <w:sz w:val="20"/>
          <w:szCs w:val="20"/>
          <w:color w:val="auto"/>
        </w:rPr>
        <w:tab/>
      </w:r>
      <w:r>
        <w:rPr>
          <w:rFonts w:ascii="Arial" w:cs="Arial" w:eastAsia="Arial" w:hAnsi="Arial"/>
          <w:sz w:val="16"/>
          <w:szCs w:val="16"/>
          <w:color w:val="auto"/>
        </w:rPr>
        <w:t>Giving our customers real-time insights into their</w:t>
      </w:r>
    </w:p>
    <w:p>
      <w:pPr>
        <w:spacing w:after="0" w:line="21"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6"/>
          <w:szCs w:val="16"/>
          <w:color w:val="auto"/>
        </w:rPr>
        <w:t>to address their most complex business and</w:t>
      </w:r>
      <w:r>
        <w:rPr>
          <w:sz w:val="20"/>
          <w:szCs w:val="20"/>
          <w:color w:val="auto"/>
        </w:rPr>
        <w:tab/>
      </w:r>
      <w:r>
        <w:rPr>
          <w:rFonts w:ascii="Arial" w:cs="Arial" w:eastAsia="Arial" w:hAnsi="Arial"/>
          <w:sz w:val="16"/>
          <w:szCs w:val="16"/>
          <w:color w:val="auto"/>
        </w:rPr>
        <w:t>complex IT estates and unprecedented control over</w:t>
      </w:r>
    </w:p>
    <w:p>
      <w:pPr>
        <w:spacing w:after="0" w:line="5"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6"/>
          <w:szCs w:val="16"/>
          <w:color w:val="auto"/>
        </w:rPr>
        <w:t>technology challenges</w:t>
      </w:r>
      <w:r>
        <w:rPr>
          <w:sz w:val="20"/>
          <w:szCs w:val="20"/>
          <w:color w:val="auto"/>
        </w:rPr>
        <w:tab/>
      </w:r>
      <w:r>
        <w:rPr>
          <w:rFonts w:ascii="Arial" w:cs="Arial" w:eastAsia="Arial" w:hAnsi="Arial"/>
          <w:sz w:val="16"/>
          <w:szCs w:val="16"/>
          <w:color w:val="auto"/>
        </w:rPr>
        <w:t>customizing their mission-critical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70485</wp:posOffset>
            </wp:positionV>
            <wp:extent cx="5623560" cy="68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23560" cy="68580"/>
                    </a:xfrm>
                    <a:prstGeom prst="rect">
                      <a:avLst/>
                    </a:prstGeom>
                    <a:noFill/>
                  </pic:spPr>
                </pic:pic>
              </a:graphicData>
            </a:graphic>
          </wp:anchor>
        </w:drawing>
      </w:r>
    </w:p>
    <w:p>
      <w:pPr>
        <w:spacing w:after="0" w:line="51"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2317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231775"/>
                    </a:xfrm>
                    <a:prstGeom prst="rect">
                      <a:avLst/>
                    </a:prstGeom>
                    <a:noFill/>
                    <a:ln>
                      <a:noFill/>
                    </a:ln>
                  </pic:spPr>
                </pic:pic>
              </a:graphicData>
            </a:graphic>
          </wp:inline>
        </w:drawing>
      </w:r>
      <w:r>
        <w:rPr>
          <w:rFonts w:ascii="Arial" w:cs="Arial" w:eastAsia="Arial" w:hAnsi="Arial"/>
          <w:sz w:val="19"/>
          <w:szCs w:val="19"/>
          <w:color w:val="FFFFFF"/>
        </w:rPr>
        <w:t xml:space="preserve"> Our Culture of Shared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-162560</wp:posOffset>
            </wp:positionV>
            <wp:extent cx="5554980"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ind w:left="240" w:right="299"/>
        <w:spacing w:after="0" w:line="248" w:lineRule="auto"/>
        <w:rPr>
          <w:sz w:val="20"/>
          <w:szCs w:val="20"/>
          <w:color w:val="auto"/>
        </w:rPr>
      </w:pPr>
      <w:r>
        <w:rPr>
          <w:rFonts w:ascii="Arial" w:cs="Arial" w:eastAsia="Arial" w:hAnsi="Arial"/>
          <w:sz w:val="16"/>
          <w:szCs w:val="16"/>
          <w:color w:val="auto"/>
        </w:rPr>
        <w:t>We have built a differentiated, services-based culture — that we call The Kyndryl Way — to attract, retain, develop and engage a highly skilled workforce. Core to that culture is powering human progress to drive a positive impact on our business aligned with our corporate values by supporting environmental stewardship, fostering employees’ sense of belonging and promoting good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57785</wp:posOffset>
            </wp:positionV>
            <wp:extent cx="12344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34" w:lineRule="exact"/>
        <w:rPr>
          <w:sz w:val="20"/>
          <w:szCs w:val="20"/>
          <w:color w:val="auto"/>
        </w:rPr>
      </w:pPr>
    </w:p>
    <w:p>
      <w:pPr>
        <w:ind w:left="260" w:right="699" w:hanging="184"/>
        <w:spacing w:after="0" w:line="199" w:lineRule="auto"/>
        <w:tabs>
          <w:tab w:leader="none" w:pos="260" w:val="left"/>
        </w:tabs>
        <w:numPr>
          <w:ilvl w:val="0"/>
          <w:numId w:val="34"/>
        </w:numPr>
        <w:rPr>
          <w:rFonts w:ascii="Arial" w:cs="Arial" w:eastAsia="Arial" w:hAnsi="Arial"/>
          <w:sz w:val="23"/>
          <w:szCs w:val="23"/>
          <w:color w:val="auto"/>
          <w:vertAlign w:val="superscript"/>
        </w:rPr>
      </w:pPr>
      <w:r>
        <w:rPr>
          <w:rFonts w:ascii="Arial" w:cs="Arial" w:eastAsia="Arial" w:hAnsi="Arial"/>
          <w:sz w:val="15"/>
          <w:szCs w:val="15"/>
          <w:color w:val="auto"/>
        </w:rPr>
        <w:t>Consists of $2.6 billion of cash and $2.2 billion of undrawn senior unsecured credit facility; numbers may not add due to rounding.</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Governance Highlights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08"/>
        </w:trPr>
        <w:tc>
          <w:tcPr>
            <w:tcW w:w="100" w:type="dxa"/>
            <w:vAlign w:val="bottom"/>
            <w:shd w:val="clear" w:color="auto" w:fill="F1F2F2"/>
          </w:tcPr>
          <w:p>
            <w:pPr>
              <w:spacing w:after="0"/>
              <w:rPr>
                <w:sz w:val="9"/>
                <w:szCs w:val="9"/>
                <w:color w:val="auto"/>
              </w:rPr>
            </w:pPr>
          </w:p>
        </w:tc>
        <w:tc>
          <w:tcPr>
            <w:tcW w:w="4620" w:type="dxa"/>
            <w:vAlign w:val="bottom"/>
            <w:vMerge w:val="restart"/>
            <w:shd w:val="clear" w:color="auto" w:fill="F1F2F2"/>
          </w:tcPr>
          <w:p>
            <w:pPr>
              <w:ind w:left="60"/>
              <w:spacing w:after="0"/>
              <w:rPr>
                <w:sz w:val="20"/>
                <w:szCs w:val="20"/>
                <w:color w:val="auto"/>
              </w:rPr>
            </w:pPr>
            <w:r>
              <w:rPr>
                <w:rFonts w:ascii="Arial" w:cs="Arial" w:eastAsia="Arial" w:hAnsi="Arial"/>
                <w:sz w:val="16"/>
                <w:szCs w:val="16"/>
                <w:b w:val="1"/>
                <w:bCs w:val="1"/>
                <w:color w:val="F0533D"/>
              </w:rPr>
              <w:t>Effective Board Leadership,</w:t>
            </w:r>
          </w:p>
        </w:tc>
        <w:tc>
          <w:tcPr>
            <w:tcW w:w="1040" w:type="dxa"/>
            <w:vAlign w:val="bottom"/>
            <w:tcBorders>
              <w:right w:val="single" w:sz="8" w:color="F1F2F2"/>
            </w:tcBorders>
            <w:shd w:val="clear" w:color="auto" w:fill="F1F2F2"/>
          </w:tcPr>
          <w:p>
            <w:pPr>
              <w:spacing w:after="0"/>
              <w:rPr>
                <w:sz w:val="9"/>
                <w:szCs w:val="9"/>
                <w:color w:val="auto"/>
              </w:rPr>
            </w:pPr>
          </w:p>
        </w:tc>
        <w:tc>
          <w:tcPr>
            <w:tcW w:w="140" w:type="dxa"/>
            <w:vAlign w:val="bottom"/>
            <w:shd w:val="clear" w:color="auto" w:fill="F1F2F2"/>
          </w:tcPr>
          <w:p>
            <w:pPr>
              <w:spacing w:after="0"/>
              <w:rPr>
                <w:sz w:val="9"/>
                <w:szCs w:val="9"/>
                <w:color w:val="auto"/>
              </w:rPr>
            </w:pPr>
          </w:p>
        </w:tc>
        <w:tc>
          <w:tcPr>
            <w:tcW w:w="1840" w:type="dxa"/>
            <w:vAlign w:val="bottom"/>
            <w:vMerge w:val="restart"/>
            <w:shd w:val="clear" w:color="auto" w:fill="F1F2F2"/>
          </w:tcPr>
          <w:p>
            <w:pPr>
              <w:spacing w:after="0"/>
              <w:rPr>
                <w:sz w:val="20"/>
                <w:szCs w:val="20"/>
                <w:color w:val="auto"/>
              </w:rPr>
            </w:pPr>
            <w:r>
              <w:rPr>
                <w:rFonts w:ascii="Arial" w:cs="Arial" w:eastAsia="Arial" w:hAnsi="Arial"/>
                <w:sz w:val="16"/>
                <w:szCs w:val="16"/>
                <w:b w:val="1"/>
                <w:bCs w:val="1"/>
                <w:color w:val="F0533D"/>
              </w:rPr>
              <w:t>Stockholder Rights and</w:t>
            </w:r>
          </w:p>
        </w:tc>
        <w:tc>
          <w:tcPr>
            <w:tcW w:w="112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00" w:type="dxa"/>
            <w:vAlign w:val="bottom"/>
            <w:shd w:val="clear" w:color="auto" w:fill="F1F2F2"/>
          </w:tcPr>
          <w:p>
            <w:pPr>
              <w:spacing w:after="0"/>
              <w:rPr>
                <w:sz w:val="18"/>
                <w:szCs w:val="18"/>
                <w:color w:val="auto"/>
              </w:rPr>
            </w:pPr>
          </w:p>
        </w:tc>
        <w:tc>
          <w:tcPr>
            <w:tcW w:w="4620" w:type="dxa"/>
            <w:vAlign w:val="bottom"/>
            <w:vMerge w:val="continue"/>
            <w:shd w:val="clear" w:color="auto" w:fill="F1F2F2"/>
          </w:tcPr>
          <w:p>
            <w:pPr>
              <w:spacing w:after="0"/>
              <w:rPr>
                <w:sz w:val="18"/>
                <w:szCs w:val="18"/>
                <w:color w:val="auto"/>
              </w:rPr>
            </w:pPr>
          </w:p>
        </w:tc>
        <w:tc>
          <w:tcPr>
            <w:tcW w:w="1040" w:type="dxa"/>
            <w:vAlign w:val="bottom"/>
            <w:tcBorders>
              <w:right w:val="single" w:sz="8" w:color="939598"/>
            </w:tcBorders>
            <w:shd w:val="clear" w:color="auto" w:fill="F1F2F2"/>
          </w:tcPr>
          <w:p>
            <w:pPr>
              <w:spacing w:after="0"/>
              <w:rPr>
                <w:sz w:val="18"/>
                <w:szCs w:val="18"/>
                <w:color w:val="auto"/>
              </w:rPr>
            </w:pPr>
          </w:p>
        </w:tc>
        <w:tc>
          <w:tcPr>
            <w:tcW w:w="140" w:type="dxa"/>
            <w:vAlign w:val="bottom"/>
            <w:shd w:val="clear" w:color="auto" w:fill="F1F2F2"/>
          </w:tcPr>
          <w:p>
            <w:pPr>
              <w:spacing w:after="0"/>
              <w:rPr>
                <w:sz w:val="18"/>
                <w:szCs w:val="18"/>
                <w:color w:val="auto"/>
              </w:rPr>
            </w:pPr>
          </w:p>
        </w:tc>
        <w:tc>
          <w:tcPr>
            <w:tcW w:w="1840" w:type="dxa"/>
            <w:vAlign w:val="bottom"/>
            <w:vMerge w:val="continue"/>
            <w:shd w:val="clear" w:color="auto" w:fill="F1F2F2"/>
          </w:tcPr>
          <w:p>
            <w:pPr>
              <w:spacing w:after="0"/>
              <w:rPr>
                <w:sz w:val="18"/>
                <w:szCs w:val="18"/>
                <w:color w:val="auto"/>
              </w:rPr>
            </w:pPr>
          </w:p>
        </w:tc>
        <w:tc>
          <w:tcPr>
            <w:tcW w:w="1120" w:type="dxa"/>
            <w:vAlign w:val="bottom"/>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100" w:type="dxa"/>
            <w:vAlign w:val="bottom"/>
            <w:tcBorders>
              <w:bottom w:val="single" w:sz="8" w:color="F1F2F2"/>
            </w:tcBorders>
            <w:shd w:val="clear" w:color="auto" w:fill="F1F2F2"/>
          </w:tcPr>
          <w:p>
            <w:pPr>
              <w:spacing w:after="0"/>
              <w:rPr>
                <w:sz w:val="24"/>
                <w:szCs w:val="24"/>
                <w:color w:val="auto"/>
              </w:rPr>
            </w:pPr>
          </w:p>
        </w:tc>
        <w:tc>
          <w:tcPr>
            <w:tcW w:w="4620" w:type="dxa"/>
            <w:vAlign w:val="bottom"/>
            <w:tcBorders>
              <w:bottom w:val="single" w:sz="8" w:color="F1F2F2"/>
            </w:tcBorders>
            <w:shd w:val="clear" w:color="auto" w:fill="F1F2F2"/>
          </w:tcPr>
          <w:p>
            <w:pPr>
              <w:ind w:left="60"/>
              <w:spacing w:after="0"/>
              <w:rPr>
                <w:sz w:val="20"/>
                <w:szCs w:val="20"/>
                <w:color w:val="auto"/>
              </w:rPr>
            </w:pPr>
            <w:r>
              <w:rPr>
                <w:rFonts w:ascii="Arial" w:cs="Arial" w:eastAsia="Arial" w:hAnsi="Arial"/>
                <w:sz w:val="16"/>
                <w:szCs w:val="16"/>
                <w:b w:val="1"/>
                <w:bCs w:val="1"/>
                <w:color w:val="F0533D"/>
              </w:rPr>
              <w:t>Independent Oversight and Strong Corporate Governance</w:t>
            </w:r>
          </w:p>
        </w:tc>
        <w:tc>
          <w:tcPr>
            <w:tcW w:w="1040" w:type="dxa"/>
            <w:vAlign w:val="bottom"/>
            <w:tcBorders>
              <w:bottom w:val="single" w:sz="8" w:color="F1F2F2"/>
              <w:right w:val="single" w:sz="8" w:color="939598"/>
            </w:tcBorders>
            <w:shd w:val="clear" w:color="auto" w:fill="F1F2F2"/>
          </w:tcPr>
          <w:p>
            <w:pPr>
              <w:ind w:left="540"/>
              <w:spacing w:after="0"/>
              <w:rPr>
                <w:sz w:val="20"/>
                <w:szCs w:val="20"/>
                <w:color w:val="auto"/>
              </w:rPr>
            </w:pPr>
            <w:r>
              <w:rPr>
                <w:rFonts w:ascii="Arial" w:cs="Arial" w:eastAsia="Arial" w:hAnsi="Arial"/>
                <w:sz w:val="16"/>
                <w:szCs w:val="16"/>
                <w:b w:val="1"/>
                <w:bCs w:val="1"/>
                <w:color w:val="F0533D"/>
              </w:rPr>
              <w:t> </w:t>
            </w:r>
          </w:p>
        </w:tc>
        <w:tc>
          <w:tcPr>
            <w:tcW w:w="140" w:type="dxa"/>
            <w:vAlign w:val="bottom"/>
            <w:tcBorders>
              <w:bottom w:val="single" w:sz="8" w:color="F1F2F2"/>
            </w:tcBorders>
            <w:shd w:val="clear" w:color="auto" w:fill="F1F2F2"/>
          </w:tcPr>
          <w:p>
            <w:pPr>
              <w:spacing w:after="0"/>
              <w:rPr>
                <w:sz w:val="24"/>
                <w:szCs w:val="24"/>
                <w:color w:val="auto"/>
              </w:rPr>
            </w:pPr>
          </w:p>
        </w:tc>
        <w:tc>
          <w:tcPr>
            <w:tcW w:w="1840" w:type="dxa"/>
            <w:vAlign w:val="bottom"/>
            <w:tcBorders>
              <w:bottom w:val="single" w:sz="8" w:color="F1F2F2"/>
            </w:tcBorders>
            <w:shd w:val="clear" w:color="auto" w:fill="F1F2F2"/>
          </w:tcPr>
          <w:p>
            <w:pPr>
              <w:spacing w:after="0"/>
              <w:rPr>
                <w:sz w:val="20"/>
                <w:szCs w:val="20"/>
                <w:color w:val="auto"/>
              </w:rPr>
            </w:pPr>
            <w:r>
              <w:rPr>
                <w:rFonts w:ascii="Arial" w:cs="Arial" w:eastAsia="Arial" w:hAnsi="Arial"/>
                <w:sz w:val="16"/>
                <w:szCs w:val="16"/>
                <w:b w:val="1"/>
                <w:bCs w:val="1"/>
                <w:color w:val="F0533D"/>
              </w:rPr>
              <w:t>Accountability</w:t>
            </w:r>
          </w:p>
        </w:tc>
        <w:tc>
          <w:tcPr>
            <w:tcW w:w="1120" w:type="dxa"/>
            <w:vAlign w:val="bottom"/>
            <w:tcBorders>
              <w:bottom w:val="single" w:sz="8" w:color="F1F2F2"/>
            </w:tcBorders>
            <w:shd w:val="clear" w:color="auto" w:fill="F1F2F2"/>
          </w:tcPr>
          <w:p>
            <w:pPr>
              <w:ind w:left="540"/>
              <w:spacing w:after="0"/>
              <w:rPr>
                <w:sz w:val="20"/>
                <w:szCs w:val="20"/>
                <w:color w:val="auto"/>
              </w:rPr>
            </w:pPr>
            <w:r>
              <w:rPr>
                <w:rFonts w:ascii="Arial" w:cs="Arial" w:eastAsia="Arial" w:hAnsi="Arial"/>
                <w:sz w:val="16"/>
                <w:szCs w:val="16"/>
                <w:b w:val="1"/>
                <w:bCs w:val="1"/>
                <w:color w:val="F0533D"/>
              </w:rPr>
              <w:t> </w:t>
            </w:r>
          </w:p>
        </w:tc>
        <w:tc>
          <w:tcPr>
            <w:tcW w:w="0" w:type="dxa"/>
            <w:vAlign w:val="bottom"/>
          </w:tcPr>
          <w:p>
            <w:pPr>
              <w:spacing w:after="0"/>
              <w:rPr>
                <w:sz w:val="1"/>
                <w:szCs w:val="1"/>
                <w:color w:val="auto"/>
              </w:rPr>
            </w:pPr>
          </w:p>
        </w:tc>
      </w:tr>
      <w:tr>
        <w:trPr>
          <w:trHeight w:val="20"/>
        </w:trPr>
        <w:tc>
          <w:tcPr>
            <w:tcW w:w="100" w:type="dxa"/>
            <w:vAlign w:val="bottom"/>
            <w:shd w:val="clear" w:color="auto" w:fill="F0533D"/>
          </w:tcPr>
          <w:p>
            <w:pPr>
              <w:spacing w:after="0" w:line="20" w:lineRule="exact"/>
              <w:rPr>
                <w:sz w:val="1"/>
                <w:szCs w:val="1"/>
                <w:color w:val="auto"/>
              </w:rPr>
            </w:pPr>
          </w:p>
        </w:tc>
        <w:tc>
          <w:tcPr>
            <w:tcW w:w="4620" w:type="dxa"/>
            <w:vAlign w:val="bottom"/>
            <w:shd w:val="clear" w:color="auto" w:fill="F0533D"/>
          </w:tcPr>
          <w:p>
            <w:pPr>
              <w:spacing w:after="0" w:line="20" w:lineRule="exact"/>
              <w:rPr>
                <w:sz w:val="1"/>
                <w:szCs w:val="1"/>
                <w:color w:val="auto"/>
              </w:rPr>
            </w:pPr>
          </w:p>
        </w:tc>
        <w:tc>
          <w:tcPr>
            <w:tcW w:w="1040" w:type="dxa"/>
            <w:vAlign w:val="bottom"/>
            <w:tcBorders>
              <w:right w:val="single" w:sz="8" w:color="F0533D"/>
            </w:tcBorders>
            <w:shd w:val="clear" w:color="auto" w:fill="F0533D"/>
          </w:tcPr>
          <w:p>
            <w:pPr>
              <w:spacing w:after="0" w:line="20" w:lineRule="exact"/>
              <w:rPr>
                <w:sz w:val="1"/>
                <w:szCs w:val="1"/>
                <w:color w:val="auto"/>
              </w:rPr>
            </w:pPr>
          </w:p>
        </w:tc>
        <w:tc>
          <w:tcPr>
            <w:tcW w:w="140" w:type="dxa"/>
            <w:vAlign w:val="bottom"/>
            <w:shd w:val="clear" w:color="auto" w:fill="F0533D"/>
          </w:tcPr>
          <w:p>
            <w:pPr>
              <w:spacing w:after="0" w:line="20" w:lineRule="exact"/>
              <w:rPr>
                <w:sz w:val="1"/>
                <w:szCs w:val="1"/>
                <w:color w:val="auto"/>
              </w:rPr>
            </w:pPr>
          </w:p>
        </w:tc>
        <w:tc>
          <w:tcPr>
            <w:tcW w:w="1840" w:type="dxa"/>
            <w:vAlign w:val="bottom"/>
            <w:shd w:val="clear" w:color="auto" w:fill="F0533D"/>
          </w:tcPr>
          <w:p>
            <w:pPr>
              <w:spacing w:after="0" w:line="20" w:lineRule="exact"/>
              <w:rPr>
                <w:sz w:val="1"/>
                <w:szCs w:val="1"/>
                <w:color w:val="auto"/>
              </w:rPr>
            </w:pPr>
          </w:p>
        </w:tc>
        <w:tc>
          <w:tcPr>
            <w:tcW w:w="1120" w:type="dxa"/>
            <w:vAlign w:val="bottom"/>
            <w:shd w:val="clear" w:color="auto" w:fill="F0533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0</wp:posOffset>
            </wp:positionV>
            <wp:extent cx="8255" cy="2065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2065655"/>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-342265</wp:posOffset>
            </wp:positionV>
            <wp:extent cx="21463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4630" cy="17970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-342265</wp:posOffset>
            </wp:positionV>
            <wp:extent cx="214630" cy="1797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4630" cy="17970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94" w:lineRule="exact"/>
        <w:rPr>
          <w:sz w:val="20"/>
          <w:szCs w:val="20"/>
          <w:color w:val="auto"/>
        </w:rPr>
      </w:pPr>
    </w:p>
    <w:p>
      <w:pPr>
        <w:ind w:left="440" w:hanging="89"/>
        <w:spacing w:after="0" w:line="254" w:lineRule="auto"/>
        <w:rPr>
          <w:sz w:val="20"/>
          <w:szCs w:val="20"/>
          <w:color w:val="auto"/>
        </w:rPr>
      </w:pPr>
      <w:r>
        <w:rPr>
          <w:rFonts w:ascii="Arial" w:cs="Arial" w:eastAsia="Arial" w:hAnsi="Arial"/>
          <w:sz w:val="16"/>
          <w:szCs w:val="16"/>
          <w:color w:val="auto"/>
        </w:rPr>
        <w:t>  Regular reviews of the Company’s long-term business strategy, with an annual dedicated session for a full strategic review with senior management and subject matter experts</w:t>
      </w:r>
    </w:p>
    <w:p>
      <w:pPr>
        <w:spacing w:after="0" w:line="20" w:lineRule="exact"/>
        <w:rPr>
          <w:sz w:val="20"/>
          <w:szCs w:val="20"/>
          <w:color w:val="auto"/>
        </w:rPr>
      </w:pPr>
    </w:p>
    <w:p>
      <w:pPr>
        <w:ind w:left="440" w:right="40" w:hanging="89"/>
        <w:spacing w:after="0" w:line="281" w:lineRule="auto"/>
        <w:rPr>
          <w:sz w:val="20"/>
          <w:szCs w:val="20"/>
          <w:color w:val="auto"/>
        </w:rPr>
      </w:pPr>
      <w:r>
        <w:rPr>
          <w:rFonts w:ascii="Arial" w:cs="Arial" w:eastAsia="Arial" w:hAnsi="Arial"/>
          <w:sz w:val="16"/>
          <w:szCs w:val="16"/>
          <w:color w:val="auto"/>
        </w:rPr>
        <w:t>  100% of Committee members are independent</w:t>
      </w:r>
    </w:p>
    <w:p>
      <w:pPr>
        <w:spacing w:after="0" w:line="1" w:lineRule="exact"/>
        <w:rPr>
          <w:sz w:val="20"/>
          <w:szCs w:val="20"/>
          <w:color w:val="auto"/>
        </w:rPr>
      </w:pPr>
    </w:p>
    <w:p>
      <w:pPr>
        <w:ind w:left="440" w:right="20" w:hanging="89"/>
        <w:spacing w:after="0" w:line="266" w:lineRule="auto"/>
        <w:rPr>
          <w:sz w:val="20"/>
          <w:szCs w:val="20"/>
          <w:color w:val="auto"/>
        </w:rPr>
      </w:pPr>
      <w:r>
        <w:rPr>
          <w:rFonts w:ascii="Arial" w:cs="Arial" w:eastAsia="Arial" w:hAnsi="Arial"/>
          <w:sz w:val="16"/>
          <w:szCs w:val="16"/>
          <w:color w:val="auto"/>
        </w:rPr>
        <w:t>  Lead Independent Director tasked with robust and well-defined responsibilities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No “overboarded” directors</w:t>
      </w:r>
    </w:p>
    <w:p>
      <w:pPr>
        <w:spacing w:after="0" w:line="100" w:lineRule="exact"/>
        <w:rPr>
          <w:sz w:val="20"/>
          <w:szCs w:val="20"/>
          <w:color w:val="auto"/>
        </w:rPr>
      </w:pPr>
    </w:p>
    <w:p>
      <w:pPr>
        <w:ind w:left="440" w:right="120" w:hanging="89"/>
        <w:spacing w:after="0" w:line="285" w:lineRule="auto"/>
        <w:rPr>
          <w:sz w:val="20"/>
          <w:szCs w:val="20"/>
          <w:color w:val="auto"/>
        </w:rPr>
      </w:pPr>
      <w:r>
        <w:rPr>
          <w:rFonts w:ascii="Arial" w:cs="Arial" w:eastAsia="Arial" w:hAnsi="Arial"/>
          <w:sz w:val="16"/>
          <w:szCs w:val="16"/>
          <w:color w:val="auto"/>
        </w:rPr>
        <w:t>  Annual election of Chairman and Lead Independent Director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00" w:right="60" w:hanging="89"/>
        <w:spacing w:after="0" w:line="256" w:lineRule="auto"/>
        <w:rPr>
          <w:sz w:val="20"/>
          <w:szCs w:val="20"/>
          <w:color w:val="auto"/>
        </w:rPr>
      </w:pPr>
      <w:r>
        <w:rPr>
          <w:rFonts w:ascii="Arial" w:cs="Arial" w:eastAsia="Arial" w:hAnsi="Arial"/>
          <w:sz w:val="16"/>
          <w:szCs w:val="16"/>
          <w:color w:val="auto"/>
        </w:rPr>
        <w:t>  Executive sessions led by Lead Independent Director or Committee Chair at each Board and committee meeting</w:t>
      </w:r>
    </w:p>
    <w:p>
      <w:pPr>
        <w:spacing w:after="0" w:line="18" w:lineRule="exact"/>
        <w:rPr>
          <w:sz w:val="20"/>
          <w:szCs w:val="20"/>
          <w:color w:val="auto"/>
        </w:rPr>
      </w:pPr>
    </w:p>
    <w:p>
      <w:pPr>
        <w:ind w:left="200" w:right="380" w:hanging="89"/>
        <w:spacing w:after="0" w:line="300" w:lineRule="auto"/>
        <w:rPr>
          <w:sz w:val="20"/>
          <w:szCs w:val="20"/>
          <w:color w:val="auto"/>
        </w:rPr>
      </w:pPr>
      <w:r>
        <w:rPr>
          <w:rFonts w:ascii="Arial" w:cs="Arial" w:eastAsia="Arial" w:hAnsi="Arial"/>
          <w:sz w:val="15"/>
          <w:szCs w:val="15"/>
          <w:color w:val="auto"/>
        </w:rPr>
        <w:t>  Annual review of board leadership structure</w:t>
      </w:r>
    </w:p>
    <w:p>
      <w:pPr>
        <w:spacing w:after="0" w:line="1" w:lineRule="exact"/>
        <w:rPr>
          <w:sz w:val="20"/>
          <w:szCs w:val="20"/>
          <w:color w:val="auto"/>
        </w:rPr>
      </w:pPr>
    </w:p>
    <w:p>
      <w:pPr>
        <w:ind w:left="200" w:hanging="89"/>
        <w:spacing w:after="0" w:line="259" w:lineRule="auto"/>
        <w:rPr>
          <w:sz w:val="20"/>
          <w:szCs w:val="20"/>
          <w:color w:val="auto"/>
        </w:rPr>
      </w:pPr>
      <w:r>
        <w:rPr>
          <w:rFonts w:ascii="Arial" w:cs="Arial" w:eastAsia="Arial" w:hAnsi="Arial"/>
          <w:sz w:val="16"/>
          <w:szCs w:val="16"/>
          <w:color w:val="auto"/>
        </w:rPr>
        <w:t>  Annual director self-evaluation and committee assessment to ensure board effectiveness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Robust Code of Conduct</w:t>
      </w:r>
    </w:p>
    <w:p>
      <w:pPr>
        <w:spacing w:after="0" w:line="100" w:lineRule="exact"/>
        <w:rPr>
          <w:sz w:val="20"/>
          <w:szCs w:val="20"/>
          <w:color w:val="auto"/>
        </w:rPr>
      </w:pPr>
    </w:p>
    <w:p>
      <w:pPr>
        <w:ind w:left="200" w:right="420" w:hanging="89"/>
        <w:spacing w:after="0" w:line="265" w:lineRule="auto"/>
        <w:rPr>
          <w:sz w:val="20"/>
          <w:szCs w:val="20"/>
          <w:color w:val="auto"/>
        </w:rPr>
      </w:pPr>
      <w:r>
        <w:rPr>
          <w:rFonts w:ascii="Arial" w:cs="Arial" w:eastAsia="Arial" w:hAnsi="Arial"/>
          <w:sz w:val="16"/>
          <w:szCs w:val="16"/>
          <w:color w:val="auto"/>
        </w:rPr>
        <w:t>  Commitment to, and oversight of, corporate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15875</wp:posOffset>
            </wp:positionV>
            <wp:extent cx="56235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00" w:right="339" w:hanging="89"/>
        <w:spacing w:after="0" w:line="266" w:lineRule="auto"/>
        <w:rPr>
          <w:sz w:val="20"/>
          <w:szCs w:val="20"/>
          <w:color w:val="auto"/>
        </w:rPr>
      </w:pPr>
      <w:r>
        <w:rPr>
          <w:rFonts w:ascii="Arial" w:cs="Arial" w:eastAsia="Arial" w:hAnsi="Arial"/>
          <w:sz w:val="16"/>
          <w:szCs w:val="16"/>
          <w:color w:val="auto"/>
        </w:rPr>
        <w:t>  Majority voting for directors in uncontested elections with director resignation policy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  Single voting class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Proxy access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  No stockholder rights plan</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  No supermajority voting provisions</w:t>
      </w:r>
    </w:p>
    <w:p>
      <w:pPr>
        <w:spacing w:after="0" w:line="126" w:lineRule="exact"/>
        <w:rPr>
          <w:sz w:val="20"/>
          <w:szCs w:val="20"/>
          <w:color w:val="auto"/>
        </w:rPr>
      </w:pPr>
    </w:p>
    <w:p>
      <w:pPr>
        <w:ind w:left="200" w:right="279" w:hanging="89"/>
        <w:spacing w:after="0" w:line="286" w:lineRule="auto"/>
        <w:rPr>
          <w:sz w:val="20"/>
          <w:szCs w:val="20"/>
          <w:color w:val="auto"/>
        </w:rPr>
      </w:pPr>
      <w:r>
        <w:rPr>
          <w:rFonts w:ascii="Arial" w:cs="Arial" w:eastAsia="Arial" w:hAnsi="Arial"/>
          <w:sz w:val="16"/>
          <w:szCs w:val="16"/>
          <w:color w:val="auto"/>
        </w:rPr>
        <w:t>  Phase out of staggered board structure to be completed next year</w:t>
      </w:r>
    </w:p>
    <w:p>
      <w:pPr>
        <w:spacing w:after="0" w:line="34" w:lineRule="exact"/>
        <w:rPr>
          <w:sz w:val="20"/>
          <w:szCs w:val="20"/>
          <w:color w:val="auto"/>
        </w:rPr>
      </w:pPr>
    </w:p>
    <w:p>
      <w:pPr>
        <w:ind w:left="200" w:right="559" w:hanging="89"/>
        <w:spacing w:after="0" w:line="286" w:lineRule="auto"/>
        <w:rPr>
          <w:sz w:val="20"/>
          <w:szCs w:val="20"/>
          <w:color w:val="auto"/>
        </w:rPr>
      </w:pPr>
      <w:r>
        <w:rPr>
          <w:rFonts w:ascii="Arial" w:cs="Arial" w:eastAsia="Arial" w:hAnsi="Arial"/>
          <w:sz w:val="16"/>
          <w:szCs w:val="16"/>
          <w:color w:val="auto"/>
        </w:rPr>
        <w:t>  Stockholders have ability to call special meetings</w:t>
      </w:r>
    </w:p>
    <w:p>
      <w:pPr>
        <w:spacing w:after="0" w:line="493" w:lineRule="exact"/>
        <w:rPr>
          <w:sz w:val="20"/>
          <w:szCs w:val="20"/>
          <w:color w:val="auto"/>
        </w:rPr>
      </w:pPr>
    </w:p>
    <w:p>
      <w:pPr>
        <w:sectPr>
          <w:pgSz w:w="11900" w:h="16838" w:orient="portrait"/>
          <w:cols w:equalWidth="0" w:num="3">
            <w:col w:w="2900" w:space="440"/>
            <w:col w:w="2240" w:space="420"/>
            <w:col w:w="3019"/>
          </w:cols>
          <w:pgMar w:left="1440" w:top="114" w:right="1440" w:bottom="1440" w:gutter="0" w:footer="0" w:header="0"/>
          <w:type w:val="continuous"/>
        </w:sectPr>
      </w:pPr>
    </w:p>
    <w:p>
      <w:pPr>
        <w:spacing w:after="0" w:line="83"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Board of Directors</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BOARD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24174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2356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250190</wp:posOffset>
            </wp:positionV>
            <wp:extent cx="8890" cy="1174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17411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250190</wp:posOffset>
            </wp:positionV>
            <wp:extent cx="8890" cy="1174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17411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335915</wp:posOffset>
            </wp:positionV>
            <wp:extent cx="197485" cy="2743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7485" cy="274320"/>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327025</wp:posOffset>
            </wp:positionV>
            <wp:extent cx="231775" cy="3003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31775" cy="3003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318770</wp:posOffset>
            </wp:positionV>
            <wp:extent cx="308610" cy="3175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861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2220" w:type="dxa"/>
            <w:vAlign w:val="bottom"/>
            <w:vMerge w:val="restart"/>
          </w:tcPr>
          <w:p>
            <w:pPr>
              <w:ind w:left="240"/>
              <w:spacing w:after="0"/>
              <w:rPr>
                <w:sz w:val="20"/>
                <w:szCs w:val="20"/>
                <w:color w:val="auto"/>
              </w:rPr>
            </w:pPr>
            <w:r>
              <w:rPr>
                <w:rFonts w:ascii="Arial" w:cs="Arial" w:eastAsia="Arial" w:hAnsi="Arial"/>
                <w:sz w:val="18"/>
                <w:szCs w:val="18"/>
                <w:b w:val="1"/>
                <w:bCs w:val="1"/>
                <w:color w:val="F0533D"/>
              </w:rPr>
              <w:t>INDEPENDENCE</w:t>
            </w:r>
          </w:p>
        </w:tc>
        <w:tc>
          <w:tcPr>
            <w:tcW w:w="880" w:type="dxa"/>
            <w:vAlign w:val="bottom"/>
          </w:tcPr>
          <w:p>
            <w:pPr>
              <w:spacing w:after="0"/>
              <w:rPr>
                <w:sz w:val="18"/>
                <w:szCs w:val="18"/>
                <w:color w:val="auto"/>
              </w:rPr>
            </w:pPr>
          </w:p>
        </w:tc>
        <w:tc>
          <w:tcPr>
            <w:tcW w:w="2080" w:type="dxa"/>
            <w:vAlign w:val="bottom"/>
          </w:tcPr>
          <w:p>
            <w:pPr>
              <w:ind w:left="260"/>
              <w:spacing w:after="0"/>
              <w:rPr>
                <w:sz w:val="20"/>
                <w:szCs w:val="20"/>
                <w:color w:val="auto"/>
              </w:rPr>
            </w:pPr>
            <w:r>
              <w:rPr>
                <w:rFonts w:ascii="Arial" w:cs="Arial" w:eastAsia="Arial" w:hAnsi="Arial"/>
                <w:sz w:val="18"/>
                <w:szCs w:val="18"/>
                <w:b w:val="1"/>
                <w:bCs w:val="1"/>
                <w:color w:val="F0533D"/>
              </w:rPr>
              <w:t>GLOBAL</w:t>
            </w:r>
          </w:p>
        </w:tc>
        <w:tc>
          <w:tcPr>
            <w:tcW w:w="2640" w:type="dxa"/>
            <w:vAlign w:val="bottom"/>
          </w:tcPr>
          <w:p>
            <w:pPr>
              <w:ind w:left="1420"/>
              <w:spacing w:after="0"/>
              <w:rPr>
                <w:sz w:val="20"/>
                <w:szCs w:val="20"/>
                <w:color w:val="auto"/>
              </w:rPr>
            </w:pPr>
            <w:r>
              <w:rPr>
                <w:rFonts w:ascii="Arial" w:cs="Arial" w:eastAsia="Arial" w:hAnsi="Arial"/>
                <w:sz w:val="18"/>
                <w:szCs w:val="18"/>
                <w:b w:val="1"/>
                <w:bCs w:val="1"/>
                <w:color w:val="F0533D"/>
              </w:rPr>
              <w:t>DIRECTOR</w:t>
            </w:r>
          </w:p>
        </w:tc>
        <w:tc>
          <w:tcPr>
            <w:tcW w:w="0" w:type="dxa"/>
            <w:vAlign w:val="bottom"/>
          </w:tcPr>
          <w:p>
            <w:pPr>
              <w:spacing w:after="0"/>
              <w:rPr>
                <w:sz w:val="1"/>
                <w:szCs w:val="1"/>
                <w:color w:val="auto"/>
              </w:rPr>
            </w:pPr>
          </w:p>
        </w:tc>
      </w:tr>
      <w:tr>
        <w:trPr>
          <w:trHeight w:val="139"/>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F0533D"/>
              </w:rPr>
              <w:t> </w:t>
            </w:r>
          </w:p>
        </w:tc>
        <w:tc>
          <w:tcPr>
            <w:tcW w:w="2220" w:type="dxa"/>
            <w:vAlign w:val="bottom"/>
            <w:vMerge w:val="continue"/>
          </w:tcPr>
          <w:p>
            <w:pPr>
              <w:spacing w:after="0"/>
              <w:rPr>
                <w:sz w:val="12"/>
                <w:szCs w:val="12"/>
                <w:color w:val="auto"/>
              </w:rPr>
            </w:pPr>
          </w:p>
        </w:tc>
        <w:tc>
          <w:tcPr>
            <w:tcW w:w="880" w:type="dxa"/>
            <w:vAlign w:val="bottom"/>
            <w:vMerge w:val="restart"/>
          </w:tcPr>
          <w:p>
            <w:pPr>
              <w:ind w:left="560"/>
              <w:spacing w:after="0"/>
              <w:rPr>
                <w:sz w:val="20"/>
                <w:szCs w:val="20"/>
                <w:color w:val="auto"/>
              </w:rPr>
            </w:pPr>
            <w:r>
              <w:rPr>
                <w:rFonts w:ascii="Arial" w:cs="Arial" w:eastAsia="Arial" w:hAnsi="Arial"/>
                <w:sz w:val="18"/>
                <w:szCs w:val="18"/>
                <w:b w:val="1"/>
                <w:bCs w:val="1"/>
                <w:color w:val="F0533D"/>
              </w:rPr>
              <w:t> </w:t>
            </w:r>
          </w:p>
        </w:tc>
        <w:tc>
          <w:tcPr>
            <w:tcW w:w="2080" w:type="dxa"/>
            <w:vAlign w:val="bottom"/>
            <w:vMerge w:val="restart"/>
          </w:tcPr>
          <w:p>
            <w:pPr>
              <w:ind w:left="260"/>
              <w:spacing w:after="0" w:line="181" w:lineRule="exact"/>
              <w:rPr>
                <w:sz w:val="20"/>
                <w:szCs w:val="20"/>
                <w:color w:val="auto"/>
              </w:rPr>
            </w:pPr>
            <w:r>
              <w:rPr>
                <w:rFonts w:ascii="Arial" w:cs="Arial" w:eastAsia="Arial" w:hAnsi="Arial"/>
                <w:sz w:val="18"/>
                <w:szCs w:val="18"/>
                <w:b w:val="1"/>
                <w:bCs w:val="1"/>
                <w:color w:val="F0533D"/>
              </w:rPr>
              <w:t>CITIZENSHIP</w:t>
            </w:r>
          </w:p>
        </w:tc>
        <w:tc>
          <w:tcPr>
            <w:tcW w:w="2640" w:type="dxa"/>
            <w:vAlign w:val="bottom"/>
            <w:vMerge w:val="restart"/>
          </w:tcPr>
          <w:p>
            <w:pPr>
              <w:ind w:left="1420"/>
              <w:spacing w:after="0" w:line="181" w:lineRule="exact"/>
              <w:rPr>
                <w:sz w:val="20"/>
                <w:szCs w:val="20"/>
                <w:color w:val="auto"/>
              </w:rPr>
            </w:pPr>
            <w:r>
              <w:rPr>
                <w:rFonts w:ascii="Arial" w:cs="Arial" w:eastAsia="Arial" w:hAnsi="Arial"/>
                <w:sz w:val="18"/>
                <w:szCs w:val="18"/>
                <w:b w:val="1"/>
                <w:bCs w:val="1"/>
                <w:color w:val="F0533D"/>
                <w:w w:val="96"/>
              </w:rPr>
              <w:t>ATTENDANCE</w:t>
            </w:r>
          </w:p>
        </w:tc>
        <w:tc>
          <w:tcPr>
            <w:tcW w:w="0" w:type="dxa"/>
            <w:vAlign w:val="bottom"/>
          </w:tcPr>
          <w:p>
            <w:pPr>
              <w:spacing w:after="0"/>
              <w:rPr>
                <w:sz w:val="1"/>
                <w:szCs w:val="1"/>
                <w:color w:val="auto"/>
              </w:rPr>
            </w:pPr>
          </w:p>
        </w:tc>
      </w:tr>
      <w:tr>
        <w:trPr>
          <w:trHeight w:val="42"/>
        </w:trPr>
        <w:tc>
          <w:tcPr>
            <w:tcW w:w="280" w:type="dxa"/>
            <w:vAlign w:val="bottom"/>
            <w:vMerge w:val="continue"/>
          </w:tcPr>
          <w:p>
            <w:pPr>
              <w:spacing w:after="0"/>
              <w:rPr>
                <w:sz w:val="3"/>
                <w:szCs w:val="3"/>
                <w:color w:val="auto"/>
              </w:rPr>
            </w:pPr>
          </w:p>
        </w:tc>
        <w:tc>
          <w:tcPr>
            <w:tcW w:w="22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80" w:type="dxa"/>
            <w:vAlign w:val="bottom"/>
            <w:vMerge w:val="continue"/>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80" w:type="dxa"/>
            <w:vAlign w:val="bottom"/>
            <w:vMerge w:val="continue"/>
          </w:tcPr>
          <w:p>
            <w:pPr>
              <w:spacing w:after="0"/>
              <w:rPr>
                <w:sz w:val="21"/>
                <w:szCs w:val="21"/>
                <w:color w:val="auto"/>
              </w:rPr>
            </w:pPr>
          </w:p>
        </w:tc>
        <w:tc>
          <w:tcPr>
            <w:tcW w:w="222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2080" w:type="dxa"/>
            <w:vAlign w:val="bottom"/>
          </w:tcPr>
          <w:p>
            <w:pPr>
              <w:spacing w:after="0"/>
              <w:rPr>
                <w:sz w:val="21"/>
                <w:szCs w:val="21"/>
                <w:color w:val="auto"/>
              </w:rPr>
            </w:pPr>
          </w:p>
        </w:tc>
        <w:tc>
          <w:tcPr>
            <w:tcW w:w="2640" w:type="dxa"/>
            <w:vAlign w:val="bottom"/>
          </w:tcPr>
          <w:p>
            <w:pPr>
              <w:ind w:left="720"/>
              <w:spacing w:after="0"/>
              <w:rPr>
                <w:sz w:val="20"/>
                <w:szCs w:val="20"/>
                <w:color w:val="auto"/>
              </w:rPr>
            </w:pPr>
            <w:r>
              <w:rPr>
                <w:rFonts w:ascii="Arial" w:cs="Arial" w:eastAsia="Arial" w:hAnsi="Arial"/>
                <w:sz w:val="18"/>
                <w:szCs w:val="18"/>
                <w:b w:val="1"/>
                <w:bCs w:val="1"/>
                <w:color w:val="F0533D"/>
              </w:rPr>
              <w:t> </w:t>
            </w:r>
          </w:p>
        </w:tc>
        <w:tc>
          <w:tcPr>
            <w:tcW w:w="0" w:type="dxa"/>
            <w:vAlign w:val="bottom"/>
          </w:tcPr>
          <w:p>
            <w:pPr>
              <w:spacing w:after="0"/>
              <w:rPr>
                <w:sz w:val="1"/>
                <w:szCs w:val="1"/>
                <w:color w:val="auto"/>
              </w:rPr>
            </w:pPr>
          </w:p>
        </w:tc>
      </w:tr>
    </w:tbl>
    <w:p>
      <w:pPr>
        <w:spacing w:after="0" w:line="57" w:lineRule="exact"/>
        <w:rPr>
          <w:sz w:val="20"/>
          <w:szCs w:val="20"/>
          <w:color w:val="auto"/>
        </w:rPr>
      </w:pPr>
    </w:p>
    <w:tbl>
      <w:tblPr>
        <w:tblLayout w:type="fixed"/>
        <w:tblInd w:w="600" w:type="dxa"/>
        <w:tblCellMar>
          <w:top w:w="0" w:type="dxa"/>
          <w:left w:w="0" w:type="dxa"/>
          <w:bottom w:w="0" w:type="dxa"/>
          <w:right w:w="0" w:type="dxa"/>
        </w:tblCellMar>
      </w:tblPr>
      <w:tr>
        <w:trPr>
          <w:trHeight w:val="289"/>
        </w:trPr>
        <w:tc>
          <w:tcPr>
            <w:tcW w:w="2280" w:type="dxa"/>
            <w:vAlign w:val="bottom"/>
          </w:tcPr>
          <w:p>
            <w:pPr>
              <w:spacing w:after="0"/>
              <w:rPr>
                <w:sz w:val="20"/>
                <w:szCs w:val="20"/>
                <w:color w:val="auto"/>
              </w:rPr>
            </w:pPr>
            <w:r>
              <w:rPr>
                <w:rFonts w:ascii="Arial" w:cs="Arial" w:eastAsia="Arial" w:hAnsi="Arial"/>
                <w:sz w:val="23"/>
                <w:szCs w:val="23"/>
                <w:b w:val="1"/>
                <w:bCs w:val="1"/>
                <w:color w:val="auto"/>
              </w:rPr>
              <w:t>90%</w:t>
            </w:r>
          </w:p>
        </w:tc>
        <w:tc>
          <w:tcPr>
            <w:tcW w:w="3180" w:type="dxa"/>
            <w:vAlign w:val="bottom"/>
          </w:tcPr>
          <w:p>
            <w:pPr>
              <w:ind w:left="840"/>
              <w:spacing w:after="0"/>
              <w:rPr>
                <w:sz w:val="20"/>
                <w:szCs w:val="20"/>
                <w:color w:val="auto"/>
              </w:rPr>
            </w:pPr>
            <w:r>
              <w:rPr>
                <w:rFonts w:ascii="Arial" w:cs="Arial" w:eastAsia="Arial" w:hAnsi="Arial"/>
                <w:sz w:val="23"/>
                <w:szCs w:val="23"/>
                <w:b w:val="1"/>
                <w:bCs w:val="1"/>
                <w:color w:val="auto"/>
              </w:rPr>
              <w:t>30%</w:t>
            </w:r>
          </w:p>
        </w:tc>
        <w:tc>
          <w:tcPr>
            <w:tcW w:w="2700" w:type="dxa"/>
            <w:vAlign w:val="bottom"/>
          </w:tcPr>
          <w:p>
            <w:pPr>
              <w:ind w:left="900"/>
              <w:spacing w:after="0"/>
              <w:rPr>
                <w:sz w:val="20"/>
                <w:szCs w:val="20"/>
                <w:color w:val="auto"/>
              </w:rPr>
            </w:pPr>
            <w:r>
              <w:rPr>
                <w:rFonts w:ascii="Arial" w:cs="Arial" w:eastAsia="Arial" w:hAnsi="Arial"/>
                <w:sz w:val="23"/>
                <w:szCs w:val="23"/>
                <w:b w:val="1"/>
                <w:bCs w:val="1"/>
                <w:color w:val="auto"/>
              </w:rPr>
              <w:t>100%</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9 of our 10 directors</w:t>
            </w:r>
          </w:p>
        </w:tc>
        <w:tc>
          <w:tcPr>
            <w:tcW w:w="3180" w:type="dxa"/>
            <w:vAlign w:val="bottom"/>
          </w:tcPr>
          <w:p>
            <w:pPr>
              <w:ind w:left="840"/>
              <w:spacing w:after="0"/>
              <w:rPr>
                <w:sz w:val="20"/>
                <w:szCs w:val="20"/>
                <w:color w:val="auto"/>
              </w:rPr>
            </w:pPr>
            <w:r>
              <w:rPr>
                <w:rFonts w:ascii="Arial" w:cs="Arial" w:eastAsia="Arial" w:hAnsi="Arial"/>
                <w:sz w:val="16"/>
                <w:szCs w:val="16"/>
                <w:color w:val="auto"/>
              </w:rPr>
              <w:t>3 of our 10 directors</w:t>
            </w:r>
          </w:p>
        </w:tc>
        <w:tc>
          <w:tcPr>
            <w:tcW w:w="2700" w:type="dxa"/>
            <w:vAlign w:val="bottom"/>
          </w:tcPr>
          <w:p>
            <w:pPr>
              <w:ind w:left="900"/>
              <w:spacing w:after="0"/>
              <w:rPr>
                <w:sz w:val="20"/>
                <w:szCs w:val="20"/>
                <w:color w:val="auto"/>
              </w:rPr>
            </w:pPr>
            <w:r>
              <w:rPr>
                <w:rFonts w:ascii="Arial" w:cs="Arial" w:eastAsia="Arial" w:hAnsi="Arial"/>
                <w:sz w:val="16"/>
                <w:szCs w:val="16"/>
                <w:color w:val="auto"/>
              </w:rPr>
              <w:t>director attendance</w:t>
            </w:r>
          </w:p>
        </w:tc>
      </w:tr>
      <w:tr>
        <w:trPr>
          <w:trHeight w:val="189"/>
        </w:trPr>
        <w:tc>
          <w:tcPr>
            <w:tcW w:w="2280" w:type="dxa"/>
            <w:vAlign w:val="bottom"/>
          </w:tcPr>
          <w:p>
            <w:pPr>
              <w:spacing w:after="0"/>
              <w:rPr>
                <w:sz w:val="20"/>
                <w:szCs w:val="20"/>
                <w:color w:val="auto"/>
              </w:rPr>
            </w:pPr>
            <w:r>
              <w:rPr>
                <w:rFonts w:ascii="Arial" w:cs="Arial" w:eastAsia="Arial" w:hAnsi="Arial"/>
                <w:sz w:val="16"/>
                <w:szCs w:val="16"/>
                <w:color w:val="auto"/>
              </w:rPr>
              <w:t>are independent</w:t>
            </w:r>
          </w:p>
        </w:tc>
        <w:tc>
          <w:tcPr>
            <w:tcW w:w="3180" w:type="dxa"/>
            <w:vAlign w:val="bottom"/>
          </w:tcPr>
          <w:p>
            <w:pPr>
              <w:ind w:left="840"/>
              <w:spacing w:after="0"/>
              <w:rPr>
                <w:sz w:val="20"/>
                <w:szCs w:val="20"/>
                <w:color w:val="auto"/>
              </w:rPr>
            </w:pPr>
            <w:r>
              <w:rPr>
                <w:rFonts w:ascii="Arial" w:cs="Arial" w:eastAsia="Arial" w:hAnsi="Arial"/>
                <w:sz w:val="16"/>
                <w:szCs w:val="16"/>
                <w:color w:val="auto"/>
              </w:rPr>
              <w:t>have citizenship</w:t>
            </w:r>
          </w:p>
        </w:tc>
        <w:tc>
          <w:tcPr>
            <w:tcW w:w="2700" w:type="dxa"/>
            <w:vAlign w:val="bottom"/>
          </w:tcPr>
          <w:p>
            <w:pPr>
              <w:ind w:left="900"/>
              <w:spacing w:after="0"/>
              <w:rPr>
                <w:sz w:val="20"/>
                <w:szCs w:val="20"/>
                <w:color w:val="auto"/>
              </w:rPr>
            </w:pPr>
            <w:r>
              <w:rPr>
                <w:rFonts w:ascii="Arial" w:cs="Arial" w:eastAsia="Arial" w:hAnsi="Arial"/>
                <w:sz w:val="16"/>
                <w:szCs w:val="16"/>
                <w:color w:val="auto"/>
              </w:rPr>
              <w:t>for fiscal 2026 Board and</w:t>
            </w:r>
          </w:p>
        </w:tc>
      </w:tr>
      <w:tr>
        <w:trPr>
          <w:trHeight w:val="215"/>
        </w:trPr>
        <w:tc>
          <w:tcPr>
            <w:tcW w:w="2280" w:type="dxa"/>
            <w:vAlign w:val="bottom"/>
          </w:tcPr>
          <w:p>
            <w:pPr>
              <w:spacing w:after="0"/>
              <w:rPr>
                <w:sz w:val="18"/>
                <w:szCs w:val="18"/>
                <w:color w:val="auto"/>
              </w:rPr>
            </w:pPr>
          </w:p>
        </w:tc>
        <w:tc>
          <w:tcPr>
            <w:tcW w:w="3180" w:type="dxa"/>
            <w:vAlign w:val="bottom"/>
          </w:tcPr>
          <w:p>
            <w:pPr>
              <w:ind w:left="840"/>
              <w:spacing w:after="0"/>
              <w:rPr>
                <w:sz w:val="20"/>
                <w:szCs w:val="20"/>
                <w:color w:val="auto"/>
              </w:rPr>
            </w:pPr>
            <w:r>
              <w:rPr>
                <w:rFonts w:ascii="Arial" w:cs="Arial" w:eastAsia="Arial" w:hAnsi="Arial"/>
                <w:sz w:val="16"/>
                <w:szCs w:val="16"/>
                <w:color w:val="auto"/>
              </w:rPr>
              <w:t>outside of the US</w:t>
            </w:r>
          </w:p>
        </w:tc>
        <w:tc>
          <w:tcPr>
            <w:tcW w:w="2700" w:type="dxa"/>
            <w:vAlign w:val="bottom"/>
          </w:tcPr>
          <w:p>
            <w:pPr>
              <w:ind w:left="900"/>
              <w:spacing w:after="0"/>
              <w:rPr>
                <w:sz w:val="20"/>
                <w:szCs w:val="20"/>
                <w:color w:val="auto"/>
              </w:rPr>
            </w:pPr>
            <w:r>
              <w:rPr>
                <w:rFonts w:ascii="Arial" w:cs="Arial" w:eastAsia="Arial" w:hAnsi="Arial"/>
                <w:sz w:val="16"/>
                <w:szCs w:val="16"/>
                <w:color w:val="auto"/>
              </w:rPr>
              <w:t>committee meetings</w:t>
            </w:r>
          </w:p>
        </w:tc>
      </w:tr>
    </w:tbl>
    <w:p>
      <w:pPr>
        <w:spacing w:after="0" w:line="258"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KYNDRYL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300" w:type="dxa"/>
            <w:vAlign w:val="bottom"/>
            <w:tcBorders>
              <w:bottom w:val="single" w:sz="8" w:color="F0533D"/>
            </w:tcBorders>
            <w:gridSpan w:val="2"/>
          </w:tcPr>
          <w:p>
            <w:pPr>
              <w:ind w:left="720"/>
              <w:spacing w:after="0"/>
              <w:rPr>
                <w:sz w:val="20"/>
                <w:szCs w:val="20"/>
                <w:color w:val="auto"/>
              </w:rPr>
            </w:pPr>
            <w:r>
              <w:rPr>
                <w:rFonts w:ascii="Arial" w:cs="Arial" w:eastAsia="Arial" w:hAnsi="Arial"/>
                <w:sz w:val="14"/>
                <w:szCs w:val="14"/>
                <w:b w:val="1"/>
                <w:bCs w:val="1"/>
                <w:color w:val="auto"/>
              </w:rPr>
              <w:t>COMMITTEE MEMBERSHIP</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80" w:type="dxa"/>
            <w:vAlign w:val="bottom"/>
          </w:tcPr>
          <w:p>
            <w:pPr>
              <w:jc w:val="center"/>
              <w:ind w:right="868"/>
              <w:spacing w:after="0"/>
              <w:rPr>
                <w:sz w:val="20"/>
                <w:szCs w:val="20"/>
                <w:color w:val="auto"/>
              </w:rPr>
            </w:pPr>
            <w:r>
              <w:rPr>
                <w:rFonts w:ascii="Arial" w:cs="Arial" w:eastAsia="Arial" w:hAnsi="Arial"/>
                <w:sz w:val="14"/>
                <w:szCs w:val="14"/>
                <w:b w:val="1"/>
                <w:bCs w:val="1"/>
                <w:color w:val="auto"/>
              </w:rPr>
              <w:t>Director</w:t>
            </w:r>
          </w:p>
        </w:tc>
        <w:tc>
          <w:tcPr>
            <w:tcW w:w="2120" w:type="dxa"/>
            <w:vAlign w:val="bottom"/>
          </w:tcPr>
          <w:p>
            <w:pPr>
              <w:ind w:left="90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205"/>
        </w:trPr>
        <w:tc>
          <w:tcPr>
            <w:tcW w:w="3380" w:type="dxa"/>
            <w:vAlign w:val="bottom"/>
            <w:tcBorders>
              <w:bottom w:val="single" w:sz="8" w:color="F0533D"/>
            </w:tcBorders>
          </w:tcPr>
          <w:p>
            <w:pPr>
              <w:ind w:left="1860"/>
              <w:spacing w:after="0"/>
              <w:rPr>
                <w:sz w:val="20"/>
                <w:szCs w:val="20"/>
                <w:color w:val="auto"/>
              </w:rPr>
            </w:pPr>
            <w:r>
              <w:rPr>
                <w:rFonts w:ascii="Arial" w:cs="Arial" w:eastAsia="Arial" w:hAnsi="Arial"/>
                <w:sz w:val="14"/>
                <w:szCs w:val="14"/>
                <w:b w:val="1"/>
                <w:bCs w:val="1"/>
                <w:color w:val="auto"/>
              </w:rPr>
              <w:t>Director</w:t>
            </w:r>
          </w:p>
        </w:tc>
        <w:tc>
          <w:tcPr>
            <w:tcW w:w="600" w:type="dxa"/>
            <w:vAlign w:val="bottom"/>
            <w:tcBorders>
              <w:bottom w:val="single" w:sz="8" w:color="F0533D"/>
            </w:tcBorders>
          </w:tcPr>
          <w:p>
            <w:pPr>
              <w:jc w:val="center"/>
              <w:ind w:left="168"/>
              <w:spacing w:after="0"/>
              <w:rPr>
                <w:sz w:val="20"/>
                <w:szCs w:val="20"/>
                <w:color w:val="auto"/>
              </w:rPr>
            </w:pPr>
            <w:r>
              <w:rPr>
                <w:rFonts w:ascii="Arial" w:cs="Arial" w:eastAsia="Arial" w:hAnsi="Arial"/>
                <w:sz w:val="14"/>
                <w:szCs w:val="14"/>
                <w:b w:val="1"/>
                <w:bCs w:val="1"/>
                <w:color w:val="auto"/>
              </w:rPr>
              <w:t>Age</w:t>
            </w:r>
          </w:p>
        </w:tc>
        <w:tc>
          <w:tcPr>
            <w:tcW w:w="1580" w:type="dxa"/>
            <w:vAlign w:val="bottom"/>
            <w:tcBorders>
              <w:bottom w:val="single" w:sz="8" w:color="F0533D"/>
            </w:tcBorders>
          </w:tcPr>
          <w:p>
            <w:pPr>
              <w:ind w:left="120"/>
              <w:spacing w:after="0"/>
              <w:rPr>
                <w:sz w:val="20"/>
                <w:szCs w:val="20"/>
                <w:color w:val="auto"/>
              </w:rPr>
            </w:pPr>
            <w:r>
              <w:rPr>
                <w:rFonts w:ascii="Arial" w:cs="Arial" w:eastAsia="Arial" w:hAnsi="Arial"/>
                <w:sz w:val="14"/>
                <w:szCs w:val="14"/>
                <w:b w:val="1"/>
                <w:bCs w:val="1"/>
                <w:color w:val="auto"/>
              </w:rPr>
              <w:t>Since  Independent</w:t>
            </w:r>
          </w:p>
        </w:tc>
        <w:tc>
          <w:tcPr>
            <w:tcW w:w="2120" w:type="dxa"/>
            <w:vAlign w:val="bottom"/>
            <w:tcBorders>
              <w:bottom w:val="single" w:sz="8" w:color="F0533D"/>
            </w:tcBorders>
          </w:tcPr>
          <w:p>
            <w:pPr>
              <w:ind w:left="180"/>
              <w:spacing w:after="0"/>
              <w:rPr>
                <w:sz w:val="20"/>
                <w:szCs w:val="20"/>
                <w:color w:val="auto"/>
              </w:rPr>
            </w:pPr>
            <w:r>
              <w:rPr>
                <w:rFonts w:ascii="Arial" w:cs="Arial" w:eastAsia="Arial" w:hAnsi="Arial"/>
                <w:sz w:val="14"/>
                <w:szCs w:val="14"/>
                <w:b w:val="1"/>
                <w:bCs w:val="1"/>
                <w:color w:val="auto"/>
              </w:rPr>
              <w:t>Audit   and Human Capital</w:t>
            </w:r>
          </w:p>
        </w:tc>
        <w:tc>
          <w:tcPr>
            <w:tcW w:w="11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auto"/>
              </w:rPr>
              <w:t>Governance</w:t>
            </w:r>
          </w:p>
        </w:tc>
        <w:tc>
          <w:tcPr>
            <w:tcW w:w="0" w:type="dxa"/>
            <w:vAlign w:val="bottom"/>
          </w:tcPr>
          <w:p>
            <w:pPr>
              <w:spacing w:after="0"/>
              <w:rPr>
                <w:sz w:val="1"/>
                <w:szCs w:val="1"/>
                <w:color w:val="auto"/>
              </w:rPr>
            </w:pPr>
          </w:p>
        </w:tc>
      </w:tr>
      <w:tr>
        <w:trPr>
          <w:trHeight w:val="241"/>
        </w:trPr>
        <w:tc>
          <w:tcPr>
            <w:tcW w:w="3380" w:type="dxa"/>
            <w:vAlign w:val="bottom"/>
          </w:tcPr>
          <w:p>
            <w:pPr>
              <w:ind w:left="720"/>
              <w:spacing w:after="0"/>
              <w:rPr>
                <w:sz w:val="20"/>
                <w:szCs w:val="20"/>
                <w:color w:val="auto"/>
              </w:rPr>
            </w:pPr>
            <w:r>
              <w:rPr>
                <w:rFonts w:ascii="Arial" w:cs="Arial" w:eastAsia="Arial" w:hAnsi="Arial"/>
                <w:sz w:val="14"/>
                <w:szCs w:val="14"/>
                <w:b w:val="1"/>
                <w:bCs w:val="1"/>
                <w:color w:val="auto"/>
              </w:rPr>
              <w:t>Dominic J. Caruso</w:t>
            </w:r>
          </w:p>
        </w:tc>
        <w:tc>
          <w:tcPr>
            <w:tcW w:w="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720"/>
              <w:spacing w:after="0"/>
              <w:rPr>
                <w:sz w:val="20"/>
                <w:szCs w:val="20"/>
                <w:color w:val="auto"/>
              </w:rPr>
            </w:pPr>
            <w:r>
              <w:rPr>
                <w:rFonts w:ascii="Arial" w:cs="Arial" w:eastAsia="Arial" w:hAnsi="Arial"/>
                <w:sz w:val="14"/>
                <w:szCs w:val="14"/>
                <w:color w:val="auto"/>
              </w:rPr>
              <w:t>Retired Executive Vice President and</w:t>
            </w: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68</w:t>
            </w:r>
          </w:p>
        </w:tc>
        <w:tc>
          <w:tcPr>
            <w:tcW w:w="1580" w:type="dxa"/>
            <w:vAlign w:val="bottom"/>
            <w:vMerge w:val="restart"/>
          </w:tcPr>
          <w:p>
            <w:pPr>
              <w:jc w:val="right"/>
              <w:ind w:right="1028"/>
              <w:spacing w:after="0"/>
              <w:rPr>
                <w:sz w:val="20"/>
                <w:szCs w:val="20"/>
                <w:color w:val="auto"/>
              </w:rPr>
            </w:pPr>
            <w:r>
              <w:rPr>
                <w:rFonts w:ascii="Arial" w:cs="Arial" w:eastAsia="Arial" w:hAnsi="Arial"/>
                <w:sz w:val="14"/>
                <w:szCs w:val="14"/>
                <w:color w:val="auto"/>
              </w:rPr>
              <w:t>2021</w:t>
            </w:r>
          </w:p>
        </w:tc>
        <w:tc>
          <w:tcPr>
            <w:tcW w:w="2120" w:type="dxa"/>
            <w:vAlign w:val="bottom"/>
          </w:tcPr>
          <w:p>
            <w:pPr>
              <w:ind w:left="260"/>
              <w:spacing w:after="0"/>
              <w:rPr>
                <w:sz w:val="20"/>
                <w:szCs w:val="20"/>
                <w:color w:val="auto"/>
              </w:rPr>
            </w:pPr>
            <w:r>
              <w:rPr>
                <w:rFonts w:ascii="Arial" w:cs="Arial" w:eastAsia="Arial" w:hAnsi="Arial"/>
                <w:sz w:val="14"/>
                <w:szCs w:val="14"/>
                <w:color w:val="auto"/>
              </w:rPr>
              <w:t xml:space="preserve">    </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3380" w:type="dxa"/>
            <w:vAlign w:val="bottom"/>
            <w:vMerge w:val="restart"/>
          </w:tcPr>
          <w:p>
            <w:pPr>
              <w:ind w:left="720"/>
              <w:spacing w:after="0"/>
              <w:rPr>
                <w:sz w:val="20"/>
                <w:szCs w:val="20"/>
                <w:color w:val="auto"/>
              </w:rPr>
            </w:pPr>
            <w:r>
              <w:rPr>
                <w:rFonts w:ascii="Arial" w:cs="Arial" w:eastAsia="Arial" w:hAnsi="Arial"/>
                <w:sz w:val="14"/>
                <w:szCs w:val="14"/>
                <w:color w:val="auto"/>
              </w:rPr>
              <w:t>Chief Financial Officer</w:t>
            </w:r>
          </w:p>
        </w:tc>
        <w:tc>
          <w:tcPr>
            <w:tcW w:w="60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-397510</wp:posOffset>
            </wp:positionV>
            <wp:extent cx="411480"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-182880</wp:posOffset>
            </wp:positionV>
            <wp:extent cx="128905" cy="1117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-208280</wp:posOffset>
            </wp:positionV>
            <wp:extent cx="14605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-174625</wp:posOffset>
            </wp:positionV>
            <wp:extent cx="111125" cy="1117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ind w:left="800" w:hanging="553"/>
        <w:spacing w:after="0" w:line="184" w:lineRule="auto"/>
        <w:tabs>
          <w:tab w:leader="none" w:pos="800" w:val="left"/>
        </w:tabs>
        <w:numPr>
          <w:ilvl w:val="0"/>
          <w:numId w:val="35"/>
        </w:numPr>
        <w:rPr>
          <w:rFonts w:ascii="Arial" w:cs="Arial" w:eastAsia="Arial" w:hAnsi="Arial"/>
          <w:sz w:val="26"/>
          <w:szCs w:val="26"/>
          <w:color w:val="auto"/>
          <w:vertAlign w:val="superscript"/>
        </w:rPr>
      </w:pPr>
      <w:r>
        <w:rPr>
          <w:rFonts w:ascii="Arial" w:cs="Arial" w:eastAsia="Arial" w:hAnsi="Arial"/>
          <w:sz w:val="13"/>
          <w:szCs w:val="13"/>
          <w:color w:val="auto"/>
        </w:rPr>
        <w:t>Johnson &amp; Johnson</w:t>
      </w:r>
    </w:p>
    <w:p>
      <w:pPr>
        <w:spacing w:after="0" w:line="107" w:lineRule="exact"/>
        <w:rPr>
          <w:rFonts w:ascii="Arial" w:cs="Arial" w:eastAsia="Arial" w:hAnsi="Arial"/>
          <w:sz w:val="26"/>
          <w:szCs w:val="26"/>
          <w:color w:val="auto"/>
          <w:vertAlign w:val="superscript"/>
        </w:rPr>
      </w:pPr>
    </w:p>
    <w:p>
      <w:pPr>
        <w:ind w:left="800"/>
        <w:spacing w:after="0"/>
        <w:rPr>
          <w:rFonts w:ascii="Arial" w:cs="Arial" w:eastAsia="Arial" w:hAnsi="Arial"/>
          <w:sz w:val="26"/>
          <w:szCs w:val="26"/>
          <w:color w:val="auto"/>
          <w:vertAlign w:val="superscript"/>
        </w:rPr>
      </w:pPr>
      <w:r>
        <w:rPr>
          <w:rFonts w:ascii="Arial" w:cs="Arial" w:eastAsia="Arial" w:hAnsi="Arial"/>
          <w:sz w:val="14"/>
          <w:szCs w:val="14"/>
          <w:b w:val="1"/>
          <w:bCs w:val="1"/>
          <w:color w:val="auto"/>
        </w:rPr>
        <w:t>John D. Harris II</w:t>
      </w:r>
    </w:p>
    <w:p>
      <w:pPr>
        <w:spacing w:after="0" w:line="68" w:lineRule="exact"/>
        <w:rPr>
          <w:rFonts w:ascii="Arial" w:cs="Arial" w:eastAsia="Arial" w:hAnsi="Arial"/>
          <w:sz w:val="26"/>
          <w:szCs w:val="26"/>
          <w:color w:val="auto"/>
          <w:vertAlign w:val="superscript"/>
        </w:rPr>
      </w:pPr>
    </w:p>
    <w:p>
      <w:pPr>
        <w:ind w:left="800"/>
        <w:spacing w:after="0"/>
        <w:rPr>
          <w:rFonts w:ascii="Arial" w:cs="Arial" w:eastAsia="Arial" w:hAnsi="Arial"/>
          <w:sz w:val="26"/>
          <w:szCs w:val="26"/>
          <w:color w:val="auto"/>
          <w:vertAlign w:val="superscript"/>
        </w:rPr>
      </w:pPr>
      <w:r>
        <w:rPr>
          <w:rFonts w:ascii="Arial" w:cs="Arial" w:eastAsia="Arial" w:hAnsi="Arial"/>
          <w:sz w:val="14"/>
          <w:szCs w:val="14"/>
          <w:color w:val="auto"/>
        </w:rPr>
        <w:t>Former Vice President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-292735</wp:posOffset>
            </wp:positionV>
            <wp:extent cx="5623560" cy="4800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23560" cy="480060"/>
                    </a:xfrm>
                    <a:prstGeom prst="rect">
                      <a:avLst/>
                    </a:prstGeom>
                    <a:noFill/>
                  </pic:spPr>
                </pic:pic>
              </a:graphicData>
            </a:graphic>
          </wp:anchor>
        </w:drawing>
      </w:r>
    </w:p>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3160" w:type="dxa"/>
            <w:vAlign w:val="bottom"/>
          </w:tcPr>
          <w:p>
            <w:pPr>
              <w:ind w:left="260"/>
              <w:spacing w:after="0"/>
              <w:rPr>
                <w:sz w:val="20"/>
                <w:szCs w:val="20"/>
                <w:color w:val="auto"/>
              </w:rPr>
            </w:pPr>
            <w:r>
              <w:rPr>
                <w:rFonts w:ascii="Arial" w:cs="Arial" w:eastAsia="Arial" w:hAnsi="Arial"/>
                <w:sz w:val="14"/>
                <w:szCs w:val="14"/>
                <w:color w:val="auto"/>
              </w:rPr>
              <w:t>Development</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65</w:t>
            </w:r>
          </w:p>
        </w:tc>
        <w:tc>
          <w:tcPr>
            <w:tcW w:w="4860" w:type="dxa"/>
            <w:vAlign w:val="bottom"/>
            <w:vMerge w:val="restart"/>
          </w:tcPr>
          <w:p>
            <w:pPr>
              <w:jc w:val="right"/>
              <w:ind w:right="4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77"/>
        </w:trPr>
        <w:tc>
          <w:tcPr>
            <w:tcW w:w="460" w:type="dxa"/>
            <w:vAlign w:val="bottom"/>
            <w:vMerge w:val="restart"/>
          </w:tcPr>
          <w:p>
            <w:pPr>
              <w:ind w:left="160"/>
              <w:spacing w:after="0"/>
              <w:rPr>
                <w:sz w:val="20"/>
                <w:szCs w:val="20"/>
                <w:color w:val="auto"/>
              </w:rPr>
            </w:pPr>
            <w:r>
              <w:rPr>
                <w:rFonts w:ascii="Arial" w:cs="Arial" w:eastAsia="Arial" w:hAnsi="Arial"/>
                <w:sz w:val="14"/>
                <w:szCs w:val="14"/>
                <w:color w:val="auto"/>
              </w:rPr>
              <w:t> </w:t>
            </w:r>
          </w:p>
        </w:tc>
        <w:tc>
          <w:tcPr>
            <w:tcW w:w="3160" w:type="dxa"/>
            <w:vAlign w:val="bottom"/>
            <w:vMerge w:val="restart"/>
          </w:tcPr>
          <w:p>
            <w:pPr>
              <w:ind w:left="260"/>
              <w:spacing w:after="0"/>
              <w:rPr>
                <w:sz w:val="20"/>
                <w:szCs w:val="20"/>
                <w:color w:val="auto"/>
              </w:rPr>
            </w:pPr>
            <w:r>
              <w:rPr>
                <w:rFonts w:ascii="Arial" w:cs="Arial" w:eastAsia="Arial" w:hAnsi="Arial"/>
                <w:sz w:val="14"/>
                <w:szCs w:val="14"/>
                <w:color w:val="auto"/>
              </w:rPr>
              <w:t>Raytheon Company</w:t>
            </w:r>
          </w:p>
        </w:tc>
        <w:tc>
          <w:tcPr>
            <w:tcW w:w="380" w:type="dxa"/>
            <w:vAlign w:val="bottom"/>
            <w:vMerge w:val="continue"/>
          </w:tcPr>
          <w:p>
            <w:pPr>
              <w:spacing w:after="0"/>
              <w:rPr>
                <w:sz w:val="6"/>
                <w:szCs w:val="6"/>
                <w:color w:val="auto"/>
              </w:rPr>
            </w:pPr>
          </w:p>
        </w:tc>
        <w:tc>
          <w:tcPr>
            <w:tcW w:w="4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60" w:type="dxa"/>
            <w:vAlign w:val="bottom"/>
            <w:vMerge w:val="continue"/>
          </w:tcPr>
          <w:p>
            <w:pPr>
              <w:spacing w:after="0"/>
              <w:rPr>
                <w:sz w:val="16"/>
                <w:szCs w:val="16"/>
                <w:color w:val="auto"/>
              </w:rPr>
            </w:pPr>
          </w:p>
        </w:tc>
        <w:tc>
          <w:tcPr>
            <w:tcW w:w="31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4860" w:type="dxa"/>
            <w:vAlign w:val="bottom"/>
          </w:tcPr>
          <w:p>
            <w:pPr>
              <w:jc w:val="right"/>
              <w:ind w:right="102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3"/>
        </w:trPr>
        <w:tc>
          <w:tcPr>
            <w:tcW w:w="460" w:type="dxa"/>
            <w:vAlign w:val="bottom"/>
          </w:tcPr>
          <w:p>
            <w:pPr>
              <w:spacing w:after="0"/>
              <w:rPr>
                <w:sz w:val="16"/>
                <w:szCs w:val="16"/>
                <w:color w:val="auto"/>
              </w:rPr>
            </w:pPr>
          </w:p>
        </w:tc>
        <w:tc>
          <w:tcPr>
            <w:tcW w:w="3160" w:type="dxa"/>
            <w:vAlign w:val="bottom"/>
          </w:tcPr>
          <w:p>
            <w:pPr>
              <w:ind w:left="260"/>
              <w:spacing w:after="0"/>
              <w:rPr>
                <w:sz w:val="20"/>
                <w:szCs w:val="20"/>
                <w:color w:val="auto"/>
              </w:rPr>
            </w:pPr>
            <w:r>
              <w:rPr>
                <w:rFonts w:ascii="Arial" w:cs="Arial" w:eastAsia="Arial" w:hAnsi="Arial"/>
                <w:sz w:val="14"/>
                <w:szCs w:val="14"/>
                <w:color w:val="auto"/>
              </w:rPr>
              <w:t>Former Chief Executive Officer</w:t>
            </w:r>
          </w:p>
        </w:tc>
        <w:tc>
          <w:tcPr>
            <w:tcW w:w="3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160" w:type="dxa"/>
            <w:vAlign w:val="bottom"/>
          </w:tcPr>
          <w:p>
            <w:pPr>
              <w:ind w:left="260"/>
              <w:spacing w:after="0"/>
              <w:rPr>
                <w:sz w:val="20"/>
                <w:szCs w:val="20"/>
                <w:color w:val="auto"/>
              </w:rPr>
            </w:pPr>
            <w:r>
              <w:rPr>
                <w:rFonts w:ascii="Arial" w:cs="Arial" w:eastAsia="Arial" w:hAnsi="Arial"/>
                <w:sz w:val="14"/>
                <w:szCs w:val="14"/>
                <w:color w:val="auto"/>
              </w:rPr>
              <w:t>Raytheon International Inc.</w:t>
            </w: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460" w:type="dxa"/>
            <w:vAlign w:val="bottom"/>
            <w:tcBorders>
              <w:bottom w:val="single" w:sz="8" w:color="auto"/>
            </w:tcBorders>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60" w:type="dxa"/>
            <w:vAlign w:val="bottom"/>
          </w:tcPr>
          <w:p>
            <w:pPr>
              <w:spacing w:after="0"/>
              <w:rPr>
                <w:sz w:val="24"/>
                <w:szCs w:val="24"/>
                <w:color w:val="auto"/>
              </w:rPr>
            </w:pPr>
          </w:p>
        </w:tc>
        <w:tc>
          <w:tcPr>
            <w:tcW w:w="3160" w:type="dxa"/>
            <w:vAlign w:val="bottom"/>
          </w:tcPr>
          <w:p>
            <w:pPr>
              <w:ind w:left="260"/>
              <w:spacing w:after="0"/>
              <w:rPr>
                <w:sz w:val="20"/>
                <w:szCs w:val="20"/>
                <w:color w:val="auto"/>
              </w:rPr>
            </w:pPr>
            <w:r>
              <w:rPr>
                <w:rFonts w:ascii="Arial" w:cs="Arial" w:eastAsia="Arial" w:hAnsi="Arial"/>
                <w:sz w:val="14"/>
                <w:szCs w:val="14"/>
                <w:b w:val="1"/>
                <w:bCs w:val="1"/>
                <w:color w:val="auto"/>
              </w:rPr>
              <w:t>Stephen A.M. Hester </w:t>
            </w:r>
          </w:p>
        </w:tc>
        <w:tc>
          <w:tcPr>
            <w:tcW w:w="3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3160" w:type="dxa"/>
            <w:vAlign w:val="bottom"/>
          </w:tcPr>
          <w:p>
            <w:pPr>
              <w:ind w:left="260"/>
              <w:spacing w:after="0"/>
              <w:rPr>
                <w:sz w:val="20"/>
                <w:szCs w:val="20"/>
                <w:color w:val="auto"/>
              </w:rPr>
            </w:pPr>
            <w:r>
              <w:rPr>
                <w:rFonts w:ascii="Arial" w:cs="Arial" w:eastAsia="Arial" w:hAnsi="Arial"/>
                <w:sz w:val="14"/>
                <w:szCs w:val="14"/>
                <w:color w:val="auto"/>
              </w:rPr>
              <w:t>Chairman</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65</w:t>
            </w:r>
          </w:p>
        </w:tc>
        <w:tc>
          <w:tcPr>
            <w:tcW w:w="4860" w:type="dxa"/>
            <w:vAlign w:val="bottom"/>
            <w:vMerge w:val="restart"/>
          </w:tcPr>
          <w:p>
            <w:pPr>
              <w:jc w:val="right"/>
              <w:ind w:right="4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160" w:type="dxa"/>
            <w:vAlign w:val="bottom"/>
            <w:vMerge w:val="restart"/>
          </w:tcPr>
          <w:p>
            <w:pPr>
              <w:ind w:left="260"/>
              <w:spacing w:after="0"/>
              <w:rPr>
                <w:sz w:val="20"/>
                <w:szCs w:val="20"/>
                <w:color w:val="auto"/>
              </w:rPr>
            </w:pPr>
            <w:r>
              <w:rPr>
                <w:rFonts w:ascii="Arial" w:cs="Arial" w:eastAsia="Arial" w:hAnsi="Arial"/>
                <w:sz w:val="14"/>
                <w:szCs w:val="14"/>
                <w:color w:val="auto"/>
              </w:rPr>
              <w:t>easyJet plc</w:t>
            </w:r>
          </w:p>
        </w:tc>
        <w:tc>
          <w:tcPr>
            <w:tcW w:w="380" w:type="dxa"/>
            <w:vAlign w:val="bottom"/>
            <w:vMerge w:val="continue"/>
          </w:tcPr>
          <w:p>
            <w:pPr>
              <w:spacing w:after="0"/>
              <w:rPr>
                <w:sz w:val="11"/>
                <w:szCs w:val="11"/>
                <w:color w:val="auto"/>
              </w:rPr>
            </w:pPr>
          </w:p>
        </w:tc>
        <w:tc>
          <w:tcPr>
            <w:tcW w:w="4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460" w:type="dxa"/>
            <w:vAlign w:val="bottom"/>
            <w:vMerge w:val="restart"/>
          </w:tcPr>
          <w:p>
            <w:pPr>
              <w:ind w:left="160"/>
              <w:spacing w:after="0"/>
              <w:rPr>
                <w:sz w:val="20"/>
                <w:szCs w:val="20"/>
                <w:color w:val="auto"/>
              </w:rPr>
            </w:pPr>
            <w:r>
              <w:rPr>
                <w:rFonts w:ascii="Arial" w:cs="Arial" w:eastAsia="Arial" w:hAnsi="Arial"/>
                <w:sz w:val="14"/>
                <w:szCs w:val="14"/>
                <w:color w:val="auto"/>
              </w:rPr>
              <w:t> </w:t>
            </w:r>
          </w:p>
        </w:tc>
        <w:tc>
          <w:tcPr>
            <w:tcW w:w="31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4860" w:type="dxa"/>
            <w:vAlign w:val="bottom"/>
            <w:vMerge w:val="restart"/>
          </w:tcPr>
          <w:p>
            <w:pPr>
              <w:jc w:val="right"/>
              <w:ind w:right="102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90"/>
        </w:trPr>
        <w:tc>
          <w:tcPr>
            <w:tcW w:w="460" w:type="dxa"/>
            <w:vAlign w:val="bottom"/>
            <w:vMerge w:val="continue"/>
          </w:tcPr>
          <w:p>
            <w:pPr>
              <w:spacing w:after="0"/>
              <w:rPr>
                <w:sz w:val="7"/>
                <w:szCs w:val="7"/>
                <w:color w:val="auto"/>
              </w:rPr>
            </w:pPr>
          </w:p>
        </w:tc>
        <w:tc>
          <w:tcPr>
            <w:tcW w:w="3160" w:type="dxa"/>
            <w:vAlign w:val="bottom"/>
            <w:vMerge w:val="restart"/>
          </w:tcPr>
          <w:p>
            <w:pPr>
              <w:ind w:left="260"/>
              <w:spacing w:after="0"/>
              <w:rPr>
                <w:sz w:val="20"/>
                <w:szCs w:val="20"/>
                <w:color w:val="auto"/>
              </w:rPr>
            </w:pPr>
            <w:r>
              <w:rPr>
                <w:rFonts w:ascii="Arial" w:cs="Arial" w:eastAsia="Arial" w:hAnsi="Arial"/>
                <w:sz w:val="14"/>
                <w:szCs w:val="14"/>
                <w:color w:val="auto"/>
              </w:rPr>
              <w:t>Chairman</w:t>
            </w:r>
          </w:p>
        </w:tc>
        <w:tc>
          <w:tcPr>
            <w:tcW w:w="38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460" w:type="dxa"/>
            <w:vAlign w:val="bottom"/>
          </w:tcPr>
          <w:p>
            <w:pPr>
              <w:spacing w:after="0"/>
              <w:rPr>
                <w:sz w:val="12"/>
                <w:szCs w:val="12"/>
                <w:color w:val="auto"/>
              </w:rPr>
            </w:pPr>
          </w:p>
        </w:tc>
        <w:tc>
          <w:tcPr>
            <w:tcW w:w="31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3160" w:type="dxa"/>
            <w:vAlign w:val="bottom"/>
          </w:tcPr>
          <w:p>
            <w:pPr>
              <w:ind w:left="260"/>
              <w:spacing w:after="0"/>
              <w:rPr>
                <w:sz w:val="20"/>
                <w:szCs w:val="20"/>
                <w:color w:val="auto"/>
              </w:rPr>
            </w:pPr>
            <w:r>
              <w:rPr>
                <w:rFonts w:ascii="Arial" w:cs="Arial" w:eastAsia="Arial" w:hAnsi="Arial"/>
                <w:sz w:val="14"/>
                <w:szCs w:val="14"/>
                <w:color w:val="auto"/>
              </w:rPr>
              <w:t>Nordea Bank Abp</w:t>
            </w:r>
          </w:p>
        </w:tc>
        <w:tc>
          <w:tcPr>
            <w:tcW w:w="38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160" w:type="dxa"/>
            <w:vAlign w:val="bottom"/>
          </w:tcPr>
          <w:p>
            <w:pPr>
              <w:ind w:left="260"/>
              <w:spacing w:after="0"/>
              <w:rPr>
                <w:sz w:val="20"/>
                <w:szCs w:val="20"/>
                <w:color w:val="auto"/>
              </w:rPr>
            </w:pPr>
            <w:r>
              <w:rPr>
                <w:rFonts w:ascii="Arial" w:cs="Arial" w:eastAsia="Arial" w:hAnsi="Arial"/>
                <w:sz w:val="14"/>
                <w:szCs w:val="14"/>
                <w:b w:val="1"/>
                <w:bCs w:val="1"/>
                <w:color w:val="auto"/>
              </w:rPr>
              <w:t>Shirley Ann Jackson</w:t>
            </w:r>
          </w:p>
        </w:tc>
        <w:tc>
          <w:tcPr>
            <w:tcW w:w="3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60" w:type="dxa"/>
            <w:vAlign w:val="bottom"/>
          </w:tcPr>
          <w:p>
            <w:pPr>
              <w:spacing w:after="0"/>
              <w:rPr>
                <w:sz w:val="21"/>
                <w:szCs w:val="21"/>
                <w:color w:val="auto"/>
              </w:rPr>
            </w:pPr>
          </w:p>
        </w:tc>
        <w:tc>
          <w:tcPr>
            <w:tcW w:w="3160" w:type="dxa"/>
            <w:vAlign w:val="bottom"/>
          </w:tcPr>
          <w:p>
            <w:pPr>
              <w:ind w:left="260"/>
              <w:spacing w:after="0"/>
              <w:rPr>
                <w:sz w:val="20"/>
                <w:szCs w:val="20"/>
                <w:color w:val="auto"/>
              </w:rPr>
            </w:pPr>
            <w:r>
              <w:rPr>
                <w:rFonts w:ascii="Arial" w:cs="Arial" w:eastAsia="Arial" w:hAnsi="Arial"/>
                <w:sz w:val="14"/>
                <w:szCs w:val="14"/>
                <w:color w:val="auto"/>
              </w:rPr>
              <w:t>President Emerita</w:t>
            </w: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4860" w:type="dxa"/>
            <w:vAlign w:val="bottom"/>
          </w:tcPr>
          <w:p>
            <w:pPr>
              <w:jc w:val="right"/>
              <w:ind w:right="4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2"/>
        </w:trPr>
        <w:tc>
          <w:tcPr>
            <w:tcW w:w="460" w:type="dxa"/>
            <w:vAlign w:val="bottom"/>
            <w:vMerge w:val="restart"/>
          </w:tcPr>
          <w:p>
            <w:pPr>
              <w:ind w:left="160"/>
              <w:spacing w:after="0"/>
              <w:rPr>
                <w:sz w:val="20"/>
                <w:szCs w:val="20"/>
                <w:color w:val="auto"/>
              </w:rPr>
            </w:pPr>
            <w:r>
              <w:rPr>
                <w:rFonts w:ascii="Arial" w:cs="Arial" w:eastAsia="Arial" w:hAnsi="Arial"/>
                <w:sz w:val="14"/>
                <w:szCs w:val="14"/>
                <w:color w:val="auto"/>
              </w:rPr>
              <w:t> </w:t>
            </w:r>
          </w:p>
        </w:tc>
        <w:tc>
          <w:tcPr>
            <w:tcW w:w="3160" w:type="dxa"/>
            <w:vAlign w:val="bottom"/>
          </w:tcPr>
          <w:p>
            <w:pPr>
              <w:ind w:left="260"/>
              <w:spacing w:after="0"/>
              <w:rPr>
                <w:sz w:val="20"/>
                <w:szCs w:val="20"/>
                <w:color w:val="auto"/>
              </w:rPr>
            </w:pPr>
            <w:r>
              <w:rPr>
                <w:rFonts w:ascii="Arial" w:cs="Arial" w:eastAsia="Arial" w:hAnsi="Arial"/>
                <w:sz w:val="14"/>
                <w:szCs w:val="14"/>
                <w:color w:val="auto"/>
              </w:rPr>
              <w:t>Rensselaer Polytechnic Institute</w:t>
            </w:r>
          </w:p>
        </w:tc>
        <w:tc>
          <w:tcPr>
            <w:tcW w:w="380" w:type="dxa"/>
            <w:vAlign w:val="bottom"/>
          </w:tcPr>
          <w:p>
            <w:pPr>
              <w:spacing w:after="0"/>
              <w:rPr>
                <w:sz w:val="19"/>
                <w:szCs w:val="19"/>
                <w:color w:val="auto"/>
              </w:rPr>
            </w:pPr>
          </w:p>
        </w:tc>
        <w:tc>
          <w:tcPr>
            <w:tcW w:w="4860" w:type="dxa"/>
            <w:vAlign w:val="bottom"/>
          </w:tcPr>
          <w:p>
            <w:pPr>
              <w:jc w:val="right"/>
              <w:ind w:right="102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160" w:type="dxa"/>
            <w:vAlign w:val="bottom"/>
          </w:tcPr>
          <w:p>
            <w:pPr>
              <w:ind w:left="260"/>
              <w:spacing w:after="0"/>
              <w:rPr>
                <w:sz w:val="20"/>
                <w:szCs w:val="20"/>
                <w:color w:val="auto"/>
              </w:rPr>
            </w:pPr>
            <w:r>
              <w:rPr>
                <w:rFonts w:ascii="Arial" w:cs="Arial" w:eastAsia="Arial" w:hAnsi="Arial"/>
                <w:sz w:val="14"/>
                <w:szCs w:val="14"/>
                <w:b w:val="1"/>
                <w:bCs w:val="1"/>
                <w:color w:val="auto"/>
              </w:rPr>
              <w:t>Janina Kugel</w:t>
            </w:r>
          </w:p>
        </w:tc>
        <w:tc>
          <w:tcPr>
            <w:tcW w:w="3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3160" w:type="dxa"/>
            <w:vAlign w:val="bottom"/>
          </w:tcPr>
          <w:p>
            <w:pPr>
              <w:ind w:left="260"/>
              <w:spacing w:after="0"/>
              <w:rPr>
                <w:sz w:val="20"/>
                <w:szCs w:val="20"/>
                <w:color w:val="auto"/>
              </w:rPr>
            </w:pPr>
            <w:r>
              <w:rPr>
                <w:rFonts w:ascii="Arial" w:cs="Arial" w:eastAsia="Arial" w:hAnsi="Arial"/>
                <w:sz w:val="14"/>
                <w:szCs w:val="14"/>
                <w:color w:val="auto"/>
              </w:rPr>
              <w:t>Former Chief Human Resources Officer and</w:t>
            </w:r>
          </w:p>
        </w:tc>
        <w:tc>
          <w:tcPr>
            <w:tcW w:w="380" w:type="dxa"/>
            <w:vAlign w:val="bottom"/>
            <w:vMerge w:val="restart"/>
          </w:tcPr>
          <w:p>
            <w:pPr>
              <w:jc w:val="right"/>
              <w:ind w:right="48"/>
              <w:spacing w:after="0"/>
              <w:rPr>
                <w:sz w:val="20"/>
                <w:szCs w:val="20"/>
                <w:color w:val="auto"/>
              </w:rPr>
            </w:pPr>
            <w:r>
              <w:rPr>
                <w:rFonts w:ascii="Arial" w:cs="Arial" w:eastAsia="Arial" w:hAnsi="Arial"/>
                <w:sz w:val="14"/>
                <w:szCs w:val="14"/>
                <w:color w:val="auto"/>
              </w:rPr>
              <w:t>56</w:t>
            </w:r>
          </w:p>
        </w:tc>
        <w:tc>
          <w:tcPr>
            <w:tcW w:w="4860" w:type="dxa"/>
            <w:vAlign w:val="bottom"/>
            <w:vMerge w:val="restart"/>
          </w:tcPr>
          <w:p>
            <w:pPr>
              <w:jc w:val="right"/>
              <w:ind w:right="43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36"/>
        </w:trPr>
        <w:tc>
          <w:tcPr>
            <w:tcW w:w="460" w:type="dxa"/>
            <w:vAlign w:val="bottom"/>
          </w:tcPr>
          <w:p>
            <w:pPr>
              <w:spacing w:after="0"/>
              <w:rPr>
                <w:sz w:val="3"/>
                <w:szCs w:val="3"/>
                <w:color w:val="auto"/>
              </w:rPr>
            </w:pPr>
          </w:p>
        </w:tc>
        <w:tc>
          <w:tcPr>
            <w:tcW w:w="3160" w:type="dxa"/>
            <w:vAlign w:val="bottom"/>
            <w:vMerge w:val="restart"/>
          </w:tcPr>
          <w:p>
            <w:pPr>
              <w:ind w:left="260"/>
              <w:spacing w:after="0"/>
              <w:rPr>
                <w:sz w:val="20"/>
                <w:szCs w:val="20"/>
                <w:color w:val="auto"/>
              </w:rPr>
            </w:pPr>
            <w:r>
              <w:rPr>
                <w:rFonts w:ascii="Arial" w:cs="Arial" w:eastAsia="Arial" w:hAnsi="Arial"/>
                <w:sz w:val="14"/>
                <w:szCs w:val="14"/>
                <w:color w:val="auto"/>
              </w:rPr>
              <w:t>Member of the Managing Board</w:t>
            </w:r>
          </w:p>
        </w:tc>
        <w:tc>
          <w:tcPr>
            <w:tcW w:w="380" w:type="dxa"/>
            <w:vAlign w:val="bottom"/>
            <w:vMerge w:val="continue"/>
          </w:tcPr>
          <w:p>
            <w:pPr>
              <w:spacing w:after="0"/>
              <w:rPr>
                <w:sz w:val="3"/>
                <w:szCs w:val="3"/>
                <w:color w:val="auto"/>
              </w:rPr>
            </w:pPr>
          </w:p>
        </w:tc>
        <w:tc>
          <w:tcPr>
            <w:tcW w:w="4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46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4860" w:type="dxa"/>
            <w:vAlign w:val="bottom"/>
          </w:tcPr>
          <w:p>
            <w:pPr>
              <w:jc w:val="right"/>
              <w:ind w:right="242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-2317115</wp:posOffset>
            </wp:positionV>
            <wp:extent cx="128905"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000000"/>
                        </a:clrFrom>
                        <a:clrTo>
                          <a:srgbClr val="000000">
                            <a:alpha val="0"/>
                          </a:srgbClr>
                        </a:clrTo>
                      </a:clrChange>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-2317115</wp:posOffset>
            </wp:positionV>
            <wp:extent cx="128905"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-1793875</wp:posOffset>
            </wp:positionV>
            <wp:extent cx="411480" cy="411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-1776730</wp:posOffset>
            </wp:positionV>
            <wp:extent cx="12827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-1468120</wp:posOffset>
            </wp:positionV>
            <wp:extent cx="128905" cy="1117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5243195</wp:posOffset>
            </wp:positionH>
            <wp:positionV relativeFrom="paragraph">
              <wp:posOffset>-1536700</wp:posOffset>
            </wp:positionV>
            <wp:extent cx="146050" cy="145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-979805</wp:posOffset>
            </wp:positionV>
            <wp:extent cx="411480" cy="411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-774065</wp:posOffset>
            </wp:positionV>
            <wp:extent cx="128905" cy="1111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-859790</wp:posOffset>
            </wp:positionV>
            <wp:extent cx="17145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-414020</wp:posOffset>
            </wp:positionV>
            <wp:extent cx="41148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-199390</wp:posOffset>
            </wp:positionV>
            <wp:extent cx="128905" cy="111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-285115</wp:posOffset>
            </wp:positionV>
            <wp:extent cx="17145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ind w:left="800" w:hanging="553"/>
        <w:spacing w:after="0" w:line="184" w:lineRule="auto"/>
        <w:tabs>
          <w:tab w:leader="none" w:pos="800" w:val="left"/>
        </w:tabs>
        <w:numPr>
          <w:ilvl w:val="0"/>
          <w:numId w:val="36"/>
        </w:numPr>
        <w:rPr>
          <w:rFonts w:ascii="Arial" w:cs="Arial" w:eastAsia="Arial" w:hAnsi="Arial"/>
          <w:sz w:val="23"/>
          <w:szCs w:val="23"/>
          <w:color w:val="auto"/>
          <w:vertAlign w:val="superscript"/>
        </w:rPr>
      </w:pPr>
      <w:r>
        <w:rPr>
          <w:rFonts w:ascii="Arial" w:cs="Arial" w:eastAsia="Arial" w:hAnsi="Arial"/>
          <w:sz w:val="12"/>
          <w:szCs w:val="12"/>
          <w:color w:val="auto"/>
        </w:rPr>
        <w:t>Siemens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22225</wp:posOffset>
            </wp:positionV>
            <wp:extent cx="5623560" cy="4375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23560" cy="437515"/>
                    </a:xfrm>
                    <a:prstGeom prst="rect">
                      <a:avLst/>
                    </a:prstGeom>
                    <a:noFill/>
                  </pic:spPr>
                </pic:pic>
              </a:graphicData>
            </a:graphic>
          </wp:anchor>
        </w:drawing>
      </w:r>
    </w:p>
    <w:p>
      <w:pPr>
        <w:spacing w:after="0" w:line="88"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460" w:type="dxa"/>
            <w:vAlign w:val="bottom"/>
          </w:tcPr>
          <w:p>
            <w:pPr>
              <w:spacing w:after="0"/>
              <w:rPr>
                <w:sz w:val="17"/>
                <w:szCs w:val="17"/>
                <w:color w:val="auto"/>
              </w:rPr>
            </w:pPr>
          </w:p>
        </w:tc>
        <w:tc>
          <w:tcPr>
            <w:tcW w:w="2940" w:type="dxa"/>
            <w:vAlign w:val="bottom"/>
          </w:tcPr>
          <w:p>
            <w:pPr>
              <w:ind w:left="260"/>
              <w:spacing w:after="0"/>
              <w:rPr>
                <w:sz w:val="20"/>
                <w:szCs w:val="20"/>
                <w:color w:val="auto"/>
              </w:rPr>
            </w:pPr>
            <w:r>
              <w:rPr>
                <w:rFonts w:ascii="Arial" w:cs="Arial" w:eastAsia="Arial" w:hAnsi="Arial"/>
                <w:sz w:val="14"/>
                <w:szCs w:val="14"/>
                <w:b w:val="1"/>
                <w:bCs w:val="1"/>
                <w:color w:val="auto"/>
              </w:rPr>
              <w:t>Denis Machuel</w:t>
            </w: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60" w:type="dxa"/>
            <w:vAlign w:val="bottom"/>
          </w:tcPr>
          <w:p>
            <w:pPr>
              <w:spacing w:after="0"/>
              <w:rPr>
                <w:sz w:val="22"/>
                <w:szCs w:val="22"/>
                <w:color w:val="auto"/>
              </w:rPr>
            </w:pPr>
          </w:p>
        </w:tc>
        <w:tc>
          <w:tcPr>
            <w:tcW w:w="2940" w:type="dxa"/>
            <w:vAlign w:val="bottom"/>
          </w:tcPr>
          <w:p>
            <w:pPr>
              <w:ind w:left="260"/>
              <w:spacing w:after="0"/>
              <w:rPr>
                <w:sz w:val="20"/>
                <w:szCs w:val="20"/>
                <w:color w:val="auto"/>
              </w:rPr>
            </w:pPr>
            <w:r>
              <w:rPr>
                <w:rFonts w:ascii="Arial" w:cs="Arial" w:eastAsia="Arial" w:hAnsi="Arial"/>
                <w:sz w:val="14"/>
                <w:szCs w:val="14"/>
                <w:color w:val="auto"/>
              </w:rPr>
              <w:t>Chief Executive Officer</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160" w:type="dxa"/>
            <w:vAlign w:val="bottom"/>
          </w:tcPr>
          <w:p>
            <w:pPr>
              <w:jc w:val="right"/>
              <w:ind w:right="628"/>
              <w:spacing w:after="0"/>
              <w:rPr>
                <w:sz w:val="20"/>
                <w:szCs w:val="20"/>
                <w:color w:val="auto"/>
              </w:rPr>
            </w:pPr>
            <w:r>
              <w:rPr>
                <w:rFonts w:ascii="Arial" w:cs="Arial" w:eastAsia="Arial" w:hAnsi="Arial"/>
                <w:sz w:val="14"/>
                <w:szCs w:val="14"/>
                <w:color w:val="auto"/>
              </w:rPr>
              <w:t>2021</w:t>
            </w:r>
          </w:p>
        </w:tc>
        <w:tc>
          <w:tcPr>
            <w:tcW w:w="800" w:type="dxa"/>
            <w:vAlign w:val="bottom"/>
          </w:tcPr>
          <w:p>
            <w:pPr>
              <w:ind w:left="700"/>
              <w:spacing w:after="0"/>
              <w:rPr>
                <w:sz w:val="20"/>
                <w:szCs w:val="20"/>
                <w:color w:val="auto"/>
              </w:rPr>
            </w:pPr>
            <w:r>
              <w:rPr>
                <w:rFonts w:ascii="Arial" w:cs="Arial" w:eastAsia="Arial" w:hAnsi="Arial"/>
                <w:sz w:val="11"/>
                <w:szCs w:val="11"/>
                <w:color w:val="auto"/>
                <w:w w:val="72"/>
              </w:rPr>
              <w:t> </w:t>
            </w:r>
          </w:p>
        </w:tc>
        <w:tc>
          <w:tcPr>
            <w:tcW w:w="2900" w:type="dxa"/>
            <w:vAlign w:val="bottom"/>
          </w:tcPr>
          <w:p>
            <w:pPr>
              <w:ind w:lef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0"/>
        </w:trPr>
        <w:tc>
          <w:tcPr>
            <w:tcW w:w="460" w:type="dxa"/>
            <w:vAlign w:val="bottom"/>
            <w:vMerge w:val="restart"/>
          </w:tcPr>
          <w:p>
            <w:pPr>
              <w:ind w:left="160"/>
              <w:spacing w:after="0"/>
              <w:rPr>
                <w:sz w:val="20"/>
                <w:szCs w:val="20"/>
                <w:color w:val="auto"/>
              </w:rPr>
            </w:pPr>
            <w:r>
              <w:rPr>
                <w:rFonts w:ascii="Arial" w:cs="Arial" w:eastAsia="Arial" w:hAnsi="Arial"/>
                <w:sz w:val="14"/>
                <w:szCs w:val="14"/>
                <w:color w:val="auto"/>
              </w:rPr>
              <w:t> </w:t>
            </w:r>
          </w:p>
        </w:tc>
        <w:tc>
          <w:tcPr>
            <w:tcW w:w="2940" w:type="dxa"/>
            <w:vAlign w:val="bottom"/>
          </w:tcPr>
          <w:p>
            <w:pPr>
              <w:ind w:left="260"/>
              <w:spacing w:after="0"/>
              <w:rPr>
                <w:sz w:val="20"/>
                <w:szCs w:val="20"/>
                <w:color w:val="auto"/>
              </w:rPr>
            </w:pPr>
            <w:r>
              <w:rPr>
                <w:rFonts w:ascii="Arial" w:cs="Arial" w:eastAsia="Arial" w:hAnsi="Arial"/>
                <w:sz w:val="14"/>
                <w:szCs w:val="14"/>
                <w:color w:val="auto"/>
              </w:rPr>
              <w:t>The Adecco Group</w:t>
            </w: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60" w:type="dxa"/>
            <w:vAlign w:val="bottom"/>
            <w:vMerge w:val="continue"/>
          </w:tcPr>
          <w:p>
            <w:pPr>
              <w:spacing w:after="0"/>
              <w:rPr>
                <w:sz w:val="12"/>
                <w:szCs w:val="12"/>
                <w:color w:val="auto"/>
              </w:rPr>
            </w:pPr>
          </w:p>
        </w:tc>
        <w:tc>
          <w:tcPr>
            <w:tcW w:w="2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60" w:type="dxa"/>
            <w:vAlign w:val="bottom"/>
          </w:tcPr>
          <w:p>
            <w:pPr>
              <w:spacing w:after="0"/>
              <w:rPr>
                <w:sz w:val="20"/>
                <w:szCs w:val="20"/>
                <w:color w:val="auto"/>
              </w:rPr>
            </w:pPr>
          </w:p>
        </w:tc>
        <w:tc>
          <w:tcPr>
            <w:tcW w:w="2940" w:type="dxa"/>
            <w:vAlign w:val="bottom"/>
          </w:tcPr>
          <w:p>
            <w:pPr>
              <w:ind w:left="260"/>
              <w:spacing w:after="0"/>
              <w:rPr>
                <w:sz w:val="20"/>
                <w:szCs w:val="20"/>
                <w:color w:val="auto"/>
              </w:rPr>
            </w:pPr>
            <w:r>
              <w:rPr>
                <w:rFonts w:ascii="Arial" w:cs="Arial" w:eastAsia="Arial" w:hAnsi="Arial"/>
                <w:sz w:val="14"/>
                <w:szCs w:val="14"/>
                <w:b w:val="1"/>
                <w:bCs w:val="1"/>
                <w:color w:val="auto"/>
              </w:rPr>
              <w:t>Rahul N. Merchant</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940" w:type="dxa"/>
            <w:vAlign w:val="bottom"/>
          </w:tcPr>
          <w:p>
            <w:pPr>
              <w:ind w:left="260"/>
              <w:spacing w:after="0"/>
              <w:rPr>
                <w:sz w:val="20"/>
                <w:szCs w:val="20"/>
                <w:color w:val="auto"/>
              </w:rPr>
            </w:pPr>
            <w:r>
              <w:rPr>
                <w:rFonts w:ascii="Arial" w:cs="Arial" w:eastAsia="Arial" w:hAnsi="Arial"/>
                <w:sz w:val="14"/>
                <w:szCs w:val="14"/>
                <w:color w:val="auto"/>
              </w:rPr>
              <w:t>Former Head of Client Services and</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69</w:t>
            </w:r>
          </w:p>
        </w:tc>
        <w:tc>
          <w:tcPr>
            <w:tcW w:w="1160" w:type="dxa"/>
            <w:vAlign w:val="bottom"/>
            <w:vMerge w:val="restart"/>
          </w:tcPr>
          <w:p>
            <w:pPr>
              <w:jc w:val="right"/>
              <w:ind w:right="628"/>
              <w:spacing w:after="0"/>
              <w:rPr>
                <w:sz w:val="20"/>
                <w:szCs w:val="20"/>
                <w:color w:val="auto"/>
              </w:rPr>
            </w:pPr>
            <w:r>
              <w:rPr>
                <w:rFonts w:ascii="Arial" w:cs="Arial" w:eastAsia="Arial" w:hAnsi="Arial"/>
                <w:sz w:val="14"/>
                <w:szCs w:val="14"/>
                <w:color w:val="auto"/>
              </w:rPr>
              <w:t>2021</w:t>
            </w:r>
          </w:p>
        </w:tc>
        <w:tc>
          <w:tcPr>
            <w:tcW w:w="800" w:type="dxa"/>
            <w:vAlign w:val="bottom"/>
            <w:vMerge w:val="restart"/>
          </w:tcPr>
          <w:p>
            <w:pPr>
              <w:ind w:left="700"/>
              <w:spacing w:after="0"/>
              <w:rPr>
                <w:sz w:val="20"/>
                <w:szCs w:val="20"/>
                <w:color w:val="auto"/>
              </w:rPr>
            </w:pPr>
            <w:r>
              <w:rPr>
                <w:rFonts w:ascii="Arial" w:cs="Arial" w:eastAsia="Arial" w:hAnsi="Arial"/>
                <w:sz w:val="11"/>
                <w:szCs w:val="11"/>
                <w:color w:val="auto"/>
                <w:w w:val="72"/>
              </w:rPr>
              <w:t> </w:t>
            </w:r>
          </w:p>
        </w:tc>
        <w:tc>
          <w:tcPr>
            <w:tcW w:w="29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2940" w:type="dxa"/>
            <w:vAlign w:val="bottom"/>
          </w:tcPr>
          <w:p>
            <w:pPr>
              <w:ind w:left="260"/>
              <w:spacing w:after="0"/>
              <w:rPr>
                <w:sz w:val="20"/>
                <w:szCs w:val="20"/>
                <w:color w:val="auto"/>
              </w:rPr>
            </w:pPr>
            <w:r>
              <w:rPr>
                <w:rFonts w:ascii="Arial" w:cs="Arial" w:eastAsia="Arial" w:hAnsi="Arial"/>
                <w:sz w:val="14"/>
                <w:szCs w:val="14"/>
                <w:color w:val="auto"/>
              </w:rPr>
              <w:t>Technology and Member of</w:t>
            </w:r>
          </w:p>
        </w:tc>
        <w:tc>
          <w:tcPr>
            <w:tcW w:w="60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 w:type="dxa"/>
            <w:vAlign w:val="bottom"/>
          </w:tcPr>
          <w:p>
            <w:pPr>
              <w:ind w:left="160"/>
              <w:spacing w:after="0"/>
              <w:rPr>
                <w:sz w:val="20"/>
                <w:szCs w:val="20"/>
                <w:color w:val="auto"/>
              </w:rPr>
            </w:pPr>
            <w:r>
              <w:rPr>
                <w:rFonts w:ascii="Arial" w:cs="Arial" w:eastAsia="Arial" w:hAnsi="Arial"/>
                <w:sz w:val="14"/>
                <w:szCs w:val="14"/>
                <w:color w:val="auto"/>
              </w:rPr>
              <w:t> </w:t>
            </w:r>
          </w:p>
        </w:tc>
        <w:tc>
          <w:tcPr>
            <w:tcW w:w="2940" w:type="dxa"/>
            <w:vAlign w:val="bottom"/>
          </w:tcPr>
          <w:p>
            <w:pPr>
              <w:ind w:left="260"/>
              <w:spacing w:after="0"/>
              <w:rPr>
                <w:sz w:val="20"/>
                <w:szCs w:val="20"/>
                <w:color w:val="auto"/>
              </w:rPr>
            </w:pPr>
            <w:r>
              <w:rPr>
                <w:rFonts w:ascii="Arial" w:cs="Arial" w:eastAsia="Arial" w:hAnsi="Arial"/>
                <w:sz w:val="14"/>
                <w:szCs w:val="14"/>
                <w:color w:val="auto"/>
              </w:rPr>
              <w:t>Executive Committee</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940" w:type="dxa"/>
            <w:vAlign w:val="bottom"/>
          </w:tcPr>
          <w:p>
            <w:pPr>
              <w:ind w:left="260"/>
              <w:spacing w:after="0"/>
              <w:rPr>
                <w:sz w:val="20"/>
                <w:szCs w:val="20"/>
                <w:color w:val="auto"/>
              </w:rPr>
            </w:pPr>
            <w:r>
              <w:rPr>
                <w:rFonts w:ascii="Arial" w:cs="Arial" w:eastAsia="Arial" w:hAnsi="Arial"/>
                <w:sz w:val="14"/>
                <w:szCs w:val="14"/>
                <w:color w:val="auto"/>
              </w:rPr>
              <w:t>TIAA-CREF</w:t>
            </w: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60" w:type="dxa"/>
            <w:vAlign w:val="bottom"/>
          </w:tcPr>
          <w:p>
            <w:pPr>
              <w:spacing w:after="0"/>
              <w:rPr>
                <w:sz w:val="20"/>
                <w:szCs w:val="20"/>
                <w:color w:val="auto"/>
              </w:rPr>
            </w:pPr>
          </w:p>
        </w:tc>
        <w:tc>
          <w:tcPr>
            <w:tcW w:w="2940" w:type="dxa"/>
            <w:vAlign w:val="bottom"/>
          </w:tcPr>
          <w:p>
            <w:pPr>
              <w:ind w:left="260"/>
              <w:spacing w:after="0"/>
              <w:rPr>
                <w:sz w:val="20"/>
                <w:szCs w:val="20"/>
                <w:color w:val="auto"/>
              </w:rPr>
            </w:pPr>
            <w:r>
              <w:rPr>
                <w:rFonts w:ascii="Arial" w:cs="Arial" w:eastAsia="Arial" w:hAnsi="Arial"/>
                <w:sz w:val="14"/>
                <w:szCs w:val="14"/>
                <w:b w:val="1"/>
                <w:bCs w:val="1"/>
                <w:color w:val="auto"/>
              </w:rPr>
              <w:t>Jana Schreuder</w:t>
            </w: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940" w:type="dxa"/>
            <w:vAlign w:val="bottom"/>
          </w:tcPr>
          <w:p>
            <w:pPr>
              <w:ind w:left="260"/>
              <w:spacing w:after="0"/>
              <w:rPr>
                <w:sz w:val="20"/>
                <w:szCs w:val="20"/>
                <w:color w:val="auto"/>
              </w:rPr>
            </w:pPr>
            <w:r>
              <w:rPr>
                <w:rFonts w:ascii="Arial" w:cs="Arial" w:eastAsia="Arial" w:hAnsi="Arial"/>
                <w:sz w:val="14"/>
                <w:szCs w:val="14"/>
                <w:color w:val="auto"/>
              </w:rPr>
              <w:t>Retired Executive Vice President and</w:t>
            </w: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67</w:t>
            </w:r>
          </w:p>
        </w:tc>
        <w:tc>
          <w:tcPr>
            <w:tcW w:w="1160" w:type="dxa"/>
            <w:vAlign w:val="bottom"/>
            <w:vMerge w:val="restart"/>
          </w:tcPr>
          <w:p>
            <w:pPr>
              <w:jc w:val="right"/>
              <w:ind w:right="628"/>
              <w:spacing w:after="0"/>
              <w:rPr>
                <w:sz w:val="20"/>
                <w:szCs w:val="20"/>
                <w:color w:val="auto"/>
              </w:rPr>
            </w:pPr>
            <w:r>
              <w:rPr>
                <w:rFonts w:ascii="Arial" w:cs="Arial" w:eastAsia="Arial" w:hAnsi="Arial"/>
                <w:sz w:val="14"/>
                <w:szCs w:val="14"/>
                <w:color w:val="auto"/>
              </w:rPr>
              <w:t>2021</w:t>
            </w:r>
          </w:p>
        </w:tc>
        <w:tc>
          <w:tcPr>
            <w:tcW w:w="8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460" w:type="dxa"/>
            <w:vAlign w:val="bottom"/>
          </w:tcPr>
          <w:p>
            <w:pPr>
              <w:spacing w:after="0"/>
              <w:rPr>
                <w:sz w:val="7"/>
                <w:szCs w:val="7"/>
                <w:color w:val="auto"/>
              </w:rPr>
            </w:pPr>
          </w:p>
        </w:tc>
        <w:tc>
          <w:tcPr>
            <w:tcW w:w="2940" w:type="dxa"/>
            <w:vAlign w:val="bottom"/>
            <w:vMerge w:val="restart"/>
          </w:tcPr>
          <w:p>
            <w:pPr>
              <w:ind w:left="260"/>
              <w:spacing w:after="0"/>
              <w:rPr>
                <w:sz w:val="20"/>
                <w:szCs w:val="20"/>
                <w:color w:val="auto"/>
              </w:rPr>
            </w:pPr>
            <w:r>
              <w:rPr>
                <w:rFonts w:ascii="Arial" w:cs="Arial" w:eastAsia="Arial" w:hAnsi="Arial"/>
                <w:sz w:val="14"/>
                <w:szCs w:val="14"/>
                <w:color w:val="auto"/>
              </w:rPr>
              <w:t>Chief Operating Officer</w:t>
            </w:r>
          </w:p>
        </w:tc>
        <w:tc>
          <w:tcPr>
            <w:tcW w:w="6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900" w:type="dxa"/>
            <w:vAlign w:val="bottom"/>
            <w:vMerge w:val="restart"/>
          </w:tcPr>
          <w:p>
            <w:pPr>
              <w:ind w:left="360"/>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22"/>
        </w:trPr>
        <w:tc>
          <w:tcPr>
            <w:tcW w:w="46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-1468755</wp:posOffset>
            </wp:positionV>
            <wp:extent cx="128905" cy="111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clrChange>
                        <a:clrFrom>
                          <a:srgbClr val="000000"/>
                        </a:clrFrom>
                        <a:clrTo>
                          <a:srgbClr val="000000">
                            <a:alpha val="0"/>
                          </a:srgbClr>
                        </a:clrTo>
                      </a:clrChange>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-1468755</wp:posOffset>
            </wp:positionV>
            <wp:extent cx="128905" cy="111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-1511300</wp:posOffset>
            </wp:positionV>
            <wp:extent cx="17145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clrChange>
                        <a:clrFrom>
                          <a:srgbClr val="000000"/>
                        </a:clrFrom>
                        <a:clrTo>
                          <a:srgbClr val="000000">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-1511300</wp:posOffset>
            </wp:positionV>
            <wp:extent cx="17145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-1451610</wp:posOffset>
            </wp:positionV>
            <wp:extent cx="111760"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000000"/>
                        </a:clrFrom>
                        <a:clrTo>
                          <a:srgbClr val="000000">
                            <a:alpha val="0"/>
                          </a:srgbClr>
                        </a:clrTo>
                      </a:clrChange>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-1451610</wp:posOffset>
            </wp:positionV>
            <wp:extent cx="111760"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-1108710</wp:posOffset>
            </wp:positionV>
            <wp:extent cx="411480" cy="411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-834390</wp:posOffset>
            </wp:positionV>
            <wp:extent cx="128905" cy="1111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-876935</wp:posOffset>
            </wp:positionV>
            <wp:extent cx="17145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-817245</wp:posOffset>
            </wp:positionV>
            <wp:extent cx="111760"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-405765</wp:posOffset>
            </wp:positionV>
            <wp:extent cx="411480" cy="411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-191135</wp:posOffset>
            </wp:positionV>
            <wp:extent cx="128905" cy="111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-259715</wp:posOffset>
            </wp:positionV>
            <wp:extent cx="14605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46050" cy="146050"/>
                    </a:xfrm>
                    <a:prstGeom prst="rect">
                      <a:avLst/>
                    </a:prstGeom>
                    <a:noFill/>
                  </pic:spPr>
                </pic:pic>
              </a:graphicData>
            </a:graphic>
          </wp:anchor>
        </w:drawing>
      </w:r>
    </w:p>
    <w:p>
      <w:pPr>
        <w:ind w:left="800" w:hanging="553"/>
        <w:spacing w:after="0" w:line="180" w:lineRule="auto"/>
        <w:tabs>
          <w:tab w:leader="none" w:pos="800" w:val="left"/>
        </w:tabs>
        <w:numPr>
          <w:ilvl w:val="0"/>
          <w:numId w:val="37"/>
        </w:numPr>
        <w:rPr>
          <w:rFonts w:ascii="Arial" w:cs="Arial" w:eastAsia="Arial" w:hAnsi="Arial"/>
          <w:sz w:val="25"/>
          <w:szCs w:val="25"/>
          <w:color w:val="auto"/>
          <w:vertAlign w:val="superscript"/>
        </w:rPr>
      </w:pPr>
      <w:r>
        <w:rPr>
          <w:rFonts w:ascii="Arial" w:cs="Arial" w:eastAsia="Arial" w:hAnsi="Arial"/>
          <w:sz w:val="13"/>
          <w:szCs w:val="13"/>
          <w:color w:val="auto"/>
        </w:rPr>
        <w:t>Northern Trust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22225</wp:posOffset>
            </wp:positionV>
            <wp:extent cx="5623560" cy="4375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23560" cy="437515"/>
                    </a:xfrm>
                    <a:prstGeom prst="rect">
                      <a:avLst/>
                    </a:prstGeom>
                    <a:noFill/>
                  </pic:spPr>
                </pic:pic>
              </a:graphicData>
            </a:graphic>
          </wp:anchor>
        </w:drawing>
      </w:r>
    </w:p>
    <w:p>
      <w:pPr>
        <w:spacing w:after="0" w:line="149"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ind w:left="400"/>
              <w:spacing w:after="0"/>
              <w:rPr>
                <w:sz w:val="20"/>
                <w:szCs w:val="20"/>
                <w:color w:val="auto"/>
              </w:rPr>
            </w:pPr>
            <w:r>
              <w:rPr>
                <w:rFonts w:ascii="Arial" w:cs="Arial" w:eastAsia="Arial" w:hAnsi="Arial"/>
                <w:sz w:val="14"/>
                <w:szCs w:val="14"/>
                <w:b w:val="1"/>
                <w:bCs w:val="1"/>
                <w:color w:val="auto"/>
              </w:rPr>
              <w:t xml:space="preserve">Martin Schroeter </w:t>
            </w:r>
            <w:r>
              <w:rPr>
                <w:rFonts w:ascii="Arial" w:cs="Arial" w:eastAsia="Arial" w:hAnsi="Arial"/>
                <w:sz w:val="14"/>
                <w:szCs w:val="14"/>
                <w:color w:val="auto"/>
              </w:rPr>
              <w:t xml:space="preserve"> </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3"/>
          </w:tcPr>
          <w:p>
            <w:pPr>
              <w:ind w:left="400"/>
              <w:spacing w:after="0"/>
              <w:rPr>
                <w:sz w:val="20"/>
                <w:szCs w:val="20"/>
                <w:color w:val="auto"/>
              </w:rPr>
            </w:pPr>
            <w:r>
              <w:rPr>
                <w:rFonts w:ascii="Arial" w:cs="Arial" w:eastAsia="Arial" w:hAnsi="Arial"/>
                <w:sz w:val="14"/>
                <w:szCs w:val="14"/>
                <w:color w:val="auto"/>
              </w:rPr>
              <w:t>Chairman and Chief Executive Officer</w:t>
            </w:r>
          </w:p>
        </w:tc>
        <w:tc>
          <w:tcPr>
            <w:tcW w:w="300" w:type="dxa"/>
            <w:vAlign w:val="bottom"/>
          </w:tcPr>
          <w:p>
            <w:pPr>
              <w:jc w:val="right"/>
              <w:spacing w:after="0"/>
              <w:rPr>
                <w:sz w:val="20"/>
                <w:szCs w:val="20"/>
                <w:color w:val="auto"/>
              </w:rPr>
            </w:pPr>
            <w:r>
              <w:rPr>
                <w:rFonts w:ascii="Arial" w:cs="Arial" w:eastAsia="Arial" w:hAnsi="Arial"/>
                <w:sz w:val="14"/>
                <w:szCs w:val="14"/>
                <w:color w:val="auto"/>
              </w:rPr>
              <w:t>61</w:t>
            </w:r>
          </w:p>
        </w:tc>
        <w:tc>
          <w:tcPr>
            <w:tcW w:w="160" w:type="dxa"/>
            <w:vAlign w:val="bottom"/>
          </w:tcPr>
          <w:p>
            <w:pPr>
              <w:spacing w:after="0"/>
              <w:rPr>
                <w:sz w:val="19"/>
                <w:szCs w:val="19"/>
                <w:color w:val="auto"/>
              </w:rPr>
            </w:pPr>
          </w:p>
        </w:tc>
        <w:tc>
          <w:tcPr>
            <w:tcW w:w="1300" w:type="dxa"/>
            <w:vAlign w:val="bottom"/>
          </w:tcPr>
          <w:p>
            <w:pPr>
              <w:jc w:val="right"/>
              <w:ind w:right="868"/>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1940" w:type="dxa"/>
            <w:vAlign w:val="bottom"/>
            <w:gridSpan w:val="2"/>
          </w:tcPr>
          <w:p>
            <w:pPr>
              <w:ind w:left="400"/>
              <w:spacing w:after="0"/>
              <w:rPr>
                <w:sz w:val="20"/>
                <w:szCs w:val="20"/>
                <w:color w:val="auto"/>
              </w:rPr>
            </w:pPr>
            <w:r>
              <w:rPr>
                <w:rFonts w:ascii="Arial" w:cs="Arial" w:eastAsia="Arial" w:hAnsi="Arial"/>
                <w:sz w:val="14"/>
                <w:szCs w:val="14"/>
                <w:color w:val="auto"/>
              </w:rPr>
              <w:t>Kyndryl Holdings, Inc.</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400"/>
              <w:spacing w:after="0"/>
              <w:rPr>
                <w:sz w:val="20"/>
                <w:szCs w:val="20"/>
                <w:color w:val="auto"/>
              </w:rPr>
            </w:pPr>
            <w:r>
              <w:rPr>
                <w:rFonts w:ascii="Arial" w:cs="Arial" w:eastAsia="Arial" w:hAnsi="Arial"/>
                <w:sz w:val="14"/>
                <w:szCs w:val="14"/>
                <w:b w:val="1"/>
                <w:bCs w:val="1"/>
                <w:color w:val="auto"/>
              </w:rPr>
              <w:t>Howard I. Ungerleider</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20" w:type="dxa"/>
            <w:vAlign w:val="bottom"/>
            <w:gridSpan w:val="3"/>
          </w:tcPr>
          <w:p>
            <w:pPr>
              <w:ind w:left="400"/>
              <w:spacing w:after="0"/>
              <w:rPr>
                <w:sz w:val="20"/>
                <w:szCs w:val="20"/>
                <w:color w:val="auto"/>
              </w:rPr>
            </w:pPr>
            <w:r>
              <w:rPr>
                <w:rFonts w:ascii="Arial" w:cs="Arial" w:eastAsia="Arial" w:hAnsi="Arial"/>
                <w:sz w:val="14"/>
                <w:szCs w:val="14"/>
                <w:color w:val="auto"/>
              </w:rPr>
              <w:t>Retired President and Chief Financial Officer</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160" w:type="dxa"/>
            <w:vAlign w:val="bottom"/>
          </w:tcPr>
          <w:p>
            <w:pPr>
              <w:spacing w:after="0"/>
              <w:rPr>
                <w:sz w:val="20"/>
                <w:szCs w:val="20"/>
                <w:color w:val="auto"/>
              </w:rPr>
            </w:pPr>
          </w:p>
        </w:tc>
        <w:tc>
          <w:tcPr>
            <w:tcW w:w="1300" w:type="dxa"/>
            <w:vAlign w:val="bottom"/>
            <w:vMerge w:val="restart"/>
          </w:tcPr>
          <w:p>
            <w:pPr>
              <w:jc w:val="right"/>
              <w:ind w:right="868"/>
              <w:spacing w:after="0"/>
              <w:rPr>
                <w:sz w:val="20"/>
                <w:szCs w:val="20"/>
                <w:color w:val="auto"/>
              </w:rPr>
            </w:pPr>
            <w:r>
              <w:rPr>
                <w:rFonts w:ascii="Arial" w:cs="Arial" w:eastAsia="Arial" w:hAnsi="Arial"/>
                <w:sz w:val="14"/>
                <w:szCs w:val="14"/>
                <w:color w:val="auto"/>
              </w:rPr>
              <w:t>2021</w:t>
            </w:r>
          </w:p>
        </w:tc>
        <w:tc>
          <w:tcPr>
            <w:tcW w:w="520" w:type="dxa"/>
            <w:vAlign w:val="bottom"/>
          </w:tcPr>
          <w:p>
            <w:pPr>
              <w:spacing w:after="0"/>
              <w:rPr>
                <w:sz w:val="20"/>
                <w:szCs w:val="20"/>
                <w:color w:val="auto"/>
              </w:rPr>
            </w:pPr>
          </w:p>
        </w:tc>
        <w:tc>
          <w:tcPr>
            <w:tcW w:w="1180" w:type="dxa"/>
            <w:vAlign w:val="bottom"/>
            <w:vMerge w:val="restart"/>
          </w:tcPr>
          <w:p>
            <w:pPr>
              <w:ind w:left="400"/>
              <w:spacing w:after="0"/>
              <w:rPr>
                <w:sz w:val="20"/>
                <w:szCs w:val="20"/>
                <w:color w:val="auto"/>
              </w:rPr>
            </w:pPr>
            <w:r>
              <w:rPr>
                <w:rFonts w:ascii="Arial" w:cs="Arial" w:eastAsia="Arial" w:hAnsi="Arial"/>
                <w:sz w:val="14"/>
                <w:szCs w:val="14"/>
                <w:color w:val="auto"/>
              </w:rPr>
              <w:t> </w:t>
            </w: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vMerge w:val="restart"/>
          </w:tcPr>
          <w:p>
            <w:pPr>
              <w:ind w:left="400"/>
              <w:spacing w:after="0"/>
              <w:rPr>
                <w:sz w:val="20"/>
                <w:szCs w:val="20"/>
                <w:color w:val="auto"/>
              </w:rPr>
            </w:pPr>
            <w:r>
              <w:rPr>
                <w:rFonts w:ascii="Arial" w:cs="Arial" w:eastAsia="Arial" w:hAnsi="Arial"/>
                <w:sz w:val="14"/>
                <w:szCs w:val="14"/>
                <w:color w:val="auto"/>
              </w:rPr>
              <w:t>Dow Inc.</w:t>
            </w:r>
          </w:p>
        </w:tc>
        <w:tc>
          <w:tcPr>
            <w:tcW w:w="6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13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F0533D"/>
            </w:tcBorders>
          </w:tcPr>
          <w:p>
            <w:pPr>
              <w:spacing w:after="0"/>
              <w:rPr>
                <w:sz w:val="3"/>
                <w:szCs w:val="3"/>
                <w:color w:val="auto"/>
              </w:rPr>
            </w:pPr>
          </w:p>
        </w:tc>
        <w:tc>
          <w:tcPr>
            <w:tcW w:w="220" w:type="dxa"/>
            <w:vAlign w:val="bottom"/>
            <w:tcBorders>
              <w:bottom w:val="single" w:sz="8" w:color="F0533D"/>
            </w:tcBorders>
          </w:tcPr>
          <w:p>
            <w:pPr>
              <w:spacing w:after="0"/>
              <w:rPr>
                <w:sz w:val="3"/>
                <w:szCs w:val="3"/>
                <w:color w:val="auto"/>
              </w:rPr>
            </w:pPr>
          </w:p>
        </w:tc>
        <w:tc>
          <w:tcPr>
            <w:tcW w:w="1340" w:type="dxa"/>
            <w:vAlign w:val="bottom"/>
            <w:tcBorders>
              <w:bottom w:val="single" w:sz="8" w:color="F0533D"/>
            </w:tcBorders>
          </w:tcPr>
          <w:p>
            <w:pPr>
              <w:spacing w:after="0"/>
              <w:rPr>
                <w:sz w:val="3"/>
                <w:szCs w:val="3"/>
                <w:color w:val="auto"/>
              </w:rPr>
            </w:pPr>
          </w:p>
        </w:tc>
        <w:tc>
          <w:tcPr>
            <w:tcW w:w="600" w:type="dxa"/>
            <w:vAlign w:val="bottom"/>
            <w:tcBorders>
              <w:bottom w:val="single" w:sz="8" w:color="F0533D"/>
            </w:tcBorders>
          </w:tcPr>
          <w:p>
            <w:pPr>
              <w:spacing w:after="0"/>
              <w:rPr>
                <w:sz w:val="3"/>
                <w:szCs w:val="3"/>
                <w:color w:val="auto"/>
              </w:rPr>
            </w:pPr>
          </w:p>
        </w:tc>
        <w:tc>
          <w:tcPr>
            <w:tcW w:w="1380" w:type="dxa"/>
            <w:vAlign w:val="bottom"/>
            <w:tcBorders>
              <w:bottom w:val="single" w:sz="8" w:color="F0533D"/>
            </w:tcBorders>
          </w:tcPr>
          <w:p>
            <w:pPr>
              <w:spacing w:after="0"/>
              <w:rPr>
                <w:sz w:val="3"/>
                <w:szCs w:val="3"/>
                <w:color w:val="auto"/>
              </w:rPr>
            </w:pPr>
          </w:p>
        </w:tc>
        <w:tc>
          <w:tcPr>
            <w:tcW w:w="300" w:type="dxa"/>
            <w:vAlign w:val="bottom"/>
            <w:tcBorders>
              <w:bottom w:val="single" w:sz="8" w:color="F0533D"/>
            </w:tcBorders>
          </w:tcPr>
          <w:p>
            <w:pPr>
              <w:spacing w:after="0"/>
              <w:rPr>
                <w:sz w:val="3"/>
                <w:szCs w:val="3"/>
                <w:color w:val="auto"/>
              </w:rPr>
            </w:pPr>
          </w:p>
        </w:tc>
        <w:tc>
          <w:tcPr>
            <w:tcW w:w="160" w:type="dxa"/>
            <w:vAlign w:val="bottom"/>
            <w:tcBorders>
              <w:bottom w:val="single" w:sz="8" w:color="F0533D"/>
            </w:tcBorders>
          </w:tcPr>
          <w:p>
            <w:pPr>
              <w:spacing w:after="0"/>
              <w:rPr>
                <w:sz w:val="3"/>
                <w:szCs w:val="3"/>
                <w:color w:val="auto"/>
              </w:rPr>
            </w:pPr>
          </w:p>
        </w:tc>
        <w:tc>
          <w:tcPr>
            <w:tcW w:w="1300" w:type="dxa"/>
            <w:vAlign w:val="bottom"/>
            <w:tcBorders>
              <w:bottom w:val="single" w:sz="8" w:color="F0533D"/>
            </w:tcBorders>
          </w:tcPr>
          <w:p>
            <w:pPr>
              <w:spacing w:after="0"/>
              <w:rPr>
                <w:sz w:val="3"/>
                <w:szCs w:val="3"/>
                <w:color w:val="auto"/>
              </w:rPr>
            </w:pPr>
          </w:p>
        </w:tc>
        <w:tc>
          <w:tcPr>
            <w:tcW w:w="520" w:type="dxa"/>
            <w:vAlign w:val="bottom"/>
            <w:tcBorders>
              <w:bottom w:val="single" w:sz="8" w:color="F0533D"/>
            </w:tcBorders>
          </w:tcPr>
          <w:p>
            <w:pPr>
              <w:spacing w:after="0"/>
              <w:rPr>
                <w:sz w:val="3"/>
                <w:szCs w:val="3"/>
                <w:color w:val="auto"/>
              </w:rPr>
            </w:pPr>
          </w:p>
        </w:tc>
        <w:tc>
          <w:tcPr>
            <w:tcW w:w="1180" w:type="dxa"/>
            <w:vAlign w:val="bottom"/>
            <w:tcBorders>
              <w:bottom w:val="single" w:sz="8" w:color="F0533D"/>
            </w:tcBorders>
          </w:tcPr>
          <w:p>
            <w:pPr>
              <w:spacing w:after="0"/>
              <w:rPr>
                <w:sz w:val="3"/>
                <w:szCs w:val="3"/>
                <w:color w:val="auto"/>
              </w:rPr>
            </w:pPr>
          </w:p>
        </w:tc>
        <w:tc>
          <w:tcPr>
            <w:tcW w:w="480" w:type="dxa"/>
            <w:vAlign w:val="bottom"/>
            <w:tcBorders>
              <w:bottom w:val="single" w:sz="8" w:color="F0533D"/>
            </w:tcBorders>
          </w:tcPr>
          <w:p>
            <w:pPr>
              <w:spacing w:after="0"/>
              <w:rPr>
                <w:sz w:val="3"/>
                <w:szCs w:val="3"/>
                <w:color w:val="auto"/>
              </w:rPr>
            </w:pPr>
          </w:p>
        </w:tc>
        <w:tc>
          <w:tcPr>
            <w:tcW w:w="1280" w:type="dxa"/>
            <w:vAlign w:val="bottom"/>
            <w:tcBorders>
              <w:bottom w:val="single" w:sz="8" w:color="F0533D"/>
            </w:tcBorders>
          </w:tcPr>
          <w:p>
            <w:pPr>
              <w:spacing w:after="0"/>
              <w:rPr>
                <w:sz w:val="3"/>
                <w:szCs w:val="3"/>
                <w:color w:val="auto"/>
              </w:rPr>
            </w:pPr>
          </w:p>
        </w:tc>
        <w:tc>
          <w:tcPr>
            <w:tcW w:w="0" w:type="dxa"/>
            <w:vAlign w:val="bottom"/>
          </w:tcPr>
          <w:p>
            <w:pPr>
              <w:spacing w:after="0"/>
              <w:rPr>
                <w:sz w:val="1"/>
                <w:szCs w:val="1"/>
                <w:color w:val="auto"/>
              </w:rPr>
            </w:pPr>
          </w:p>
        </w:tc>
      </w:tr>
      <w:tr>
        <w:trPr>
          <w:trHeight w:val="470"/>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4"/>
                <w:szCs w:val="14"/>
                <w:color w:val="auto"/>
              </w:rPr>
              <w:t>Chairman of the</w:t>
            </w:r>
          </w:p>
        </w:tc>
        <w:tc>
          <w:tcPr>
            <w:tcW w:w="60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4"/>
                <w:szCs w:val="14"/>
                <w:color w:val="auto"/>
              </w:rPr>
              <w:t>Lead Independent</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ind w:left="340"/>
              <w:spacing w:after="0"/>
              <w:rPr>
                <w:sz w:val="20"/>
                <w:szCs w:val="20"/>
                <w:color w:val="auto"/>
              </w:rPr>
            </w:pPr>
            <w:r>
              <w:rPr>
                <w:rFonts w:ascii="Arial" w:cs="Arial" w:eastAsia="Arial" w:hAnsi="Arial"/>
                <w:sz w:val="14"/>
                <w:szCs w:val="14"/>
                <w:color w:val="auto"/>
              </w:rPr>
              <w:t>Committee</w:t>
            </w:r>
          </w:p>
        </w:tc>
        <w:tc>
          <w:tcPr>
            <w:tcW w:w="520" w:type="dxa"/>
            <w:vAlign w:val="bottom"/>
          </w:tcPr>
          <w:p>
            <w:pPr>
              <w:spacing w:after="0"/>
              <w:rPr>
                <w:sz w:val="24"/>
                <w:szCs w:val="24"/>
                <w:color w:val="auto"/>
              </w:rPr>
            </w:pPr>
          </w:p>
        </w:tc>
        <w:tc>
          <w:tcPr>
            <w:tcW w:w="1180" w:type="dxa"/>
            <w:vAlign w:val="bottom"/>
          </w:tcPr>
          <w:p>
            <w:pPr>
              <w:ind w:left="220"/>
              <w:spacing w:after="0"/>
              <w:rPr>
                <w:sz w:val="20"/>
                <w:szCs w:val="20"/>
                <w:color w:val="auto"/>
              </w:rPr>
            </w:pPr>
            <w:r>
              <w:rPr>
                <w:rFonts w:ascii="Arial" w:cs="Arial" w:eastAsia="Arial" w:hAnsi="Arial"/>
                <w:sz w:val="14"/>
                <w:szCs w:val="14"/>
                <w:color w:val="auto"/>
              </w:rPr>
              <w:t>Committee</w:t>
            </w:r>
          </w:p>
        </w:tc>
        <w:tc>
          <w:tcPr>
            <w:tcW w:w="480" w:type="dxa"/>
            <w:vAlign w:val="bottom"/>
          </w:tcPr>
          <w:p>
            <w:pPr>
              <w:spacing w:after="0"/>
              <w:rPr>
                <w:sz w:val="24"/>
                <w:szCs w:val="24"/>
                <w:color w:val="auto"/>
              </w:rPr>
            </w:pPr>
          </w:p>
        </w:tc>
        <w:tc>
          <w:tcPr>
            <w:tcW w:w="1280" w:type="dxa"/>
            <w:vAlign w:val="bottom"/>
          </w:tcPr>
          <w:p>
            <w:pPr>
              <w:ind w:left="160"/>
              <w:spacing w:after="0"/>
              <w:rPr>
                <w:sz w:val="20"/>
                <w:szCs w:val="20"/>
                <w:color w:val="auto"/>
              </w:rPr>
            </w:pPr>
            <w:r>
              <w:rPr>
                <w:rFonts w:ascii="Arial" w:cs="Arial" w:eastAsia="Arial" w:hAnsi="Arial"/>
                <w:sz w:val="14"/>
                <w:szCs w:val="14"/>
                <w:color w:val="auto"/>
              </w:rPr>
              <w:t>Audit Committee</w:t>
            </w:r>
          </w:p>
        </w:tc>
        <w:tc>
          <w:tcPr>
            <w:tcW w:w="0" w:type="dxa"/>
            <w:vAlign w:val="bottom"/>
          </w:tcPr>
          <w:p>
            <w:pPr>
              <w:spacing w:after="0"/>
              <w:rPr>
                <w:sz w:val="1"/>
                <w:szCs w:val="1"/>
                <w:color w:val="auto"/>
              </w:rPr>
            </w:pPr>
          </w:p>
        </w:tc>
      </w:tr>
      <w:tr>
        <w:trPr>
          <w:trHeight w:val="298"/>
        </w:trPr>
        <w:tc>
          <w:tcPr>
            <w:tcW w:w="100" w:type="dxa"/>
            <w:vAlign w:val="bottom"/>
          </w:tcPr>
          <w:p>
            <w:pP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Arial" w:cs="Arial" w:eastAsia="Arial" w:hAnsi="Arial"/>
                <w:sz w:val="14"/>
                <w:szCs w:val="14"/>
                <w:color w:val="auto"/>
              </w:rPr>
              <w:t>Board</w:t>
            </w:r>
          </w:p>
        </w:tc>
        <w:tc>
          <w:tcPr>
            <w:tcW w:w="600" w:type="dxa"/>
            <w:vAlign w:val="bottom"/>
          </w:tcPr>
          <w:p>
            <w:pPr>
              <w:ind w:left="240"/>
              <w:spacing w:after="0"/>
              <w:rPr>
                <w:sz w:val="20"/>
                <w:szCs w:val="20"/>
                <w:color w:val="auto"/>
              </w:rPr>
            </w:pPr>
            <w:r>
              <w:rPr>
                <w:rFonts w:ascii="Arial" w:cs="Arial" w:eastAsia="Arial" w:hAnsi="Arial"/>
                <w:sz w:val="14"/>
                <w:szCs w:val="14"/>
                <w:color w:val="auto"/>
              </w:rPr>
              <w:t> </w:t>
            </w:r>
          </w:p>
        </w:tc>
        <w:tc>
          <w:tcPr>
            <w:tcW w:w="1380" w:type="dxa"/>
            <w:vAlign w:val="bottom"/>
          </w:tcPr>
          <w:p>
            <w:pPr>
              <w:ind w:left="6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4"/>
                <w:szCs w:val="24"/>
                <w:color w:val="auto"/>
              </w:rPr>
            </w:pPr>
          </w:p>
        </w:tc>
        <w:tc>
          <w:tcPr>
            <w:tcW w:w="160" w:type="dxa"/>
            <w:vAlign w:val="bottom"/>
          </w:tcPr>
          <w:p>
            <w:pPr>
              <w:ind w:left="60"/>
              <w:spacing w:after="0"/>
              <w:rPr>
                <w:sz w:val="20"/>
                <w:szCs w:val="20"/>
                <w:color w:val="auto"/>
              </w:rPr>
            </w:pPr>
            <w:r>
              <w:rPr>
                <w:rFonts w:ascii="Arial" w:cs="Arial" w:eastAsia="Arial" w:hAnsi="Arial"/>
                <w:sz w:val="14"/>
                <w:szCs w:val="14"/>
                <w:color w:val="auto"/>
              </w:rPr>
              <w:t xml:space="preserve">  </w:t>
            </w:r>
          </w:p>
        </w:tc>
        <w:tc>
          <w:tcPr>
            <w:tcW w:w="1300" w:type="dxa"/>
            <w:vAlign w:val="bottom"/>
          </w:tcPr>
          <w:p>
            <w:pPr>
              <w:ind w:left="340"/>
              <w:spacing w:after="0"/>
              <w:rPr>
                <w:sz w:val="20"/>
                <w:szCs w:val="20"/>
                <w:color w:val="auto"/>
              </w:rPr>
            </w:pPr>
            <w:r>
              <w:rPr>
                <w:rFonts w:ascii="Arial" w:cs="Arial" w:eastAsia="Arial" w:hAnsi="Arial"/>
                <w:sz w:val="14"/>
                <w:szCs w:val="14"/>
                <w:color w:val="auto"/>
              </w:rPr>
              <w:t>Chair</w:t>
            </w:r>
          </w:p>
        </w:tc>
        <w:tc>
          <w:tcPr>
            <w:tcW w:w="520" w:type="dxa"/>
            <w:vAlign w:val="bottom"/>
          </w:tcPr>
          <w:p>
            <w:pPr>
              <w:ind w:left="260"/>
              <w:spacing w:after="0"/>
              <w:rPr>
                <w:sz w:val="20"/>
                <w:szCs w:val="20"/>
                <w:color w:val="auto"/>
              </w:rPr>
            </w:pPr>
            <w:r>
              <w:rPr>
                <w:rFonts w:ascii="Arial" w:cs="Arial" w:eastAsia="Arial" w:hAnsi="Arial"/>
                <w:sz w:val="14"/>
                <w:szCs w:val="14"/>
                <w:color w:val="auto"/>
              </w:rPr>
              <w:t xml:space="preserve">  </w:t>
            </w:r>
          </w:p>
        </w:tc>
        <w:tc>
          <w:tcPr>
            <w:tcW w:w="1180" w:type="dxa"/>
            <w:vAlign w:val="bottom"/>
          </w:tcPr>
          <w:p>
            <w:pPr>
              <w:ind w:left="220"/>
              <w:spacing w:after="0"/>
              <w:rPr>
                <w:sz w:val="20"/>
                <w:szCs w:val="20"/>
                <w:color w:val="auto"/>
              </w:rPr>
            </w:pPr>
            <w:r>
              <w:rPr>
                <w:rFonts w:ascii="Arial" w:cs="Arial" w:eastAsia="Arial" w:hAnsi="Arial"/>
                <w:sz w:val="14"/>
                <w:szCs w:val="14"/>
                <w:color w:val="auto"/>
              </w:rPr>
              <w:t>Member</w:t>
            </w:r>
          </w:p>
        </w:tc>
        <w:tc>
          <w:tcPr>
            <w:tcW w:w="480" w:type="dxa"/>
            <w:vAlign w:val="bottom"/>
          </w:tcPr>
          <w:p>
            <w:pPr>
              <w:ind w:left="260"/>
              <w:spacing w:after="0"/>
              <w:rPr>
                <w:sz w:val="20"/>
                <w:szCs w:val="20"/>
                <w:color w:val="auto"/>
              </w:rPr>
            </w:pPr>
            <w:r>
              <w:rPr>
                <w:rFonts w:ascii="Arial" w:cs="Arial" w:eastAsia="Arial" w:hAnsi="Arial"/>
                <w:sz w:val="14"/>
                <w:szCs w:val="14"/>
                <w:color w:val="auto"/>
              </w:rPr>
              <w:t xml:space="preserve">  </w:t>
            </w:r>
          </w:p>
        </w:tc>
        <w:tc>
          <w:tcPr>
            <w:tcW w:w="1280" w:type="dxa"/>
            <w:vAlign w:val="bottom"/>
          </w:tcPr>
          <w:p>
            <w:pPr>
              <w:ind w:left="160"/>
              <w:spacing w:after="0"/>
              <w:rPr>
                <w:sz w:val="20"/>
                <w:szCs w:val="20"/>
                <w:color w:val="auto"/>
              </w:rPr>
            </w:pPr>
            <w:r>
              <w:rPr>
                <w:rFonts w:ascii="Arial" w:cs="Arial" w:eastAsia="Arial" w:hAnsi="Arial"/>
                <w:sz w:val="14"/>
                <w:szCs w:val="14"/>
                <w:color w:val="auto"/>
              </w:rPr>
              <w:t>Financial Expert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-1048385</wp:posOffset>
            </wp:positionV>
            <wp:extent cx="411480" cy="411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-842645</wp:posOffset>
            </wp:positionV>
            <wp:extent cx="128905" cy="1111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-928370</wp:posOffset>
            </wp:positionV>
            <wp:extent cx="17145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-285750</wp:posOffset>
            </wp:positionV>
            <wp:extent cx="14541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5415" cy="12890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-285750</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-285750</wp:posOffset>
            </wp:positionV>
            <wp:extent cx="14605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-285750</wp:posOffset>
            </wp:positionV>
            <wp:extent cx="17145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-285750</wp:posOffset>
            </wp:positionV>
            <wp:extent cx="111125" cy="111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1125" cy="111760"/>
                    </a:xfrm>
                    <a:prstGeom prst="rect">
                      <a:avLst/>
                    </a:prstGeom>
                    <a:noFill/>
                  </pic:spPr>
                </pic:pic>
              </a:graphicData>
            </a:graphic>
          </wp:anchor>
        </w:drawing>
      </w:r>
    </w:p>
    <w:p>
      <w:pPr>
        <w:spacing w:after="0" w:line="23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Executive Compensation Highlights</w:t>
      </w:r>
    </w:p>
    <w:p>
      <w:pPr>
        <w:spacing w:after="0" w:line="23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459"/>
        <w:spacing w:after="0" w:line="267" w:lineRule="auto"/>
        <w:rPr>
          <w:sz w:val="20"/>
          <w:szCs w:val="20"/>
          <w:color w:val="auto"/>
        </w:rPr>
      </w:pPr>
      <w:r>
        <w:rPr>
          <w:rFonts w:ascii="Arial" w:cs="Arial" w:eastAsia="Arial" w:hAnsi="Arial"/>
          <w:sz w:val="17"/>
          <w:szCs w:val="17"/>
          <w:color w:val="auto"/>
        </w:rPr>
        <w:t>The executive compensation philosophy governing the compensation of our executive officers in fiscal 2026 was based on three key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-21590</wp:posOffset>
            </wp:positionV>
            <wp:extent cx="5417820" cy="8572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17820" cy="85725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 </w:t>
      </w:r>
    </w:p>
    <w:p>
      <w:pPr>
        <w:spacing w:after="0" w:line="3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FFFFFF"/>
        </w:rPr>
        <w:t>PAY FOR PERFORMANCE</w:t>
      </w:r>
    </w:p>
    <w:p>
      <w:pPr>
        <w:ind w:left="480" w:right="220" w:hanging="154"/>
        <w:spacing w:after="0" w:line="232"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At target, approximately</w:t>
      </w:r>
      <w:r>
        <w:rPr>
          <w:rFonts w:ascii="Arial" w:cs="Arial" w:eastAsia="Arial" w:hAnsi="Arial"/>
          <w:sz w:val="17"/>
          <w:szCs w:val="17"/>
          <w:color w:val="F0533D"/>
        </w:rPr>
        <w:t xml:space="preserve"> </w:t>
      </w:r>
      <w:r>
        <w:rPr>
          <w:rFonts w:ascii="Arial" w:cs="Arial" w:eastAsia="Arial" w:hAnsi="Arial"/>
          <w:sz w:val="17"/>
          <w:szCs w:val="17"/>
          <w:color w:val="000000"/>
        </w:rPr>
        <w:t>60% of our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-235585</wp:posOffset>
            </wp:positionV>
            <wp:extent cx="1517015" cy="2091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17015" cy="2091690"/>
                    </a:xfrm>
                    <a:prstGeom prst="rect">
                      <a:avLst/>
                    </a:prstGeom>
                    <a:noFill/>
                  </pic:spPr>
                </pic:pic>
              </a:graphicData>
            </a:graphic>
          </wp:anchor>
        </w:drawing>
      </w:r>
    </w:p>
    <w:p>
      <w:pPr>
        <w:ind w:left="480" w:right="240"/>
        <w:spacing w:after="0" w:line="237" w:lineRule="auto"/>
        <w:rPr>
          <w:sz w:val="20"/>
          <w:szCs w:val="20"/>
          <w:color w:val="auto"/>
        </w:rPr>
      </w:pPr>
      <w:r>
        <w:rPr>
          <w:rFonts w:ascii="Arial" w:cs="Arial" w:eastAsia="Arial" w:hAnsi="Arial"/>
          <w:sz w:val="16"/>
          <w:szCs w:val="16"/>
          <w:color w:val="auto"/>
        </w:rPr>
        <w:t>executive officers’ (“NEOs”) compensation</w:t>
      </w:r>
    </w:p>
    <w:p>
      <w:pPr>
        <w:spacing w:after="0" w:line="1" w:lineRule="exact"/>
        <w:rPr>
          <w:sz w:val="20"/>
          <w:szCs w:val="20"/>
          <w:color w:val="auto"/>
        </w:rPr>
      </w:pPr>
    </w:p>
    <w:p>
      <w:pPr>
        <w:ind w:left="480" w:right="220"/>
        <w:spacing w:after="0" w:line="237" w:lineRule="auto"/>
        <w:rPr>
          <w:sz w:val="20"/>
          <w:szCs w:val="20"/>
          <w:color w:val="auto"/>
        </w:rPr>
      </w:pPr>
      <w:r>
        <w:rPr>
          <w:rFonts w:ascii="Arial" w:cs="Arial" w:eastAsia="Arial" w:hAnsi="Arial"/>
          <w:sz w:val="16"/>
          <w:szCs w:val="16"/>
          <w:color w:val="auto"/>
        </w:rPr>
        <w:t>opportunity is performance-based and</w:t>
      </w:r>
    </w:p>
    <w:p>
      <w:pPr>
        <w:spacing w:after="0" w:line="1" w:lineRule="exact"/>
        <w:rPr>
          <w:sz w:val="20"/>
          <w:szCs w:val="20"/>
          <w:color w:val="auto"/>
        </w:rPr>
      </w:pPr>
    </w:p>
    <w:p>
      <w:pPr>
        <w:ind w:left="480" w:right="40"/>
        <w:spacing w:after="0" w:line="235" w:lineRule="auto"/>
        <w:rPr>
          <w:sz w:val="20"/>
          <w:szCs w:val="20"/>
          <w:color w:val="auto"/>
        </w:rPr>
      </w:pPr>
      <w:r>
        <w:rPr>
          <w:rFonts w:ascii="Arial" w:cs="Arial" w:eastAsia="Arial" w:hAnsi="Arial"/>
          <w:sz w:val="17"/>
          <w:szCs w:val="17"/>
          <w:color w:val="auto"/>
        </w:rPr>
        <w:t>70-95% is variable and at-risk</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Incentive compensation is</w:t>
      </w:r>
    </w:p>
    <w:p>
      <w:pPr>
        <w:spacing w:after="0" w:line="10" w:lineRule="exact"/>
        <w:rPr>
          <w:sz w:val="20"/>
          <w:szCs w:val="20"/>
          <w:color w:val="auto"/>
        </w:rPr>
      </w:pPr>
    </w:p>
    <w:p>
      <w:pPr>
        <w:ind w:left="480"/>
        <w:spacing w:after="0" w:line="223" w:lineRule="auto"/>
        <w:rPr>
          <w:sz w:val="20"/>
          <w:szCs w:val="20"/>
          <w:color w:val="auto"/>
        </w:rPr>
      </w:pPr>
      <w:r>
        <w:rPr>
          <w:rFonts w:ascii="Arial" w:cs="Arial" w:eastAsia="Arial" w:hAnsi="Arial"/>
          <w:sz w:val="17"/>
          <w:szCs w:val="17"/>
          <w:color w:val="auto"/>
        </w:rPr>
        <w:t>tied to our business results and individual</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w:t>
      </w:r>
    </w:p>
    <w:p>
      <w:pPr>
        <w:spacing w:after="0" w:line="35"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FFFFFF"/>
        </w:rPr>
        <w:t>ALIGN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1905</wp:posOffset>
            </wp:positionV>
            <wp:extent cx="1997075" cy="20916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97075" cy="2091690"/>
                    </a:xfrm>
                    <a:prstGeom prst="rect">
                      <a:avLst/>
                    </a:prstGeom>
                    <a:noFill/>
                  </pic:spPr>
                </pic:pic>
              </a:graphicData>
            </a:graphic>
          </wp:anchor>
        </w:drawing>
      </w:r>
    </w:p>
    <w:p>
      <w:pPr>
        <w:ind w:left="140" w:hanging="154"/>
        <w:spacing w:after="0" w:line="235"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Incentives are tied to both short-term and long-term performance goals to balance risk while rewarding for delivering financial, operating and strategic performance aligned with our business strategy and stockholder interests</w:t>
      </w:r>
    </w:p>
    <w:p>
      <w:pPr>
        <w:spacing w:after="0" w:line="183" w:lineRule="exact"/>
        <w:rPr>
          <w:sz w:val="20"/>
          <w:szCs w:val="20"/>
          <w:color w:val="auto"/>
        </w:rPr>
      </w:pPr>
    </w:p>
    <w:p>
      <w:pPr>
        <w:ind w:left="140" w:right="60"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 significant portion of NEOs’</w:t>
      </w:r>
      <w:r>
        <w:rPr>
          <w:rFonts w:ascii="Arial" w:cs="Arial" w:eastAsia="Arial" w:hAnsi="Arial"/>
          <w:sz w:val="17"/>
          <w:szCs w:val="17"/>
          <w:color w:val="F0533D"/>
        </w:rPr>
        <w:t xml:space="preserve"> </w:t>
      </w:r>
      <w:r>
        <w:rPr>
          <w:rFonts w:ascii="Arial" w:cs="Arial" w:eastAsia="Arial" w:hAnsi="Arial"/>
          <w:sz w:val="17"/>
          <w:szCs w:val="17"/>
          <w:color w:val="000000"/>
        </w:rPr>
        <w:t>compensation is delivered in equity, further aligning their interests with stockholders</w:t>
      </w:r>
    </w:p>
    <w:p>
      <w:pPr>
        <w:spacing w:after="0" w:line="177" w:lineRule="exact"/>
        <w:rPr>
          <w:sz w:val="20"/>
          <w:szCs w:val="20"/>
          <w:color w:val="auto"/>
        </w:rPr>
      </w:pPr>
    </w:p>
    <w:p>
      <w:pPr>
        <w:ind w:left="140" w:right="100"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NEOs are required to retain shares</w:t>
      </w:r>
      <w:r>
        <w:rPr>
          <w:rFonts w:ascii="Arial" w:cs="Arial" w:eastAsia="Arial" w:hAnsi="Arial"/>
          <w:sz w:val="17"/>
          <w:szCs w:val="17"/>
          <w:color w:val="F0533D"/>
        </w:rPr>
        <w:t xml:space="preserve"> </w:t>
      </w:r>
      <w:r>
        <w:rPr>
          <w:rFonts w:ascii="Arial" w:cs="Arial" w:eastAsia="Arial" w:hAnsi="Arial"/>
          <w:sz w:val="17"/>
          <w:szCs w:val="17"/>
          <w:color w:val="000000"/>
        </w:rPr>
        <w:t>earned until minimum share ownership levels are achieved per our 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FFFFFF"/>
        </w:rPr>
        <w:t>PAY COMPETITIVELY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1905</wp:posOffset>
            </wp:positionV>
            <wp:extent cx="1560195" cy="20916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60195" cy="2091690"/>
                    </a:xfrm>
                    <a:prstGeom prst="rect">
                      <a:avLst/>
                    </a:prstGeom>
                    <a:noFill/>
                  </pic:spPr>
                </pic:pic>
              </a:graphicData>
            </a:graphic>
          </wp:anchor>
        </w:drawing>
      </w:r>
    </w:p>
    <w:p>
      <w:pPr>
        <w:ind w:left="160" w:right="499" w:hanging="154"/>
        <w:spacing w:after="0" w:line="24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Total target compensation</w:t>
      </w:r>
      <w:r>
        <w:rPr>
          <w:rFonts w:ascii="Arial" w:cs="Arial" w:eastAsia="Arial" w:hAnsi="Arial"/>
          <w:sz w:val="16"/>
          <w:szCs w:val="16"/>
          <w:color w:val="F0533D"/>
        </w:rPr>
        <w:t xml:space="preserve"> </w:t>
      </w:r>
      <w:r>
        <w:rPr>
          <w:rFonts w:ascii="Arial" w:cs="Arial" w:eastAsia="Arial" w:hAnsi="Arial"/>
          <w:sz w:val="16"/>
          <w:szCs w:val="16"/>
          <w:color w:val="000000"/>
        </w:rPr>
        <w:t>levels are competitive</w:t>
      </w:r>
    </w:p>
    <w:p>
      <w:pPr>
        <w:spacing w:after="0" w:line="1" w:lineRule="exact"/>
        <w:rPr>
          <w:sz w:val="20"/>
          <w:szCs w:val="20"/>
          <w:color w:val="auto"/>
        </w:rPr>
      </w:pPr>
    </w:p>
    <w:p>
      <w:pPr>
        <w:ind w:left="180" w:right="539"/>
        <w:spacing w:after="0" w:line="248" w:lineRule="auto"/>
        <w:rPr>
          <w:sz w:val="20"/>
          <w:szCs w:val="20"/>
          <w:color w:val="auto"/>
        </w:rPr>
      </w:pPr>
      <w:r>
        <w:rPr>
          <w:rFonts w:ascii="Arial" w:cs="Arial" w:eastAsia="Arial" w:hAnsi="Arial"/>
          <w:sz w:val="17"/>
          <w:szCs w:val="17"/>
          <w:color w:val="auto"/>
        </w:rPr>
        <w:t>to attract and retain high-performing talent</w:t>
      </w:r>
    </w:p>
    <w:p>
      <w:pPr>
        <w:spacing w:after="0" w:line="174" w:lineRule="exact"/>
        <w:rPr>
          <w:sz w:val="20"/>
          <w:szCs w:val="20"/>
          <w:color w:val="auto"/>
        </w:rPr>
      </w:pPr>
    </w:p>
    <w:p>
      <w:pPr>
        <w:ind w:left="160" w:right="519"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Actual pay levels will vary</w:t>
      </w:r>
      <w:r>
        <w:rPr>
          <w:rFonts w:ascii="Arial" w:cs="Arial" w:eastAsia="Arial" w:hAnsi="Arial"/>
          <w:sz w:val="17"/>
          <w:szCs w:val="17"/>
          <w:color w:val="F0533D"/>
        </w:rPr>
        <w:t xml:space="preserve"> </w:t>
      </w:r>
      <w:r>
        <w:rPr>
          <w:rFonts w:ascii="Arial" w:cs="Arial" w:eastAsia="Arial" w:hAnsi="Arial"/>
          <w:sz w:val="17"/>
          <w:szCs w:val="17"/>
          <w:color w:val="000000"/>
        </w:rPr>
        <w:t>based on performance</w:t>
      </w:r>
    </w:p>
    <w:p>
      <w:pPr>
        <w:spacing w:after="0" w:line="2011" w:lineRule="exact"/>
        <w:rPr>
          <w:sz w:val="20"/>
          <w:szCs w:val="20"/>
          <w:color w:val="auto"/>
        </w:rPr>
      </w:pPr>
    </w:p>
    <w:p>
      <w:pPr>
        <w:sectPr>
          <w:pgSz w:w="11900" w:h="16838" w:orient="portrait"/>
          <w:cols w:equalWidth="0" w:num="3">
            <w:col w:w="2500" w:space="500"/>
            <w:col w:w="2900" w:space="500"/>
            <w:col w:w="2619"/>
          </w:cols>
          <w:pgMar w:left="1440" w:top="114" w:right="1440" w:bottom="1440" w:gutter="0" w:footer="0" w:header="0"/>
          <w:type w:val="continuous"/>
        </w:sectPr>
      </w:pPr>
    </w:p>
    <w:p>
      <w:pPr>
        <w:ind w:left="80"/>
        <w:spacing w:after="0"/>
        <w:rPr>
          <w:sz w:val="20"/>
          <w:szCs w:val="20"/>
          <w:color w:val="auto"/>
        </w:rPr>
      </w:pPr>
      <w:r>
        <w:rPr>
          <w:rFonts w:ascii="Arial" w:cs="Arial" w:eastAsia="Arial" w:hAnsi="Arial"/>
          <w:sz w:val="21"/>
          <w:szCs w:val="21"/>
          <w:b w:val="1"/>
          <w:bCs w:val="1"/>
          <w:color w:val="F0533D"/>
        </w:rPr>
        <w:t>OUR 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7"/>
          <w:szCs w:val="17"/>
          <w:color w:val="auto"/>
        </w:rPr>
        <w:t>Our executive compensation practices reinforce our fiscal 2026 executive 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61595</wp:posOffset>
            </wp:positionV>
            <wp:extent cx="5623560" cy="6597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23560" cy="65976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0533D"/>
        </w:rPr>
        <w:t>What We Do</w:t>
      </w:r>
    </w:p>
    <w:p>
      <w:pPr>
        <w:spacing w:after="0" w:line="43"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F0533D"/>
        </w:rPr>
        <w:t> </w:t>
      </w:r>
    </w:p>
    <w:p>
      <w:pPr>
        <w:spacing w:after="0" w:line="195" w:lineRule="exact"/>
        <w:rPr>
          <w:sz w:val="20"/>
          <w:szCs w:val="20"/>
          <w:color w:val="auto"/>
        </w:rPr>
      </w:pPr>
    </w:p>
    <w:p>
      <w:pPr>
        <w:ind w:left="300" w:right="120" w:hanging="89"/>
        <w:spacing w:after="0" w:line="268" w:lineRule="auto"/>
        <w:rPr>
          <w:sz w:val="20"/>
          <w:szCs w:val="20"/>
          <w:color w:val="auto"/>
        </w:rPr>
      </w:pPr>
      <w:r>
        <w:rPr>
          <w:rFonts w:ascii="Arial" w:cs="Arial" w:eastAsia="Arial" w:hAnsi="Arial"/>
          <w:sz w:val="16"/>
          <w:szCs w:val="16"/>
          <w:color w:val="auto"/>
        </w:rPr>
        <w:t>  Significant percentage of target annual compensation delivered in the form of variable compensation tied to performance</w:t>
      </w:r>
    </w:p>
    <w:p>
      <w:pPr>
        <w:spacing w:after="0" w:line="3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Long-term objectives aligned with the creation of stockholder value</w:t>
      </w:r>
    </w:p>
    <w:p>
      <w:pPr>
        <w:spacing w:after="0" w:line="114" w:lineRule="exact"/>
        <w:rPr>
          <w:sz w:val="20"/>
          <w:szCs w:val="20"/>
          <w:color w:val="auto"/>
        </w:rPr>
      </w:pPr>
    </w:p>
    <w:p>
      <w:pPr>
        <w:ind w:left="300" w:right="440" w:hanging="89"/>
        <w:spacing w:after="0" w:line="250" w:lineRule="auto"/>
        <w:rPr>
          <w:sz w:val="20"/>
          <w:szCs w:val="20"/>
          <w:color w:val="auto"/>
        </w:rPr>
      </w:pPr>
      <w:r>
        <w:rPr>
          <w:rFonts w:ascii="Arial" w:cs="Arial" w:eastAsia="Arial" w:hAnsi="Arial"/>
          <w:sz w:val="16"/>
          <w:szCs w:val="16"/>
          <w:color w:val="auto"/>
        </w:rPr>
        <w:t>  Market comparison of executive compensation against a relevant peer group</w:t>
      </w:r>
    </w:p>
    <w:p>
      <w:pPr>
        <w:spacing w:after="0" w:line="34" w:lineRule="exact"/>
        <w:rPr>
          <w:sz w:val="20"/>
          <w:szCs w:val="20"/>
          <w:color w:val="auto"/>
        </w:rPr>
      </w:pPr>
    </w:p>
    <w:p>
      <w:pPr>
        <w:jc w:val="center"/>
        <w:ind w:left="80"/>
        <w:spacing w:after="0"/>
        <w:rPr>
          <w:sz w:val="20"/>
          <w:szCs w:val="20"/>
          <w:color w:val="auto"/>
        </w:rPr>
      </w:pPr>
      <w:r>
        <w:rPr>
          <w:rFonts w:ascii="Arial" w:cs="Arial" w:eastAsia="Arial" w:hAnsi="Arial"/>
          <w:sz w:val="16"/>
          <w:szCs w:val="16"/>
          <w:color w:val="auto"/>
        </w:rPr>
        <w:t>  Use of an independent compensation consultant that provides no other</w:t>
      </w:r>
    </w:p>
    <w:p>
      <w:pPr>
        <w:spacing w:after="0" w:line="8" w:lineRule="exact"/>
        <w:rPr>
          <w:sz w:val="20"/>
          <w:szCs w:val="20"/>
          <w:color w:val="auto"/>
        </w:rPr>
      </w:pPr>
    </w:p>
    <w:p>
      <w:pPr>
        <w:ind w:left="300"/>
        <w:spacing w:after="0" w:line="241" w:lineRule="auto"/>
        <w:rPr>
          <w:sz w:val="20"/>
          <w:szCs w:val="20"/>
          <w:color w:val="auto"/>
        </w:rPr>
      </w:pPr>
      <w:r>
        <w:rPr>
          <w:rFonts w:ascii="Arial" w:cs="Arial" w:eastAsia="Arial" w:hAnsi="Arial"/>
          <w:sz w:val="16"/>
          <w:szCs w:val="16"/>
          <w:color w:val="auto"/>
        </w:rPr>
        <w:t>services to the Company other than advising the Compensation and Human Capital Committee on executive compensation and Nominating and Governance Committee on non-management director compensation</w:t>
      </w:r>
    </w:p>
    <w:p>
      <w:pPr>
        <w:spacing w:after="0" w:line="41" w:lineRule="exact"/>
        <w:rPr>
          <w:sz w:val="20"/>
          <w:szCs w:val="20"/>
          <w:color w:val="auto"/>
        </w:rPr>
      </w:pPr>
    </w:p>
    <w:p>
      <w:pPr>
        <w:ind w:left="300" w:right="160" w:hanging="89"/>
        <w:spacing w:after="0" w:line="268" w:lineRule="auto"/>
        <w:rPr>
          <w:sz w:val="20"/>
          <w:szCs w:val="20"/>
          <w:color w:val="auto"/>
        </w:rPr>
      </w:pPr>
      <w:r>
        <w:rPr>
          <w:rFonts w:ascii="Arial" w:cs="Arial" w:eastAsia="Arial" w:hAnsi="Arial"/>
          <w:sz w:val="16"/>
          <w:szCs w:val="16"/>
          <w:color w:val="auto"/>
        </w:rPr>
        <w:t>  Robust stock ownership guidelines (6 times base salary for CEO and 3 times base salary for other NEOs)</w:t>
      </w:r>
    </w:p>
    <w:p>
      <w:pPr>
        <w:spacing w:after="0" w:line="21" w:lineRule="exact"/>
        <w:rPr>
          <w:sz w:val="20"/>
          <w:szCs w:val="20"/>
          <w:color w:val="auto"/>
        </w:rPr>
      </w:pPr>
    </w:p>
    <w:p>
      <w:pPr>
        <w:ind w:left="300" w:right="300" w:hanging="89"/>
        <w:spacing w:after="0" w:line="248" w:lineRule="auto"/>
        <w:rPr>
          <w:sz w:val="20"/>
          <w:szCs w:val="20"/>
          <w:color w:val="auto"/>
        </w:rPr>
      </w:pPr>
      <w:r>
        <w:rPr>
          <w:rFonts w:ascii="Arial" w:cs="Arial" w:eastAsia="Arial" w:hAnsi="Arial"/>
          <w:sz w:val="16"/>
          <w:szCs w:val="16"/>
          <w:color w:val="auto"/>
        </w:rPr>
        <w:t>  Stringent clawback policies and provisions, including a policy consistent with U.S. Securities and Exchange Commission (“SEC”) rules and New York Stock Exchange (“NYSE”) listing standards, as well as an additional supplemental policy</w:t>
      </w:r>
    </w:p>
    <w:p>
      <w:pPr>
        <w:spacing w:after="0" w:line="36" w:lineRule="exact"/>
        <w:rPr>
          <w:sz w:val="20"/>
          <w:szCs w:val="20"/>
          <w:color w:val="auto"/>
        </w:rPr>
      </w:pPr>
    </w:p>
    <w:p>
      <w:pPr>
        <w:ind w:left="300" w:right="40" w:hanging="89"/>
        <w:spacing w:after="0" w:line="268" w:lineRule="auto"/>
        <w:rPr>
          <w:sz w:val="20"/>
          <w:szCs w:val="20"/>
          <w:color w:val="auto"/>
        </w:rPr>
      </w:pPr>
      <w:r>
        <w:rPr>
          <w:rFonts w:ascii="Arial" w:cs="Arial" w:eastAsia="Arial" w:hAnsi="Arial"/>
          <w:sz w:val="16"/>
          <w:szCs w:val="16"/>
          <w:color w:val="auto"/>
        </w:rPr>
        <w:t>  Non-competition and non-solicitation agreements for senior executives where not prohibited by applicable law</w:t>
      </w:r>
    </w:p>
    <w:p>
      <w:pPr>
        <w:spacing w:after="0" w:line="21" w:lineRule="exact"/>
        <w:rPr>
          <w:sz w:val="20"/>
          <w:szCs w:val="20"/>
          <w:color w:val="auto"/>
        </w:rPr>
      </w:pPr>
    </w:p>
    <w:p>
      <w:pPr>
        <w:ind w:left="300" w:right="340" w:hanging="89"/>
        <w:spacing w:after="0" w:line="268" w:lineRule="auto"/>
        <w:rPr>
          <w:sz w:val="20"/>
          <w:szCs w:val="20"/>
          <w:color w:val="auto"/>
        </w:rPr>
      </w:pPr>
      <w:r>
        <w:rPr>
          <w:rFonts w:ascii="Arial" w:cs="Arial" w:eastAsia="Arial" w:hAnsi="Arial"/>
          <w:sz w:val="16"/>
          <w:szCs w:val="16"/>
          <w:color w:val="auto"/>
        </w:rPr>
        <w:t>  Limited perquisites as approved by the Compensation and Human Capital Committee</w:t>
      </w:r>
    </w:p>
    <w:p>
      <w:pPr>
        <w:spacing w:after="0" w:line="8" w:lineRule="exact"/>
        <w:rPr>
          <w:sz w:val="20"/>
          <w:szCs w:val="20"/>
          <w:color w:val="auto"/>
        </w:rPr>
      </w:pPr>
    </w:p>
    <w:p>
      <w:pPr>
        <w:ind w:left="300" w:right="320" w:hanging="89"/>
        <w:spacing w:after="0" w:line="286" w:lineRule="auto"/>
        <w:rPr>
          <w:sz w:val="20"/>
          <w:szCs w:val="20"/>
          <w:color w:val="auto"/>
        </w:rPr>
      </w:pPr>
      <w:r>
        <w:rPr>
          <w:rFonts w:ascii="Arial" w:cs="Arial" w:eastAsia="Arial" w:hAnsi="Arial"/>
          <w:sz w:val="16"/>
          <w:szCs w:val="16"/>
          <w:color w:val="auto"/>
        </w:rPr>
        <w:t>  One-year minimum vesting condition under our long-term incentive plan (subject to limited exceptions)</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Annual compensation risk review and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72390</wp:posOffset>
            </wp:positionV>
            <wp:extent cx="34544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5440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381000</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What We Don’t Do</w:t>
      </w:r>
    </w:p>
    <w:p>
      <w:pPr>
        <w:spacing w:after="0" w:line="200" w:lineRule="exact"/>
        <w:rPr>
          <w:sz w:val="20"/>
          <w:szCs w:val="20"/>
          <w:color w:val="auto"/>
        </w:rPr>
      </w:pPr>
    </w:p>
    <w:p>
      <w:pPr>
        <w:spacing w:after="0" w:line="336" w:lineRule="exact"/>
        <w:rPr>
          <w:sz w:val="20"/>
          <w:szCs w:val="20"/>
          <w:color w:val="auto"/>
        </w:rPr>
      </w:pPr>
    </w:p>
    <w:p>
      <w:pPr>
        <w:ind w:left="260" w:right="499" w:hanging="77"/>
        <w:spacing w:after="0" w:line="223" w:lineRule="auto"/>
        <w:rPr>
          <w:sz w:val="20"/>
          <w:szCs w:val="20"/>
          <w:color w:val="auto"/>
        </w:rPr>
      </w:pPr>
      <w:r>
        <w:rPr>
          <w:rFonts w:ascii="Arial" w:cs="Arial" w:eastAsia="Arial" w:hAnsi="Arial"/>
          <w:sz w:val="16"/>
          <w:szCs w:val="16"/>
          <w:color w:val="auto"/>
        </w:rPr>
        <w:t>  No tax gross-ups or excessive non-</w:t>
      </w:r>
      <w:r>
        <w:rPr>
          <w:rFonts w:ascii="Arial" w:cs="Arial" w:eastAsia="Arial" w:hAnsi="Arial"/>
          <w:sz w:val="32"/>
          <w:szCs w:val="32"/>
          <w:color w:val="auto"/>
          <w:vertAlign w:val="subscript"/>
        </w:rPr>
        <w:t xml:space="preserve"> </w:t>
      </w:r>
      <w:r>
        <w:rPr>
          <w:rFonts w:ascii="Arial" w:cs="Arial" w:eastAsia="Arial" w:hAnsi="Arial"/>
          <w:sz w:val="16"/>
          <w:szCs w:val="16"/>
          <w:color w:val="auto"/>
        </w:rPr>
        <w:t>business perquisites</w:t>
      </w:r>
    </w:p>
    <w:p>
      <w:pPr>
        <w:spacing w:after="0" w:line="1" w:lineRule="exact"/>
        <w:rPr>
          <w:sz w:val="20"/>
          <w:szCs w:val="20"/>
          <w:color w:val="auto"/>
        </w:rPr>
      </w:pPr>
    </w:p>
    <w:p>
      <w:pPr>
        <w:jc w:val="right"/>
        <w:ind w:left="80" w:right="459"/>
        <w:spacing w:after="0" w:line="184" w:lineRule="auto"/>
        <w:rPr>
          <w:sz w:val="20"/>
          <w:szCs w:val="20"/>
          <w:color w:val="auto"/>
        </w:rPr>
      </w:pPr>
      <w:r>
        <w:rPr>
          <w:rFonts w:ascii="Arial" w:cs="Arial" w:eastAsia="Arial" w:hAnsi="Arial"/>
          <w:sz w:val="15"/>
          <w:szCs w:val="15"/>
          <w:color w:val="auto"/>
        </w:rPr>
        <w:t xml:space="preserve">  No “single-trigger” change in control </w:t>
      </w:r>
      <w:r>
        <w:rPr>
          <w:rFonts w:ascii="Arial" w:cs="Arial" w:eastAsia="Arial" w:hAnsi="Arial"/>
          <w:sz w:val="29"/>
          <w:szCs w:val="29"/>
          <w:color w:val="auto"/>
          <w:vertAlign w:val="subscript"/>
        </w:rPr>
        <w:t xml:space="preserve"> </w:t>
      </w:r>
      <w:r>
        <w:rPr>
          <w:rFonts w:ascii="Arial" w:cs="Arial" w:eastAsia="Arial" w:hAnsi="Arial"/>
          <w:sz w:val="15"/>
          <w:szCs w:val="15"/>
          <w:color w:val="auto"/>
        </w:rPr>
        <w:t>equity vesting or severance benefits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6"/>
          <w:szCs w:val="16"/>
          <w:color w:val="auto"/>
        </w:rPr>
        <w:t>  No excessive severance benefits</w:t>
      </w:r>
    </w:p>
    <w:p>
      <w:pPr>
        <w:ind w:left="260"/>
        <w:spacing w:after="0" w:line="235" w:lineRule="auto"/>
        <w:rPr>
          <w:sz w:val="20"/>
          <w:szCs w:val="20"/>
          <w:color w:val="auto"/>
        </w:rPr>
      </w:pPr>
      <w:r>
        <w:rPr>
          <w:rFonts w:ascii="Arial" w:cs="Arial" w:eastAsia="Arial" w:hAnsi="Arial"/>
          <w:sz w:val="16"/>
          <w:szCs w:val="16"/>
          <w:color w:val="auto"/>
        </w:rPr>
        <w:t> </w:t>
      </w:r>
    </w:p>
    <w:p>
      <w:pPr>
        <w:ind w:left="260" w:right="459" w:hanging="77"/>
        <w:spacing w:after="0" w:line="184" w:lineRule="auto"/>
        <w:rPr>
          <w:sz w:val="20"/>
          <w:szCs w:val="20"/>
          <w:color w:val="auto"/>
        </w:rPr>
      </w:pPr>
      <w:r>
        <w:rPr>
          <w:rFonts w:ascii="Arial" w:cs="Arial" w:eastAsia="Arial" w:hAnsi="Arial"/>
          <w:sz w:val="15"/>
          <w:szCs w:val="15"/>
          <w:color w:val="auto"/>
        </w:rPr>
        <w:t xml:space="preserve">  No hedging or pledging of Company </w:t>
      </w:r>
      <w:r>
        <w:rPr>
          <w:rFonts w:ascii="Arial" w:cs="Arial" w:eastAsia="Arial" w:hAnsi="Arial"/>
          <w:sz w:val="29"/>
          <w:szCs w:val="29"/>
          <w:color w:val="auto"/>
          <w:vertAlign w:val="subscript"/>
        </w:rPr>
        <w:t xml:space="preserve"> </w:t>
      </w:r>
      <w:r>
        <w:rPr>
          <w:rFonts w:ascii="Arial" w:cs="Arial" w:eastAsia="Arial" w:hAnsi="Arial"/>
          <w:sz w:val="15"/>
          <w:szCs w:val="15"/>
          <w:color w:val="auto"/>
        </w:rPr>
        <w:t>shares by our executive officers</w:t>
      </w:r>
    </w:p>
    <w:p>
      <w:pPr>
        <w:spacing w:after="0" w:line="2" w:lineRule="exact"/>
        <w:rPr>
          <w:sz w:val="20"/>
          <w:szCs w:val="20"/>
          <w:color w:val="auto"/>
        </w:rPr>
      </w:pPr>
    </w:p>
    <w:p>
      <w:pPr>
        <w:ind w:left="260" w:right="199" w:hanging="77"/>
        <w:spacing w:after="0" w:line="223" w:lineRule="auto"/>
        <w:rPr>
          <w:sz w:val="20"/>
          <w:szCs w:val="20"/>
          <w:color w:val="auto"/>
        </w:rPr>
      </w:pPr>
      <w:r>
        <w:rPr>
          <w:rFonts w:ascii="Arial" w:cs="Arial" w:eastAsia="Arial" w:hAnsi="Arial"/>
          <w:sz w:val="16"/>
          <w:szCs w:val="16"/>
          <w:color w:val="auto"/>
        </w:rPr>
        <w:t xml:space="preserve">  No evergreen provision in our long-term </w:t>
      </w:r>
      <w:r>
        <w:rPr>
          <w:rFonts w:ascii="Arial" w:cs="Arial" w:eastAsia="Arial" w:hAnsi="Arial"/>
          <w:sz w:val="32"/>
          <w:szCs w:val="32"/>
          <w:color w:val="auto"/>
          <w:vertAlign w:val="subscript"/>
        </w:rPr>
        <w:t xml:space="preserve"> </w:t>
      </w:r>
      <w:r>
        <w:rPr>
          <w:rFonts w:ascii="Arial" w:cs="Arial" w:eastAsia="Arial" w:hAnsi="Arial"/>
          <w:sz w:val="16"/>
          <w:szCs w:val="16"/>
          <w:color w:val="auto"/>
        </w:rPr>
        <w:t>incentive plan</w:t>
      </w:r>
    </w:p>
    <w:p>
      <w:pPr>
        <w:ind w:left="260" w:right="139" w:hanging="77"/>
        <w:spacing w:after="0" w:line="184" w:lineRule="auto"/>
        <w:rPr>
          <w:sz w:val="20"/>
          <w:szCs w:val="20"/>
          <w:color w:val="auto"/>
        </w:rPr>
      </w:pPr>
      <w:r>
        <w:rPr>
          <w:rFonts w:ascii="Arial" w:cs="Arial" w:eastAsia="Arial" w:hAnsi="Arial"/>
          <w:sz w:val="15"/>
          <w:szCs w:val="15"/>
          <w:color w:val="auto"/>
        </w:rPr>
        <w:t xml:space="preserve">  No repricing of underwater stock options </w:t>
      </w:r>
      <w:r>
        <w:rPr>
          <w:rFonts w:ascii="Arial" w:cs="Arial" w:eastAsia="Arial" w:hAnsi="Arial"/>
          <w:sz w:val="29"/>
          <w:szCs w:val="29"/>
          <w:color w:val="auto"/>
          <w:vertAlign w:val="subscript"/>
        </w:rPr>
        <w:t xml:space="preserve"> </w:t>
      </w:r>
      <w:r>
        <w:rPr>
          <w:rFonts w:ascii="Arial" w:cs="Arial" w:eastAsia="Arial" w:hAnsi="Arial"/>
          <w:sz w:val="15"/>
          <w:szCs w:val="15"/>
          <w:color w:val="auto"/>
        </w:rPr>
        <w:t>permitted without stockholder approval</w:t>
      </w:r>
    </w:p>
    <w:p>
      <w:pPr>
        <w:spacing w:after="0" w:line="2" w:lineRule="exact"/>
        <w:rPr>
          <w:sz w:val="20"/>
          <w:szCs w:val="20"/>
          <w:color w:val="auto"/>
        </w:rPr>
      </w:pPr>
    </w:p>
    <w:p>
      <w:pPr>
        <w:ind w:left="260" w:right="259" w:hanging="77"/>
        <w:spacing w:after="0" w:line="223" w:lineRule="auto"/>
        <w:rPr>
          <w:sz w:val="20"/>
          <w:szCs w:val="20"/>
          <w:color w:val="auto"/>
        </w:rPr>
      </w:pPr>
      <w:r>
        <w:rPr>
          <w:rFonts w:ascii="Arial" w:cs="Arial" w:eastAsia="Arial" w:hAnsi="Arial"/>
          <w:sz w:val="16"/>
          <w:szCs w:val="16"/>
          <w:color w:val="auto"/>
        </w:rPr>
        <w:t xml:space="preserve">  No multi-year employment agreements </w:t>
      </w:r>
      <w:r>
        <w:rPr>
          <w:rFonts w:ascii="Arial" w:cs="Arial" w:eastAsia="Arial" w:hAnsi="Arial"/>
          <w:sz w:val="32"/>
          <w:szCs w:val="32"/>
          <w:color w:val="auto"/>
          <w:vertAlign w:val="subscript"/>
        </w:rPr>
        <w:t xml:space="preserve"> </w:t>
      </w:r>
      <w:r>
        <w:rPr>
          <w:rFonts w:ascii="Arial" w:cs="Arial" w:eastAsia="Arial" w:hAnsi="Arial"/>
          <w:sz w:val="16"/>
          <w:szCs w:val="16"/>
          <w:color w:val="auto"/>
        </w:rPr>
        <w:t>for executive officers</w:t>
      </w:r>
    </w:p>
    <w:p>
      <w:pPr>
        <w:ind w:left="280" w:right="319" w:hanging="89"/>
        <w:spacing w:after="0" w:line="285" w:lineRule="auto"/>
        <w:rPr>
          <w:sz w:val="20"/>
          <w:szCs w:val="20"/>
          <w:color w:val="auto"/>
        </w:rPr>
      </w:pPr>
      <w:r>
        <w:rPr>
          <w:rFonts w:ascii="Arial" w:cs="Arial" w:eastAsia="Arial" w:hAnsi="Arial"/>
          <w:sz w:val="16"/>
          <w:szCs w:val="16"/>
          <w:color w:val="auto"/>
        </w:rPr>
        <w:t>  No guaranteed annual bonuses or incentive awards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639445</wp:posOffset>
            </wp:positionV>
            <wp:extent cx="20142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5</w:t>
      </w:r>
    </w:p>
    <w:p>
      <w:pPr>
        <w:sectPr>
          <w:pgSz w:w="11900" w:h="16838" w:orient="portrait"/>
          <w:cols w:equalWidth="0" w:num="2">
            <w:col w:w="5400" w:space="300"/>
            <w:col w:w="3319"/>
          </w:cols>
          <w:pgMar w:left="1440" w:top="114" w:right="1440" w:bottom="1440" w:gutter="0" w:footer="0" w:header="0"/>
          <w:type w:val="continuous"/>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Corporate Governance and Board Matters</w:t>
      </w:r>
    </w:p>
    <w:p>
      <w:pPr>
        <w:spacing w:after="0" w:line="339"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F0533D"/>
        </w:rPr>
        <w:t>Proposal 1 — Election of Directors</w:t>
      </w:r>
    </w:p>
    <w:p>
      <w:pPr>
        <w:spacing w:after="0" w:line="173" w:lineRule="exact"/>
        <w:rPr>
          <w:sz w:val="20"/>
          <w:szCs w:val="20"/>
          <w:color w:val="auto"/>
        </w:rPr>
      </w:pPr>
    </w:p>
    <w:p>
      <w:pPr>
        <w:ind w:left="80" w:right="439"/>
        <w:spacing w:after="0" w:line="238" w:lineRule="auto"/>
        <w:rPr>
          <w:sz w:val="20"/>
          <w:szCs w:val="20"/>
          <w:color w:val="auto"/>
        </w:rPr>
      </w:pPr>
      <w:r>
        <w:rPr>
          <w:rFonts w:ascii="Arial" w:cs="Arial" w:eastAsia="Arial" w:hAnsi="Arial"/>
          <w:sz w:val="17"/>
          <w:szCs w:val="17"/>
          <w:color w:val="auto"/>
        </w:rPr>
        <w:t>Our Board currently consists of 10 members. Beginning at the 2025 Annual Meeting, our directors up for election were elected to serve for a one-year term. At our 2026 Annual Meeting, there are six director nominees up for election, each to serve a one-year term. The terms of the other directors continuing in office will expire at the</w:t>
      </w:r>
    </w:p>
    <w:p>
      <w:pPr>
        <w:spacing w:after="0" w:line="1" w:lineRule="exact"/>
        <w:rPr>
          <w:sz w:val="20"/>
          <w:szCs w:val="20"/>
          <w:color w:val="auto"/>
        </w:rPr>
      </w:pPr>
    </w:p>
    <w:p>
      <w:pPr>
        <w:ind w:left="80" w:right="239"/>
        <w:spacing w:after="0"/>
        <w:rPr>
          <w:sz w:val="20"/>
          <w:szCs w:val="20"/>
          <w:color w:val="auto"/>
        </w:rPr>
      </w:pPr>
      <w:r>
        <w:rPr>
          <w:rFonts w:ascii="Arial" w:cs="Arial" w:eastAsia="Arial" w:hAnsi="Arial"/>
          <w:sz w:val="17"/>
          <w:szCs w:val="17"/>
          <w:color w:val="auto"/>
        </w:rPr>
        <w:t>2027 Annual Meeting, when all directors on the Board will be on the slate to serve a one-year term. At this time, our Board will no longer be divided into separate classes. In all cases, each director holds office until his or her successor has been duly elected and qualified.</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Nominees for Election at the 2026 Annual Meeting</w:t>
      </w:r>
    </w:p>
    <w:p>
      <w:pPr>
        <w:spacing w:after="0" w:line="156" w:lineRule="exact"/>
        <w:rPr>
          <w:sz w:val="20"/>
          <w:szCs w:val="20"/>
          <w:color w:val="auto"/>
        </w:rPr>
      </w:pPr>
    </w:p>
    <w:p>
      <w:pPr>
        <w:ind w:left="80" w:right="359"/>
        <w:spacing w:after="0" w:line="267" w:lineRule="auto"/>
        <w:rPr>
          <w:sz w:val="20"/>
          <w:szCs w:val="20"/>
          <w:color w:val="auto"/>
        </w:rPr>
      </w:pPr>
      <w:r>
        <w:rPr>
          <w:rFonts w:ascii="Arial" w:cs="Arial" w:eastAsia="Arial" w:hAnsi="Arial"/>
          <w:sz w:val="17"/>
          <w:szCs w:val="17"/>
          <w:color w:val="auto"/>
        </w:rPr>
        <w:t>Upon the recommendation of the Nominating and Governance Committee, the Board has nominated the following individuals, previously classified as Class I and Class II, for election to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97790</wp:posOffset>
            </wp:positionV>
            <wp:extent cx="557530" cy="5568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530" cy="55689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97790</wp:posOffset>
            </wp:positionV>
            <wp:extent cx="557530" cy="5568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530" cy="55689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580"/>
        <w:spacing w:after="0"/>
        <w:tabs>
          <w:tab w:leader="none" w:pos="6100" w:val="left"/>
        </w:tabs>
        <w:rPr>
          <w:sz w:val="20"/>
          <w:szCs w:val="20"/>
          <w:color w:val="auto"/>
        </w:rPr>
      </w:pPr>
      <w:r>
        <w:rPr>
          <w:rFonts w:ascii="Arial" w:cs="Arial" w:eastAsia="Arial" w:hAnsi="Arial"/>
          <w:sz w:val="17"/>
          <w:szCs w:val="17"/>
          <w:color w:val="auto"/>
        </w:rPr>
        <w:t>John D. Harris II</w:t>
      </w:r>
      <w:r>
        <w:rPr>
          <w:sz w:val="20"/>
          <w:szCs w:val="20"/>
          <w:color w:val="auto"/>
        </w:rPr>
        <w:tab/>
      </w:r>
      <w:r>
        <w:rPr>
          <w:rFonts w:ascii="Arial" w:cs="Arial" w:eastAsia="Arial" w:hAnsi="Arial"/>
          <w:sz w:val="17"/>
          <w:szCs w:val="17"/>
          <w:color w:val="auto"/>
        </w:rPr>
        <w:t>Rahul N. Merchant</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557530" cy="557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530" cy="557530"/>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27305</wp:posOffset>
            </wp:positionV>
            <wp:extent cx="557530" cy="557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530" cy="55753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580"/>
        <w:spacing w:after="0"/>
        <w:tabs>
          <w:tab w:leader="none" w:pos="6100" w:val="left"/>
        </w:tabs>
        <w:rPr>
          <w:sz w:val="20"/>
          <w:szCs w:val="20"/>
          <w:color w:val="auto"/>
        </w:rPr>
      </w:pPr>
      <w:r>
        <w:rPr>
          <w:rFonts w:ascii="Arial" w:cs="Arial" w:eastAsia="Arial" w:hAnsi="Arial"/>
          <w:sz w:val="17"/>
          <w:szCs w:val="17"/>
          <w:color w:val="auto"/>
        </w:rPr>
        <w:t>Janina Kugel</w:t>
      </w:r>
      <w:r>
        <w:rPr>
          <w:sz w:val="20"/>
          <w:szCs w:val="20"/>
          <w:color w:val="auto"/>
        </w:rPr>
        <w:tab/>
      </w:r>
      <w:r>
        <w:rPr>
          <w:rFonts w:ascii="Arial" w:cs="Arial" w:eastAsia="Arial" w:hAnsi="Arial"/>
          <w:sz w:val="17"/>
          <w:szCs w:val="17"/>
          <w:color w:val="auto"/>
        </w:rPr>
        <w:t>Jana Schreuder</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wp:posOffset>
            </wp:positionV>
            <wp:extent cx="557530" cy="5568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530" cy="55689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27305</wp:posOffset>
            </wp:positionV>
            <wp:extent cx="557530" cy="5568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530" cy="55689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580"/>
        <w:spacing w:after="0"/>
        <w:tabs>
          <w:tab w:leader="none" w:pos="6100" w:val="left"/>
        </w:tabs>
        <w:rPr>
          <w:sz w:val="20"/>
          <w:szCs w:val="20"/>
          <w:color w:val="auto"/>
        </w:rPr>
      </w:pPr>
      <w:r>
        <w:rPr>
          <w:rFonts w:ascii="Arial" w:cs="Arial" w:eastAsia="Arial" w:hAnsi="Arial"/>
          <w:sz w:val="17"/>
          <w:szCs w:val="17"/>
          <w:color w:val="auto"/>
        </w:rPr>
        <w:t>Denis Machuel</w:t>
      </w:r>
      <w:r>
        <w:rPr>
          <w:sz w:val="20"/>
          <w:szCs w:val="20"/>
          <w:color w:val="auto"/>
        </w:rPr>
        <w:tab/>
      </w:r>
      <w:r>
        <w:rPr>
          <w:rFonts w:ascii="Arial" w:cs="Arial" w:eastAsia="Arial" w:hAnsi="Arial"/>
          <w:sz w:val="17"/>
          <w:szCs w:val="17"/>
          <w:color w:val="auto"/>
        </w:rPr>
        <w:t>Howard I. Ungerleider</w:t>
      </w:r>
    </w:p>
    <w:p>
      <w:pPr>
        <w:spacing w:after="0" w:line="25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w:t>
      </w:r>
    </w:p>
    <w:p>
      <w:pPr>
        <w:spacing w:after="0" w:line="210" w:lineRule="exact"/>
        <w:rPr>
          <w:sz w:val="20"/>
          <w:szCs w:val="20"/>
          <w:color w:val="auto"/>
        </w:rPr>
      </w:pPr>
    </w:p>
    <w:p>
      <w:pPr>
        <w:ind w:left="80" w:right="179"/>
        <w:spacing w:after="0" w:line="241" w:lineRule="auto"/>
        <w:rPr>
          <w:sz w:val="20"/>
          <w:szCs w:val="20"/>
          <w:color w:val="auto"/>
        </w:rPr>
      </w:pPr>
      <w:r>
        <w:rPr>
          <w:rFonts w:ascii="Arial" w:cs="Arial" w:eastAsia="Arial" w:hAnsi="Arial"/>
          <w:sz w:val="17"/>
          <w:szCs w:val="17"/>
          <w:color w:val="auto"/>
        </w:rPr>
        <w:t>Unless otherwise instructed, the persons named in the form of proxy card (“proxyholders”) attached to this Proxy Statement intend to vote the proxies held by them for the election of John D. Harris II, Janina Kugel, Denis Machuel, Rahul N. Merchant, Jana Schreuder and Howard I. Ungerleider. If any of these nominees ceases to be a candidate for election by the time of the 2026 Annual Meeting (a contingency which the Board does not expect to occur), such proxies may be voted by the proxyholders in accordance with the recommendation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33655</wp:posOffset>
            </wp:positionV>
            <wp:extent cx="5623560" cy="4800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23560" cy="480060"/>
                    </a:xfrm>
                    <a:prstGeom prst="rect">
                      <a:avLst/>
                    </a:prstGeom>
                    <a:noFill/>
                  </pic:spPr>
                </pic:pic>
              </a:graphicData>
            </a:graphic>
          </wp:anchor>
        </w:drawing>
      </w:r>
    </w:p>
    <w:p>
      <w:pPr>
        <w:spacing w:after="0" w:line="160" w:lineRule="exact"/>
        <w:rPr>
          <w:sz w:val="20"/>
          <w:szCs w:val="20"/>
          <w:color w:val="auto"/>
        </w:rPr>
      </w:pPr>
    </w:p>
    <w:p>
      <w:pPr>
        <w:ind w:left="880" w:right="1159"/>
        <w:spacing w:after="0" w:line="225" w:lineRule="auto"/>
        <w:rPr>
          <w:sz w:val="20"/>
          <w:szCs w:val="20"/>
          <w:color w:val="auto"/>
        </w:rPr>
      </w:pPr>
      <w:r>
        <w:rPr>
          <w:rFonts w:ascii="Arial" w:cs="Arial" w:eastAsia="Arial" w:hAnsi="Arial"/>
          <w:sz w:val="17"/>
          <w:szCs w:val="17"/>
          <w:color w:val="auto"/>
        </w:rPr>
        <w:t xml:space="preserve">The Board recommends that you vote </w:t>
      </w:r>
      <w:r>
        <w:rPr>
          <w:rFonts w:ascii="Arial" w:cs="Arial" w:eastAsia="Arial" w:hAnsi="Arial"/>
          <w:sz w:val="17"/>
          <w:szCs w:val="17"/>
          <w:b w:val="1"/>
          <w:bCs w:val="1"/>
          <w:color w:val="72C593"/>
        </w:rPr>
        <w:t>FOR</w:t>
      </w:r>
      <w:r>
        <w:rPr>
          <w:rFonts w:ascii="Arial" w:cs="Arial" w:eastAsia="Arial" w:hAnsi="Arial"/>
          <w:sz w:val="17"/>
          <w:szCs w:val="17"/>
          <w:color w:val="auto"/>
        </w:rPr>
        <w:t xml:space="preserve"> the election of each of the six nominees set forth above.</w:t>
      </w:r>
    </w:p>
    <w:p>
      <w:pPr>
        <w:ind w:left="480"/>
        <w:spacing w:after="0"/>
        <w:rPr>
          <w:sz w:val="20"/>
          <w:szCs w:val="20"/>
          <w:color w:val="auto"/>
        </w:rPr>
      </w:pPr>
      <w:r>
        <w:rPr>
          <w:rFonts w:ascii="Arial" w:cs="Arial" w:eastAsia="Arial" w:hAnsi="Arial"/>
          <w:sz w:val="17"/>
          <w:szCs w:val="17"/>
          <w:color w:val="auto"/>
        </w:rPr>
        <w:t> </w:t>
      </w:r>
    </w:p>
    <w:p>
      <w:pPr>
        <w:spacing w:after="0" w:line="28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Director Nominees Standing for Election</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322"/>
        </w:trPr>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23"/>
                <w:szCs w:val="23"/>
                <w:b w:val="1"/>
                <w:bCs w:val="1"/>
                <w:color w:val="F0533D"/>
              </w:rPr>
              <w:t>JOHN D. HARRIS II</w:t>
            </w: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320" w:type="dxa"/>
            <w:vAlign w:val="bottom"/>
            <w:tcBorders>
              <w:bottom w:val="single" w:sz="8" w:color="F0533D"/>
            </w:tcBorders>
          </w:tcPr>
          <w:p>
            <w:pPr>
              <w:spacing w:after="0"/>
              <w:rPr>
                <w:sz w:val="7"/>
                <w:szCs w:val="7"/>
                <w:color w:val="auto"/>
              </w:rPr>
            </w:pPr>
          </w:p>
        </w:tc>
        <w:tc>
          <w:tcPr>
            <w:tcW w:w="4360" w:type="dxa"/>
            <w:vAlign w:val="bottom"/>
            <w:tcBorders>
              <w:bottom w:val="single" w:sz="8" w:color="F0533D"/>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680" w:type="dxa"/>
            <w:vAlign w:val="bottom"/>
            <w:gridSpan w:val="2"/>
          </w:tcPr>
          <w:p>
            <w:pPr>
              <w:spacing w:after="0"/>
              <w:rPr>
                <w:sz w:val="20"/>
                <w:szCs w:val="20"/>
                <w:color w:val="auto"/>
              </w:rPr>
            </w:pPr>
            <w:r>
              <w:rPr>
                <w:rFonts w:ascii="Arial" w:cs="Arial" w:eastAsia="Arial" w:hAnsi="Arial"/>
                <w:sz w:val="17"/>
                <w:szCs w:val="17"/>
                <w:b w:val="1"/>
                <w:bCs w:val="1"/>
                <w:color w:val="F0533D"/>
              </w:rPr>
              <w:t>FORMER VICE PRESIDENT OF BUSINESS DEVELOPMENT, RAYTHEON</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680" w:type="dxa"/>
            <w:vAlign w:val="bottom"/>
            <w:gridSpan w:val="2"/>
          </w:tcPr>
          <w:p>
            <w:pPr>
              <w:spacing w:after="0" w:line="189" w:lineRule="exact"/>
              <w:rPr>
                <w:sz w:val="20"/>
                <w:szCs w:val="20"/>
                <w:color w:val="auto"/>
              </w:rPr>
            </w:pPr>
            <w:r>
              <w:rPr>
                <w:rFonts w:ascii="Arial" w:cs="Arial" w:eastAsia="Arial" w:hAnsi="Arial"/>
                <w:sz w:val="17"/>
                <w:szCs w:val="17"/>
                <w:b w:val="1"/>
                <w:bCs w:val="1"/>
                <w:color w:val="F0533D"/>
              </w:rPr>
              <w:t>COMPANY AND CHIEF EXECUTIVE OFFICER, RAYTHEON INTERNATIONAL INC.,</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7"/>
                <w:szCs w:val="17"/>
                <w:color w:val="auto"/>
              </w:rPr>
              <w:t>a multinational aerospace and defense company</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80" w:type="dxa"/>
            <w:vAlign w:val="bottom"/>
            <w:gridSpan w:val="2"/>
          </w:tcPr>
          <w:p>
            <w:pPr>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Nominating and Governance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vMerge w:val="restart"/>
          </w:tcPr>
          <w:p>
            <w:pPr>
              <w:spacing w:after="0"/>
              <w:rPr>
                <w:sz w:val="20"/>
                <w:szCs w:val="20"/>
                <w:color w:val="auto"/>
              </w:rPr>
            </w:pPr>
            <w:r>
              <w:rPr>
                <w:rFonts w:ascii="Arial" w:cs="Arial" w:eastAsia="Arial" w:hAnsi="Arial"/>
                <w:sz w:val="23"/>
                <w:szCs w:val="23"/>
                <w:b w:val="1"/>
                <w:bCs w:val="1"/>
                <w:color w:val="F0533D"/>
              </w:rPr>
              <w:t> </w:t>
            </w:r>
          </w:p>
        </w:tc>
        <w:tc>
          <w:tcPr>
            <w:tcW w:w="196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65</w:t>
            </w: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6680" w:type="dxa"/>
            <w:vAlign w:val="bottom"/>
            <w:gridSpan w:val="2"/>
            <w:vMerge w:val="restart"/>
          </w:tcPr>
          <w:p>
            <w:pPr>
              <w:spacing w:after="0"/>
              <w:rPr>
                <w:sz w:val="20"/>
                <w:szCs w:val="20"/>
                <w:color w:val="auto"/>
              </w:rPr>
            </w:pP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0" w:type="dxa"/>
            <w:vAlign w:val="bottom"/>
            <w:tcBorders>
              <w:bottom w:val="single" w:sz="8" w:color="F0533D"/>
            </w:tcBorders>
          </w:tcPr>
          <w:p>
            <w:pPr>
              <w:spacing w:after="0"/>
              <w:rPr>
                <w:sz w:val="12"/>
                <w:szCs w:val="12"/>
                <w:color w:val="auto"/>
              </w:rPr>
            </w:pPr>
          </w:p>
        </w:tc>
        <w:tc>
          <w:tcPr>
            <w:tcW w:w="4280" w:type="dxa"/>
            <w:vAlign w:val="bottom"/>
            <w:tcBorders>
              <w:bottom w:val="single" w:sz="8" w:color="F0533D"/>
            </w:tcBorders>
            <w:gridSpan w:val="2"/>
          </w:tcPr>
          <w:p>
            <w:pPr>
              <w:spacing w:after="0"/>
              <w:rPr>
                <w:sz w:val="12"/>
                <w:szCs w:val="12"/>
                <w:color w:val="auto"/>
              </w:rPr>
            </w:pPr>
          </w:p>
        </w:tc>
        <w:tc>
          <w:tcPr>
            <w:tcW w:w="4360" w:type="dxa"/>
            <w:vAlign w:val="bottom"/>
            <w:tcBorders>
              <w:bottom w:val="single" w:sz="8" w:color="F0533D"/>
            </w:tcBorders>
          </w:tcPr>
          <w:p>
            <w:pPr>
              <w:spacing w:after="0"/>
              <w:rPr>
                <w:sz w:val="12"/>
                <w:szCs w:val="12"/>
                <w:color w:val="auto"/>
              </w:rPr>
            </w:pPr>
          </w:p>
        </w:tc>
        <w:tc>
          <w:tcPr>
            <w:tcW w:w="120" w:type="dxa"/>
            <w:vAlign w:val="bottom"/>
            <w:tcBorders>
              <w:bottom w:val="single" w:sz="8" w:color="F0533D"/>
            </w:tcBorders>
          </w:tcPr>
          <w:p>
            <w:pPr>
              <w:spacing w:after="0"/>
              <w:rPr>
                <w:sz w:val="12"/>
                <w:szCs w:val="12"/>
                <w:color w:val="auto"/>
              </w:rPr>
            </w:pPr>
          </w:p>
        </w:tc>
        <w:tc>
          <w:tcPr>
            <w:tcW w:w="0" w:type="dxa"/>
            <w:vAlign w:val="bottom"/>
          </w:tcPr>
          <w:p>
            <w:pPr>
              <w:spacing w:after="0"/>
              <w:rPr>
                <w:sz w:val="1"/>
                <w:szCs w:val="1"/>
                <w:color w:val="auto"/>
              </w:rPr>
            </w:pPr>
          </w:p>
        </w:tc>
      </w:tr>
      <w:tr>
        <w:trPr>
          <w:trHeight w:val="489"/>
        </w:trPr>
        <w:tc>
          <w:tcPr>
            <w:tcW w:w="100" w:type="dxa"/>
            <w:vAlign w:val="bottom"/>
            <w:shd w:val="clear" w:color="auto" w:fill="F1F2F2"/>
          </w:tcPr>
          <w:p>
            <w:pPr>
              <w:spacing w:after="0"/>
              <w:rPr>
                <w:sz w:val="24"/>
                <w:szCs w:val="24"/>
                <w:color w:val="auto"/>
              </w:rPr>
            </w:pPr>
          </w:p>
        </w:tc>
        <w:tc>
          <w:tcPr>
            <w:tcW w:w="4280" w:type="dxa"/>
            <w:vAlign w:val="bottom"/>
            <w:gridSpan w:val="2"/>
            <w:shd w:val="clear" w:color="auto" w:fill="F1F2F2"/>
          </w:tcPr>
          <w:p>
            <w:pPr>
              <w:ind w:left="60"/>
              <w:spacing w:after="0"/>
              <w:rPr>
                <w:sz w:val="20"/>
                <w:szCs w:val="20"/>
                <w:color w:val="auto"/>
              </w:rPr>
            </w:pPr>
            <w:r>
              <w:rPr>
                <w:rFonts w:ascii="Arial" w:cs="Arial" w:eastAsia="Arial" w:hAnsi="Arial"/>
                <w:sz w:val="17"/>
                <w:szCs w:val="17"/>
                <w:b w:val="1"/>
                <w:bCs w:val="1"/>
                <w:color w:val="auto"/>
              </w:rPr>
              <w:t>Qualifications, Attributes and Skills</w:t>
            </w:r>
          </w:p>
        </w:tc>
        <w:tc>
          <w:tcPr>
            <w:tcW w:w="4360" w:type="dxa"/>
            <w:vAlign w:val="bottom"/>
            <w:shd w:val="clear" w:color="auto" w:fill="F1F2F2"/>
          </w:tcPr>
          <w:p>
            <w:pPr>
              <w:spacing w:after="0"/>
              <w:rPr>
                <w:sz w:val="24"/>
                <w:szCs w:val="24"/>
                <w:color w:val="auto"/>
              </w:rPr>
            </w:pPr>
          </w:p>
        </w:tc>
        <w:tc>
          <w:tcPr>
            <w:tcW w:w="1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00" w:type="dxa"/>
            <w:vAlign w:val="bottom"/>
            <w:shd w:val="clear" w:color="auto" w:fill="F1F2F2"/>
          </w:tcPr>
          <w:p>
            <w:pPr>
              <w:spacing w:after="0"/>
              <w:rPr>
                <w:sz w:val="24"/>
                <w:szCs w:val="24"/>
                <w:color w:val="auto"/>
              </w:rPr>
            </w:pPr>
          </w:p>
        </w:tc>
        <w:tc>
          <w:tcPr>
            <w:tcW w:w="4280" w:type="dxa"/>
            <w:vAlign w:val="bottom"/>
            <w:gridSpan w:val="2"/>
            <w:shd w:val="clear" w:color="auto" w:fill="F1F2F2"/>
          </w:tcPr>
          <w:p>
            <w:pPr>
              <w:ind w:left="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former chief</w:t>
            </w:r>
          </w:p>
        </w:tc>
        <w:tc>
          <w:tcPr>
            <w:tcW w:w="4360" w:type="dxa"/>
            <w:vAlign w:val="bottom"/>
            <w:shd w:val="clear" w:color="auto" w:fill="F1F2F2"/>
          </w:tcPr>
          <w:p>
            <w:pPr>
              <w:ind w:left="2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Government service</w:t>
            </w:r>
            <w:r>
              <w:rPr>
                <w:rFonts w:ascii="Arial" w:cs="Arial" w:eastAsia="Arial" w:hAnsi="Arial"/>
                <w:sz w:val="17"/>
                <w:szCs w:val="17"/>
                <w:color w:val="F0533D"/>
              </w:rPr>
              <w:t xml:space="preserve"> </w:t>
            </w:r>
            <w:r>
              <w:rPr>
                <w:rFonts w:ascii="Arial" w:cs="Arial" w:eastAsia="Arial" w:hAnsi="Arial"/>
                <w:sz w:val="17"/>
                <w:szCs w:val="17"/>
                <w:color w:val="000000"/>
              </w:rPr>
              <w:t>as a former member of the</w:t>
            </w:r>
          </w:p>
        </w:tc>
        <w:tc>
          <w:tcPr>
            <w:tcW w:w="1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4280" w:type="dxa"/>
            <w:vAlign w:val="bottom"/>
            <w:gridSpan w:val="2"/>
            <w:shd w:val="clear" w:color="auto" w:fill="F1F2F2"/>
          </w:tcPr>
          <w:p>
            <w:pPr>
              <w:ind w:left="240"/>
              <w:spacing w:after="0" w:line="189" w:lineRule="exact"/>
              <w:rPr>
                <w:sz w:val="20"/>
                <w:szCs w:val="20"/>
                <w:color w:val="auto"/>
              </w:rPr>
            </w:pPr>
            <w:r>
              <w:rPr>
                <w:rFonts w:ascii="Arial" w:cs="Arial" w:eastAsia="Arial" w:hAnsi="Arial"/>
                <w:sz w:val="17"/>
                <w:szCs w:val="17"/>
                <w:color w:val="auto"/>
              </w:rPr>
              <w:t>executive officer of Raytheon International Inc.</w:t>
            </w:r>
          </w:p>
        </w:tc>
        <w:tc>
          <w:tcPr>
            <w:tcW w:w="4360" w:type="dxa"/>
            <w:vAlign w:val="bottom"/>
            <w:shd w:val="clear" w:color="auto" w:fill="F1F2F2"/>
          </w:tcPr>
          <w:p>
            <w:pPr>
              <w:ind w:left="360"/>
              <w:spacing w:after="0" w:line="189" w:lineRule="exact"/>
              <w:rPr>
                <w:sz w:val="20"/>
                <w:szCs w:val="20"/>
                <w:color w:val="auto"/>
              </w:rPr>
            </w:pPr>
            <w:r>
              <w:rPr>
                <w:rFonts w:ascii="Arial" w:cs="Arial" w:eastAsia="Arial" w:hAnsi="Arial"/>
                <w:sz w:val="17"/>
                <w:szCs w:val="17"/>
                <w:color w:val="auto"/>
              </w:rPr>
              <w:t>National Advisory Council on Minority Business</w:t>
            </w:r>
          </w:p>
        </w:tc>
        <w:tc>
          <w:tcPr>
            <w:tcW w:w="1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4280" w:type="dxa"/>
            <w:vAlign w:val="bottom"/>
            <w:gridSpan w:val="2"/>
            <w:shd w:val="clear" w:color="auto" w:fill="F1F2F2"/>
          </w:tcPr>
          <w:p>
            <w:pPr>
              <w:ind w:left="240"/>
              <w:spacing w:after="0" w:line="189" w:lineRule="exact"/>
              <w:rPr>
                <w:sz w:val="20"/>
                <w:szCs w:val="20"/>
                <w:color w:val="auto"/>
              </w:rPr>
            </w:pPr>
            <w:r>
              <w:rPr>
                <w:rFonts w:ascii="Arial" w:cs="Arial" w:eastAsia="Arial" w:hAnsi="Arial"/>
                <w:sz w:val="17"/>
                <w:szCs w:val="17"/>
                <w:color w:val="auto"/>
              </w:rPr>
              <w:t>and vice president of business development of</w:t>
            </w:r>
          </w:p>
        </w:tc>
        <w:tc>
          <w:tcPr>
            <w:tcW w:w="4360" w:type="dxa"/>
            <w:vAlign w:val="bottom"/>
            <w:shd w:val="clear" w:color="auto" w:fill="F1F2F2"/>
          </w:tcPr>
          <w:p>
            <w:pPr>
              <w:ind w:left="360"/>
              <w:spacing w:after="0" w:line="189" w:lineRule="exact"/>
              <w:rPr>
                <w:sz w:val="20"/>
                <w:szCs w:val="20"/>
                <w:color w:val="auto"/>
              </w:rPr>
            </w:pPr>
            <w:r>
              <w:rPr>
                <w:rFonts w:ascii="Arial" w:cs="Arial" w:eastAsia="Arial" w:hAnsi="Arial"/>
                <w:sz w:val="17"/>
                <w:szCs w:val="17"/>
                <w:color w:val="auto"/>
              </w:rPr>
              <w:t>Enterprise with the U.S. Department of Commerce</w:t>
            </w:r>
          </w:p>
        </w:tc>
        <w:tc>
          <w:tcPr>
            <w:tcW w:w="1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4280" w:type="dxa"/>
            <w:vAlign w:val="bottom"/>
            <w:gridSpan w:val="2"/>
            <w:shd w:val="clear" w:color="auto" w:fill="F1F2F2"/>
          </w:tcPr>
          <w:p>
            <w:pPr>
              <w:ind w:left="240"/>
              <w:spacing w:after="0" w:line="189" w:lineRule="exact"/>
              <w:rPr>
                <w:sz w:val="20"/>
                <w:szCs w:val="20"/>
                <w:color w:val="auto"/>
              </w:rPr>
            </w:pPr>
            <w:r>
              <w:rPr>
                <w:rFonts w:ascii="Arial" w:cs="Arial" w:eastAsia="Arial" w:hAnsi="Arial"/>
                <w:sz w:val="17"/>
                <w:szCs w:val="17"/>
                <w:color w:val="auto"/>
              </w:rPr>
              <w:t>Raytheon Company</w:t>
            </w:r>
          </w:p>
        </w:tc>
        <w:tc>
          <w:tcPr>
            <w:tcW w:w="4360" w:type="dxa"/>
            <w:vAlign w:val="bottom"/>
            <w:shd w:val="clear" w:color="auto" w:fill="F1F2F2"/>
          </w:tcPr>
          <w:p>
            <w:pPr>
              <w:ind w:left="360"/>
              <w:spacing w:after="0" w:line="189" w:lineRule="exact"/>
              <w:rPr>
                <w:sz w:val="20"/>
                <w:szCs w:val="20"/>
                <w:color w:val="auto"/>
              </w:rPr>
            </w:pPr>
            <w:r>
              <w:rPr>
                <w:rFonts w:ascii="Arial" w:cs="Arial" w:eastAsia="Arial" w:hAnsi="Arial"/>
                <w:sz w:val="17"/>
                <w:szCs w:val="17"/>
                <w:color w:val="auto"/>
              </w:rPr>
              <w:t>and Radio Technical Commission for Aeronautics</w:t>
            </w:r>
          </w:p>
        </w:tc>
        <w:tc>
          <w:tcPr>
            <w:tcW w:w="1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1960" w:type="dxa"/>
            <w:vAlign w:val="bottom"/>
            <w:shd w:val="clear" w:color="auto" w:fill="F1F2F2"/>
          </w:tcPr>
          <w:p>
            <w:pPr>
              <w:spacing w:after="0"/>
              <w:rPr>
                <w:sz w:val="16"/>
                <w:szCs w:val="16"/>
                <w:color w:val="auto"/>
              </w:rPr>
            </w:pPr>
          </w:p>
        </w:tc>
        <w:tc>
          <w:tcPr>
            <w:tcW w:w="2320" w:type="dxa"/>
            <w:vAlign w:val="bottom"/>
            <w:shd w:val="clear" w:color="auto" w:fill="F1F2F2"/>
          </w:tcPr>
          <w:p>
            <w:pPr>
              <w:spacing w:after="0"/>
              <w:rPr>
                <w:sz w:val="16"/>
                <w:szCs w:val="16"/>
                <w:color w:val="auto"/>
              </w:rPr>
            </w:pPr>
          </w:p>
        </w:tc>
        <w:tc>
          <w:tcPr>
            <w:tcW w:w="4360" w:type="dxa"/>
            <w:vAlign w:val="bottom"/>
            <w:shd w:val="clear" w:color="auto" w:fill="F1F2F2"/>
          </w:tcPr>
          <w:p>
            <w:pPr>
              <w:ind w:left="360"/>
              <w:spacing w:after="0" w:line="189" w:lineRule="exact"/>
              <w:rPr>
                <w:sz w:val="20"/>
                <w:szCs w:val="20"/>
                <w:color w:val="auto"/>
              </w:rPr>
            </w:pPr>
            <w:r>
              <w:rPr>
                <w:rFonts w:ascii="Arial" w:cs="Arial" w:eastAsia="Arial" w:hAnsi="Arial"/>
                <w:sz w:val="17"/>
                <w:szCs w:val="17"/>
                <w:color w:val="auto"/>
              </w:rPr>
              <w:t>(“RTCA”) NexGen Advisory Committee of the</w:t>
            </w:r>
          </w:p>
        </w:tc>
        <w:tc>
          <w:tcPr>
            <w:tcW w:w="1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shd w:val="clear" w:color="auto" w:fill="F1F2F2"/>
          </w:tcPr>
          <w:p>
            <w:pPr>
              <w:spacing w:after="0"/>
              <w:rPr>
                <w:sz w:val="18"/>
                <w:szCs w:val="18"/>
                <w:color w:val="auto"/>
              </w:rPr>
            </w:pPr>
          </w:p>
        </w:tc>
        <w:tc>
          <w:tcPr>
            <w:tcW w:w="4280" w:type="dxa"/>
            <w:vAlign w:val="bottom"/>
            <w:gridSpan w:val="2"/>
            <w:shd w:val="clear" w:color="auto" w:fill="F1F2F2"/>
          </w:tcPr>
          <w:p>
            <w:pPr>
              <w:ind w:left="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Technology, digital and/or cybersecurity</w:t>
            </w:r>
          </w:p>
        </w:tc>
        <w:tc>
          <w:tcPr>
            <w:tcW w:w="4360" w:type="dxa"/>
            <w:vAlign w:val="bottom"/>
            <w:shd w:val="clear" w:color="auto" w:fill="F1F2F2"/>
          </w:tcPr>
          <w:p>
            <w:pPr>
              <w:ind w:left="360"/>
              <w:spacing w:after="0"/>
              <w:rPr>
                <w:sz w:val="20"/>
                <w:szCs w:val="20"/>
                <w:color w:val="auto"/>
              </w:rPr>
            </w:pPr>
            <w:r>
              <w:rPr>
                <w:rFonts w:ascii="Arial" w:cs="Arial" w:eastAsia="Arial" w:hAnsi="Arial"/>
                <w:sz w:val="17"/>
                <w:szCs w:val="17"/>
                <w:color w:val="auto"/>
              </w:rPr>
              <w:t>U.S. Department of Transportation</w:t>
            </w:r>
          </w:p>
        </w:tc>
        <w:tc>
          <w:tcPr>
            <w:tcW w:w="120" w:type="dxa"/>
            <w:vAlign w:val="bottom"/>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4280" w:type="dxa"/>
            <w:vAlign w:val="bottom"/>
            <w:gridSpan w:val="2"/>
            <w:shd w:val="clear" w:color="auto" w:fill="F1F2F2"/>
          </w:tcPr>
          <w:p>
            <w:pPr>
              <w:ind w:left="220"/>
              <w:spacing w:after="0" w:line="189" w:lineRule="exact"/>
              <w:rPr>
                <w:sz w:val="20"/>
                <w:szCs w:val="20"/>
                <w:color w:val="auto"/>
              </w:rPr>
            </w:pPr>
            <w:r>
              <w:rPr>
                <w:rFonts w:ascii="Arial" w:cs="Arial" w:eastAsia="Arial" w:hAnsi="Arial"/>
                <w:sz w:val="17"/>
                <w:szCs w:val="17"/>
                <w:b w:val="1"/>
                <w:bCs w:val="1"/>
                <w:color w:val="F0533D"/>
              </w:rPr>
              <w:t xml:space="preserve">experience </w:t>
            </w:r>
            <w:r>
              <w:rPr>
                <w:rFonts w:ascii="Arial" w:cs="Arial" w:eastAsia="Arial" w:hAnsi="Arial"/>
                <w:sz w:val="17"/>
                <w:szCs w:val="17"/>
                <w:color w:val="000000"/>
              </w:rPr>
              <w:t>as former president of the</w:t>
            </w:r>
          </w:p>
        </w:tc>
        <w:tc>
          <w:tcPr>
            <w:tcW w:w="4360" w:type="dxa"/>
            <w:vAlign w:val="bottom"/>
            <w:shd w:val="clear" w:color="auto" w:fill="F1F2F2"/>
          </w:tcPr>
          <w:p>
            <w:pPr>
              <w:spacing w:after="0"/>
              <w:rPr>
                <w:sz w:val="16"/>
                <w:szCs w:val="16"/>
                <w:color w:val="auto"/>
              </w:rPr>
            </w:pPr>
          </w:p>
        </w:tc>
        <w:tc>
          <w:tcPr>
            <w:tcW w:w="1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4280" w:type="dxa"/>
            <w:vAlign w:val="bottom"/>
            <w:gridSpan w:val="2"/>
            <w:shd w:val="clear" w:color="auto" w:fill="F1F2F2"/>
          </w:tcPr>
          <w:p>
            <w:pPr>
              <w:ind w:left="220"/>
              <w:spacing w:after="0" w:line="189" w:lineRule="exact"/>
              <w:rPr>
                <w:sz w:val="20"/>
                <w:szCs w:val="20"/>
                <w:color w:val="auto"/>
              </w:rPr>
            </w:pPr>
            <w:r>
              <w:rPr>
                <w:rFonts w:ascii="Arial" w:cs="Arial" w:eastAsia="Arial" w:hAnsi="Arial"/>
                <w:sz w:val="17"/>
                <w:szCs w:val="17"/>
                <w:color w:val="auto"/>
              </w:rPr>
              <w:t>Raytheon Technical Services Company and as</w:t>
            </w:r>
          </w:p>
        </w:tc>
        <w:tc>
          <w:tcPr>
            <w:tcW w:w="4360" w:type="dxa"/>
            <w:vAlign w:val="bottom"/>
            <w:shd w:val="clear" w:color="auto" w:fill="F1F2F2"/>
          </w:tcPr>
          <w:p>
            <w:pPr>
              <w:ind w:left="200"/>
              <w:spacing w:after="0" w:line="189" w:lineRule="exact"/>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a director of Cisco</w:t>
            </w:r>
          </w:p>
        </w:tc>
        <w:tc>
          <w:tcPr>
            <w:tcW w:w="1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4280" w:type="dxa"/>
            <w:vAlign w:val="bottom"/>
            <w:gridSpan w:val="2"/>
            <w:shd w:val="clear" w:color="auto" w:fill="F1F2F2"/>
          </w:tcPr>
          <w:p>
            <w:pPr>
              <w:ind w:left="220"/>
              <w:spacing w:after="0" w:line="189" w:lineRule="exact"/>
              <w:rPr>
                <w:sz w:val="20"/>
                <w:szCs w:val="20"/>
                <w:color w:val="auto"/>
              </w:rPr>
            </w:pPr>
            <w:r>
              <w:rPr>
                <w:rFonts w:ascii="Arial" w:cs="Arial" w:eastAsia="Arial" w:hAnsi="Arial"/>
                <w:sz w:val="17"/>
                <w:szCs w:val="17"/>
                <w:color w:val="auto"/>
              </w:rPr>
              <w:t>former general manager of Raytheon’s</w:t>
            </w:r>
          </w:p>
        </w:tc>
        <w:tc>
          <w:tcPr>
            <w:tcW w:w="4360" w:type="dxa"/>
            <w:vAlign w:val="bottom"/>
            <w:shd w:val="clear" w:color="auto" w:fill="F1F2F2"/>
          </w:tcPr>
          <w:p>
            <w:pPr>
              <w:ind w:left="360"/>
              <w:spacing w:after="0" w:line="189" w:lineRule="exact"/>
              <w:rPr>
                <w:sz w:val="20"/>
                <w:szCs w:val="20"/>
                <w:color w:val="auto"/>
              </w:rPr>
            </w:pPr>
            <w:r>
              <w:rPr>
                <w:rFonts w:ascii="Arial" w:cs="Arial" w:eastAsia="Arial" w:hAnsi="Arial"/>
                <w:sz w:val="17"/>
                <w:szCs w:val="17"/>
                <w:color w:val="auto"/>
              </w:rPr>
              <w:t>Systems Inc., Flex Ltd., and ExxonMobil Corporation</w:t>
            </w:r>
          </w:p>
        </w:tc>
        <w:tc>
          <w:tcPr>
            <w:tcW w:w="12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shd w:val="clear" w:color="auto" w:fill="F1F2F2"/>
          </w:tcPr>
          <w:p>
            <w:pPr>
              <w:spacing w:after="0"/>
              <w:rPr>
                <w:sz w:val="18"/>
                <w:szCs w:val="18"/>
                <w:color w:val="auto"/>
              </w:rPr>
            </w:pPr>
          </w:p>
        </w:tc>
        <w:tc>
          <w:tcPr>
            <w:tcW w:w="4280" w:type="dxa"/>
            <w:vAlign w:val="bottom"/>
            <w:gridSpan w:val="2"/>
            <w:shd w:val="clear" w:color="auto" w:fill="F1F2F2"/>
          </w:tcPr>
          <w:p>
            <w:pPr>
              <w:ind w:left="220"/>
              <w:spacing w:after="0"/>
              <w:rPr>
                <w:sz w:val="20"/>
                <w:szCs w:val="20"/>
                <w:color w:val="auto"/>
              </w:rPr>
            </w:pPr>
            <w:r>
              <w:rPr>
                <w:rFonts w:ascii="Arial" w:cs="Arial" w:eastAsia="Arial" w:hAnsi="Arial"/>
                <w:sz w:val="17"/>
                <w:szCs w:val="17"/>
                <w:color w:val="auto"/>
              </w:rPr>
              <w:t>Intelligence, Information and Services business</w:t>
            </w:r>
          </w:p>
        </w:tc>
        <w:tc>
          <w:tcPr>
            <w:tcW w:w="4360" w:type="dxa"/>
            <w:vAlign w:val="bottom"/>
            <w:shd w:val="clear" w:color="auto" w:fill="F1F2F2"/>
          </w:tcPr>
          <w:p>
            <w:pPr>
              <w:spacing w:after="0"/>
              <w:rPr>
                <w:sz w:val="18"/>
                <w:szCs w:val="18"/>
                <w:color w:val="auto"/>
              </w:rPr>
            </w:pPr>
          </w:p>
        </w:tc>
        <w:tc>
          <w:tcPr>
            <w:tcW w:w="120" w:type="dxa"/>
            <w:vAlign w:val="bottom"/>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F0533D"/>
            </w:tcBorders>
            <w:shd w:val="clear" w:color="auto" w:fill="F1F2F2"/>
          </w:tcPr>
          <w:p>
            <w:pPr>
              <w:spacing w:after="0"/>
              <w:rPr>
                <w:sz w:val="19"/>
                <w:szCs w:val="19"/>
                <w:color w:val="auto"/>
              </w:rPr>
            </w:pPr>
          </w:p>
        </w:tc>
        <w:tc>
          <w:tcPr>
            <w:tcW w:w="1960" w:type="dxa"/>
            <w:vAlign w:val="bottom"/>
            <w:tcBorders>
              <w:bottom w:val="single" w:sz="8" w:color="F0533D"/>
            </w:tcBorders>
            <w:shd w:val="clear" w:color="auto" w:fill="F1F2F2"/>
          </w:tcPr>
          <w:p>
            <w:pPr>
              <w:spacing w:after="0"/>
              <w:rPr>
                <w:sz w:val="19"/>
                <w:szCs w:val="19"/>
                <w:color w:val="auto"/>
              </w:rPr>
            </w:pPr>
          </w:p>
        </w:tc>
        <w:tc>
          <w:tcPr>
            <w:tcW w:w="2320" w:type="dxa"/>
            <w:vAlign w:val="bottom"/>
            <w:tcBorders>
              <w:bottom w:val="single" w:sz="8" w:color="F0533D"/>
            </w:tcBorders>
            <w:shd w:val="clear" w:color="auto" w:fill="F1F2F2"/>
          </w:tcPr>
          <w:p>
            <w:pPr>
              <w:spacing w:after="0"/>
              <w:rPr>
                <w:sz w:val="19"/>
                <w:szCs w:val="19"/>
                <w:color w:val="auto"/>
              </w:rPr>
            </w:pPr>
          </w:p>
        </w:tc>
        <w:tc>
          <w:tcPr>
            <w:tcW w:w="4360" w:type="dxa"/>
            <w:vAlign w:val="bottom"/>
            <w:tcBorders>
              <w:bottom w:val="single" w:sz="8" w:color="F0533D"/>
            </w:tcBorders>
            <w:shd w:val="clear" w:color="auto" w:fill="F1F2F2"/>
          </w:tcPr>
          <w:p>
            <w:pPr>
              <w:spacing w:after="0"/>
              <w:rPr>
                <w:sz w:val="19"/>
                <w:szCs w:val="19"/>
                <w:color w:val="auto"/>
              </w:rPr>
            </w:pPr>
          </w:p>
        </w:tc>
        <w:tc>
          <w:tcPr>
            <w:tcW w:w="120" w:type="dxa"/>
            <w:vAlign w:val="bottom"/>
            <w:tcBorders>
              <w:bottom w:val="single" w:sz="8" w:color="F0533D"/>
            </w:tcBorders>
            <w:shd w:val="clear" w:color="auto" w:fill="F1F2F2"/>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-3342640</wp:posOffset>
            </wp:positionV>
            <wp:extent cx="1105535" cy="11061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5535" cy="1106170"/>
                    </a:xfrm>
                    <a:prstGeom prst="rect">
                      <a:avLst/>
                    </a:prstGeom>
                    <a:noFill/>
                  </pic:spPr>
                </pic:pic>
              </a:graphicData>
            </a:graphic>
          </wp:anchor>
        </w:drawing>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179"/>
        <w:spacing w:after="0" w:line="249" w:lineRule="auto"/>
        <w:rPr>
          <w:sz w:val="20"/>
          <w:szCs w:val="20"/>
          <w:color w:val="auto"/>
        </w:rPr>
      </w:pPr>
      <w:r>
        <w:rPr>
          <w:rFonts w:ascii="Arial" w:cs="Arial" w:eastAsia="Arial" w:hAnsi="Arial"/>
          <w:sz w:val="17"/>
          <w:szCs w:val="17"/>
          <w:color w:val="auto"/>
        </w:rPr>
        <w:t>John Harris brings to the Board extensive leadership experience in global technology, supply chain, and government relations. In addition, his varied roles throughout his career in cybersecurity solutions, intelligence services, and large-scale operational management provide the Board with a valuable and unique perspective.</w:t>
      </w:r>
    </w:p>
    <w:p>
      <w:pPr>
        <w:spacing w:after="0" w:line="175" w:lineRule="exact"/>
        <w:rPr>
          <w:sz w:val="20"/>
          <w:szCs w:val="20"/>
          <w:color w:val="auto"/>
        </w:rPr>
      </w:pPr>
    </w:p>
    <w:p>
      <w:pPr>
        <w:ind w:left="80" w:right="139"/>
        <w:spacing w:after="0" w:line="237" w:lineRule="auto"/>
        <w:rPr>
          <w:sz w:val="20"/>
          <w:szCs w:val="20"/>
          <w:color w:val="auto"/>
        </w:rPr>
      </w:pPr>
      <w:r>
        <w:rPr>
          <w:rFonts w:ascii="Arial" w:cs="Arial" w:eastAsia="Arial" w:hAnsi="Arial"/>
          <w:sz w:val="17"/>
          <w:szCs w:val="17"/>
          <w:color w:val="auto"/>
        </w:rPr>
        <w:t>Mr. Harris served as chief executive officer of Raytheon International Inc. from 2013 until 2020, where he led significant business transformations. During his tenure, Mr. Harris also served as vice president of business development for Raytheon Company, a global technology and innovation-driven company with offerings such as intelligence services and cybersecurity solutions. Mr. Harris joined Raytheon in 1983 and held positions of increasing responsibility, including vice president of operations and contracts for Raytheon’s former electronic systems business, vice president of contracts for the company’s government and defense businesses until 2003 and vice president of contracts and supply chain for Raytheon Company until 2010, when he was named president of the Raytheon Technical Services Company, a role he served in until 2013.</w:t>
      </w:r>
    </w:p>
    <w:p>
      <w:pPr>
        <w:spacing w:after="0" w:line="184" w:lineRule="exact"/>
        <w:rPr>
          <w:sz w:val="20"/>
          <w:szCs w:val="20"/>
          <w:color w:val="auto"/>
        </w:rPr>
      </w:pPr>
    </w:p>
    <w:p>
      <w:pPr>
        <w:ind w:left="80" w:right="359"/>
        <w:spacing w:after="0" w:line="249" w:lineRule="auto"/>
        <w:rPr>
          <w:sz w:val="20"/>
          <w:szCs w:val="20"/>
          <w:color w:val="auto"/>
        </w:rPr>
      </w:pPr>
      <w:r>
        <w:rPr>
          <w:rFonts w:ascii="Arial" w:cs="Arial" w:eastAsia="Arial" w:hAnsi="Arial"/>
          <w:sz w:val="17"/>
          <w:szCs w:val="17"/>
          <w:color w:val="auto"/>
        </w:rPr>
        <w:t>Mr. Harris served on the RTCA NextGen Advisory Committee, the National Advisory Council on Minority Business Enterprise with the U.S. Department of Commerce and the Association of the United States Army’s Council of Trustees. Mr. Harris serves as a board member for Cisco Systems Inc., Flex Ltd., and ExxonMobil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56515</wp:posOffset>
            </wp:positionV>
            <wp:extent cx="56235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98" w:lineRule="exact"/>
        <w:rPr>
          <w:sz w:val="20"/>
          <w:szCs w:val="20"/>
          <w:color w:val="auto"/>
        </w:rPr>
      </w:pPr>
    </w:p>
    <w:p>
      <w:pPr>
        <w:ind w:left="580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171450</wp:posOffset>
            </wp:positionV>
            <wp:extent cx="1105535" cy="11061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0553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F0533D"/>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23"/>
          <w:szCs w:val="23"/>
          <w:b w:val="1"/>
          <w:bCs w:val="1"/>
          <w:color w:val="F0533D"/>
        </w:rPr>
        <w:t>JANINA KUGEL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42430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26" w:lineRule="exact"/>
        <w:rPr>
          <w:sz w:val="20"/>
          <w:szCs w:val="20"/>
          <w:color w:val="auto"/>
        </w:rPr>
      </w:pPr>
    </w:p>
    <w:p>
      <w:pPr>
        <w:ind w:right="799"/>
        <w:spacing w:after="0" w:line="267" w:lineRule="auto"/>
        <w:rPr>
          <w:sz w:val="20"/>
          <w:szCs w:val="20"/>
          <w:color w:val="auto"/>
        </w:rPr>
      </w:pPr>
      <w:r>
        <w:rPr>
          <w:rFonts w:ascii="Arial" w:cs="Arial" w:eastAsia="Arial" w:hAnsi="Arial"/>
          <w:sz w:val="17"/>
          <w:szCs w:val="17"/>
          <w:b w:val="1"/>
          <w:bCs w:val="1"/>
          <w:color w:val="F0533D"/>
        </w:rPr>
        <w:t xml:space="preserve">FORMER CHIEF HUMAN RESOURCES OFFICER, SIEMENS AG, </w:t>
      </w:r>
      <w:r>
        <w:rPr>
          <w:rFonts w:ascii="Arial" w:cs="Arial" w:eastAsia="Arial" w:hAnsi="Arial"/>
          <w:sz w:val="17"/>
          <w:szCs w:val="17"/>
          <w:color w:val="000000"/>
        </w:rPr>
        <w:t>a diversified</w:t>
      </w:r>
      <w:r>
        <w:rPr>
          <w:rFonts w:ascii="Arial" w:cs="Arial" w:eastAsia="Arial" w:hAnsi="Arial"/>
          <w:sz w:val="17"/>
          <w:szCs w:val="17"/>
          <w:b w:val="1"/>
          <w:bCs w:val="1"/>
          <w:color w:val="F0533D"/>
        </w:rPr>
        <w:t xml:space="preserve"> </w:t>
      </w:r>
      <w:r>
        <w:rPr>
          <w:rFonts w:ascii="Arial" w:cs="Arial" w:eastAsia="Arial" w:hAnsi="Arial"/>
          <w:sz w:val="17"/>
          <w:szCs w:val="17"/>
          <w:color w:val="000000"/>
        </w:rPr>
        <w:t>manufacturing and technology company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Compensation and Human Capital</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56</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p>
      <w:pPr>
        <w:spacing w:after="0" w:line="217" w:lineRule="exact"/>
        <w:rPr>
          <w:sz w:val="20"/>
          <w:szCs w:val="20"/>
          <w:color w:val="auto"/>
        </w:rPr>
      </w:pPr>
    </w:p>
    <w:p>
      <w:pPr>
        <w:sectPr>
          <w:pgSz w:w="11900" w:h="16838" w:orient="portrait"/>
          <w:cols w:equalWidth="0" w:num="2">
            <w:col w:w="1620" w:space="520"/>
            <w:col w:w="6879"/>
          </w:cols>
          <w:pgMar w:left="1440" w:top="114" w:right="1440" w:bottom="1440" w:gutter="0" w:footer="0" w:header="0"/>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510"/>
        </w:trPr>
        <w:tc>
          <w:tcPr>
            <w:tcW w:w="3880" w:type="dxa"/>
            <w:vAlign w:val="bottom"/>
            <w:tcBorders>
              <w:top w:val="single" w:sz="8" w:color="F0533D"/>
            </w:tcBorders>
            <w:shd w:val="clear" w:color="auto" w:fill="F1F2F2"/>
          </w:tcPr>
          <w:p>
            <w:pPr>
              <w:ind w:left="160"/>
              <w:spacing w:after="0"/>
              <w:rPr>
                <w:sz w:val="20"/>
                <w:szCs w:val="20"/>
                <w:color w:val="auto"/>
              </w:rPr>
            </w:pPr>
            <w:r>
              <w:rPr>
                <w:rFonts w:ascii="Arial" w:cs="Arial" w:eastAsia="Arial" w:hAnsi="Arial"/>
                <w:sz w:val="17"/>
                <w:szCs w:val="17"/>
                <w:b w:val="1"/>
                <w:bCs w:val="1"/>
                <w:color w:val="auto"/>
              </w:rPr>
              <w:t>Qualifications, Attributes and Skills</w:t>
            </w:r>
          </w:p>
        </w:tc>
        <w:tc>
          <w:tcPr>
            <w:tcW w:w="4980" w:type="dxa"/>
            <w:vAlign w:val="bottom"/>
            <w:tcBorders>
              <w:top w:val="single" w:sz="8" w:color="F0533D"/>
            </w:tcBorders>
            <w:shd w:val="clear" w:color="auto" w:fill="F1F2F2"/>
          </w:tcPr>
          <w:p>
            <w:pPr>
              <w:spacing w:after="0"/>
              <w:rPr>
                <w:sz w:val="24"/>
                <w:szCs w:val="24"/>
                <w:color w:val="auto"/>
              </w:rPr>
            </w:pPr>
          </w:p>
        </w:tc>
      </w:tr>
      <w:tr>
        <w:trPr>
          <w:trHeight w:val="440"/>
        </w:trPr>
        <w:tc>
          <w:tcPr>
            <w:tcW w:w="3880" w:type="dxa"/>
            <w:vAlign w:val="bottom"/>
            <w:shd w:val="clear" w:color="auto" w:fill="F1F2F2"/>
          </w:tcPr>
          <w:p>
            <w:pPr>
              <w:ind w:left="1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former chief</w:t>
            </w:r>
          </w:p>
        </w:tc>
        <w:tc>
          <w:tcPr>
            <w:tcW w:w="4980" w:type="dxa"/>
            <w:vAlign w:val="bottom"/>
            <w:shd w:val="clear" w:color="auto" w:fill="F1F2F2"/>
          </w:tcPr>
          <w:p>
            <w:pPr>
              <w:ind w:left="7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Affiliation with a leading business and public</w:t>
            </w:r>
          </w:p>
        </w:tc>
      </w:tr>
      <w:tr>
        <w:trPr>
          <w:trHeight w:val="189"/>
        </w:trPr>
        <w:tc>
          <w:tcPr>
            <w:tcW w:w="3880" w:type="dxa"/>
            <w:vAlign w:val="bottom"/>
            <w:shd w:val="clear" w:color="auto" w:fill="F1F2F2"/>
          </w:tcPr>
          <w:p>
            <w:pPr>
              <w:ind w:left="320"/>
              <w:spacing w:after="0" w:line="189" w:lineRule="exact"/>
              <w:rPr>
                <w:sz w:val="20"/>
                <w:szCs w:val="20"/>
                <w:color w:val="auto"/>
              </w:rPr>
            </w:pPr>
            <w:r>
              <w:rPr>
                <w:rFonts w:ascii="Arial" w:cs="Arial" w:eastAsia="Arial" w:hAnsi="Arial"/>
                <w:sz w:val="17"/>
                <w:szCs w:val="17"/>
                <w:color w:val="auto"/>
              </w:rPr>
              <w:t>human resources officer of Siemens AG</w:t>
            </w:r>
          </w:p>
        </w:tc>
        <w:tc>
          <w:tcPr>
            <w:tcW w:w="4980" w:type="dxa"/>
            <w:vAlign w:val="bottom"/>
            <w:shd w:val="clear" w:color="auto" w:fill="F1F2F2"/>
          </w:tcPr>
          <w:p>
            <w:pPr>
              <w:ind w:left="860"/>
              <w:spacing w:after="0" w:line="189" w:lineRule="exact"/>
              <w:rPr>
                <w:sz w:val="20"/>
                <w:szCs w:val="20"/>
                <w:color w:val="auto"/>
              </w:rPr>
            </w:pPr>
            <w:r>
              <w:rPr>
                <w:rFonts w:ascii="Arial" w:cs="Arial" w:eastAsia="Arial" w:hAnsi="Arial"/>
                <w:sz w:val="17"/>
                <w:szCs w:val="17"/>
                <w:b w:val="1"/>
                <w:bCs w:val="1"/>
                <w:color w:val="F0533D"/>
              </w:rPr>
              <w:t xml:space="preserve">policy association </w:t>
            </w:r>
            <w:r>
              <w:rPr>
                <w:rFonts w:ascii="Arial" w:cs="Arial" w:eastAsia="Arial" w:hAnsi="Arial"/>
                <w:sz w:val="17"/>
                <w:szCs w:val="17"/>
                <w:color w:val="000000"/>
              </w:rPr>
              <w:t>as the co-chair of the Digital</w:t>
            </w:r>
          </w:p>
        </w:tc>
      </w:tr>
      <w:tr>
        <w:trPr>
          <w:trHeight w:val="189"/>
        </w:trPr>
        <w:tc>
          <w:tcPr>
            <w:tcW w:w="3880" w:type="dxa"/>
            <w:vAlign w:val="bottom"/>
            <w:shd w:val="clear" w:color="auto" w:fill="F1F2F2"/>
          </w:tcPr>
          <w:p>
            <w:pPr>
              <w:spacing w:after="0"/>
              <w:rPr>
                <w:sz w:val="16"/>
                <w:szCs w:val="16"/>
                <w:color w:val="auto"/>
              </w:rPr>
            </w:pPr>
          </w:p>
        </w:tc>
        <w:tc>
          <w:tcPr>
            <w:tcW w:w="4980" w:type="dxa"/>
            <w:vAlign w:val="bottom"/>
            <w:shd w:val="clear" w:color="auto" w:fill="F1F2F2"/>
          </w:tcPr>
          <w:p>
            <w:pPr>
              <w:ind w:left="860"/>
              <w:spacing w:after="0" w:line="189" w:lineRule="exact"/>
              <w:rPr>
                <w:sz w:val="20"/>
                <w:szCs w:val="20"/>
                <w:color w:val="auto"/>
              </w:rPr>
            </w:pPr>
            <w:r>
              <w:rPr>
                <w:rFonts w:ascii="Arial" w:cs="Arial" w:eastAsia="Arial" w:hAnsi="Arial"/>
                <w:sz w:val="17"/>
                <w:szCs w:val="17"/>
                <w:color w:val="auto"/>
              </w:rPr>
              <w:t>Council of the Confederation of German Employers’</w:t>
            </w:r>
          </w:p>
        </w:tc>
      </w:tr>
      <w:tr>
        <w:trPr>
          <w:trHeight w:val="216"/>
        </w:trPr>
        <w:tc>
          <w:tcPr>
            <w:tcW w:w="3880" w:type="dxa"/>
            <w:vAlign w:val="bottom"/>
            <w:shd w:val="clear" w:color="auto" w:fill="F1F2F2"/>
          </w:tcPr>
          <w:p>
            <w:pPr>
              <w:ind w:left="1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Government service</w:t>
            </w:r>
            <w:r>
              <w:rPr>
                <w:rFonts w:ascii="Arial" w:cs="Arial" w:eastAsia="Arial" w:hAnsi="Arial"/>
                <w:sz w:val="17"/>
                <w:szCs w:val="17"/>
                <w:color w:val="F0533D"/>
              </w:rPr>
              <w:t xml:space="preserve"> </w:t>
            </w:r>
            <w:r>
              <w:rPr>
                <w:rFonts w:ascii="Arial" w:cs="Arial" w:eastAsia="Arial" w:hAnsi="Arial"/>
                <w:sz w:val="17"/>
                <w:szCs w:val="17"/>
                <w:color w:val="000000"/>
              </w:rPr>
              <w:t>as a former member of</w:t>
            </w:r>
          </w:p>
        </w:tc>
        <w:tc>
          <w:tcPr>
            <w:tcW w:w="4980" w:type="dxa"/>
            <w:vAlign w:val="bottom"/>
            <w:shd w:val="clear" w:color="auto" w:fill="F1F2F2"/>
          </w:tcPr>
          <w:p>
            <w:pPr>
              <w:ind w:left="860"/>
              <w:spacing w:after="0"/>
              <w:rPr>
                <w:sz w:val="20"/>
                <w:szCs w:val="20"/>
                <w:color w:val="auto"/>
              </w:rPr>
            </w:pPr>
            <w:r>
              <w:rPr>
                <w:rFonts w:ascii="Arial" w:cs="Arial" w:eastAsia="Arial" w:hAnsi="Arial"/>
                <w:sz w:val="17"/>
                <w:szCs w:val="17"/>
                <w:color w:val="auto"/>
              </w:rPr>
              <w:t>Associations</w:t>
            </w:r>
          </w:p>
        </w:tc>
      </w:tr>
      <w:tr>
        <w:trPr>
          <w:trHeight w:val="189"/>
        </w:trPr>
        <w:tc>
          <w:tcPr>
            <w:tcW w:w="3880" w:type="dxa"/>
            <w:vAlign w:val="bottom"/>
            <w:shd w:val="clear" w:color="auto" w:fill="F1F2F2"/>
          </w:tcPr>
          <w:p>
            <w:pPr>
              <w:ind w:left="320"/>
              <w:spacing w:after="0" w:line="189" w:lineRule="exact"/>
              <w:rPr>
                <w:sz w:val="20"/>
                <w:szCs w:val="20"/>
                <w:color w:val="auto"/>
              </w:rPr>
            </w:pPr>
            <w:r>
              <w:rPr>
                <w:rFonts w:ascii="Arial" w:cs="Arial" w:eastAsia="Arial" w:hAnsi="Arial"/>
                <w:sz w:val="17"/>
                <w:szCs w:val="17"/>
                <w:color w:val="auto"/>
              </w:rPr>
              <w:t>the Innovation Council for the Federal Ministry</w:t>
            </w:r>
          </w:p>
        </w:tc>
        <w:tc>
          <w:tcPr>
            <w:tcW w:w="4980" w:type="dxa"/>
            <w:vAlign w:val="bottom"/>
            <w:shd w:val="clear" w:color="auto" w:fill="F1F2F2"/>
          </w:tcPr>
          <w:p>
            <w:pPr>
              <w:spacing w:after="0"/>
              <w:rPr>
                <w:sz w:val="16"/>
                <w:szCs w:val="16"/>
                <w:color w:val="auto"/>
              </w:rPr>
            </w:pPr>
          </w:p>
        </w:tc>
      </w:tr>
      <w:tr>
        <w:trPr>
          <w:trHeight w:val="189"/>
        </w:trPr>
        <w:tc>
          <w:tcPr>
            <w:tcW w:w="3880" w:type="dxa"/>
            <w:vAlign w:val="bottom"/>
            <w:shd w:val="clear" w:color="auto" w:fill="F1F2F2"/>
          </w:tcPr>
          <w:p>
            <w:pPr>
              <w:ind w:left="320"/>
              <w:spacing w:after="0" w:line="189" w:lineRule="exact"/>
              <w:rPr>
                <w:sz w:val="20"/>
                <w:szCs w:val="20"/>
                <w:color w:val="auto"/>
              </w:rPr>
            </w:pPr>
            <w:r>
              <w:rPr>
                <w:rFonts w:ascii="Arial" w:cs="Arial" w:eastAsia="Arial" w:hAnsi="Arial"/>
                <w:sz w:val="17"/>
                <w:szCs w:val="17"/>
                <w:color w:val="auto"/>
              </w:rPr>
              <w:t>of Digitization and the Council of Future of</w:t>
            </w:r>
          </w:p>
        </w:tc>
        <w:tc>
          <w:tcPr>
            <w:tcW w:w="4980" w:type="dxa"/>
            <w:vAlign w:val="bottom"/>
            <w:shd w:val="clear" w:color="auto" w:fill="F1F2F2"/>
          </w:tcPr>
          <w:p>
            <w:pPr>
              <w:ind w:left="700"/>
              <w:spacing w:after="0" w:line="189" w:lineRule="exact"/>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Academic experience</w:t>
            </w:r>
            <w:r>
              <w:rPr>
                <w:rFonts w:ascii="Arial" w:cs="Arial" w:eastAsia="Arial" w:hAnsi="Arial"/>
                <w:sz w:val="17"/>
                <w:szCs w:val="17"/>
                <w:color w:val="F0533D"/>
              </w:rPr>
              <w:t xml:space="preserve"> </w:t>
            </w:r>
            <w:r>
              <w:rPr>
                <w:rFonts w:ascii="Arial" w:cs="Arial" w:eastAsia="Arial" w:hAnsi="Arial"/>
                <w:sz w:val="17"/>
                <w:szCs w:val="17"/>
                <w:color w:val="000000"/>
              </w:rPr>
              <w:t>as a member of the</w:t>
            </w:r>
          </w:p>
        </w:tc>
      </w:tr>
      <w:tr>
        <w:trPr>
          <w:trHeight w:val="189"/>
        </w:trPr>
        <w:tc>
          <w:tcPr>
            <w:tcW w:w="3880" w:type="dxa"/>
            <w:vAlign w:val="bottom"/>
            <w:shd w:val="clear" w:color="auto" w:fill="F1F2F2"/>
          </w:tcPr>
          <w:p>
            <w:pPr>
              <w:ind w:left="320"/>
              <w:spacing w:after="0" w:line="189" w:lineRule="exact"/>
              <w:rPr>
                <w:sz w:val="20"/>
                <w:szCs w:val="20"/>
                <w:color w:val="auto"/>
              </w:rPr>
            </w:pPr>
            <w:r>
              <w:rPr>
                <w:rFonts w:ascii="Arial" w:cs="Arial" w:eastAsia="Arial" w:hAnsi="Arial"/>
                <w:sz w:val="17"/>
                <w:szCs w:val="17"/>
                <w:color w:val="auto"/>
              </w:rPr>
              <w:t>Work for the Federal Ministry of Labor and</w:t>
            </w:r>
          </w:p>
        </w:tc>
        <w:tc>
          <w:tcPr>
            <w:tcW w:w="4980" w:type="dxa"/>
            <w:vAlign w:val="bottom"/>
            <w:shd w:val="clear" w:color="auto" w:fill="F1F2F2"/>
          </w:tcPr>
          <w:p>
            <w:pPr>
              <w:ind w:left="860"/>
              <w:spacing w:after="0" w:line="189" w:lineRule="exact"/>
              <w:rPr>
                <w:sz w:val="20"/>
                <w:szCs w:val="20"/>
                <w:color w:val="auto"/>
              </w:rPr>
            </w:pPr>
            <w:r>
              <w:rPr>
                <w:rFonts w:ascii="Arial" w:cs="Arial" w:eastAsia="Arial" w:hAnsi="Arial"/>
                <w:sz w:val="17"/>
                <w:szCs w:val="17"/>
                <w:color w:val="auto"/>
              </w:rPr>
              <w:t>International Advisory Board of the IESE Business</w:t>
            </w:r>
          </w:p>
        </w:tc>
      </w:tr>
      <w:tr>
        <w:trPr>
          <w:trHeight w:val="189"/>
        </w:trPr>
        <w:tc>
          <w:tcPr>
            <w:tcW w:w="3880" w:type="dxa"/>
            <w:vAlign w:val="bottom"/>
            <w:shd w:val="clear" w:color="auto" w:fill="F1F2F2"/>
          </w:tcPr>
          <w:p>
            <w:pPr>
              <w:ind w:left="320"/>
              <w:spacing w:after="0" w:line="189" w:lineRule="exact"/>
              <w:rPr>
                <w:sz w:val="20"/>
                <w:szCs w:val="20"/>
                <w:color w:val="auto"/>
              </w:rPr>
            </w:pPr>
            <w:r>
              <w:rPr>
                <w:rFonts w:ascii="Arial" w:cs="Arial" w:eastAsia="Arial" w:hAnsi="Arial"/>
                <w:sz w:val="17"/>
                <w:szCs w:val="17"/>
                <w:color w:val="auto"/>
              </w:rPr>
              <w:t>Social Affairs of Germany</w:t>
            </w:r>
          </w:p>
        </w:tc>
        <w:tc>
          <w:tcPr>
            <w:tcW w:w="4980" w:type="dxa"/>
            <w:vAlign w:val="bottom"/>
            <w:shd w:val="clear" w:color="auto" w:fill="F1F2F2"/>
          </w:tcPr>
          <w:p>
            <w:pPr>
              <w:ind w:left="860"/>
              <w:spacing w:after="0" w:line="189" w:lineRule="exact"/>
              <w:rPr>
                <w:sz w:val="20"/>
                <w:szCs w:val="20"/>
                <w:color w:val="auto"/>
              </w:rPr>
            </w:pPr>
            <w:r>
              <w:rPr>
                <w:rFonts w:ascii="Arial" w:cs="Arial" w:eastAsia="Arial" w:hAnsi="Arial"/>
                <w:sz w:val="17"/>
                <w:szCs w:val="17"/>
                <w:color w:val="auto"/>
              </w:rPr>
              <w:t>School in Spain, the University Council of the</w:t>
            </w:r>
          </w:p>
        </w:tc>
      </w:tr>
      <w:tr>
        <w:trPr>
          <w:trHeight w:val="189"/>
        </w:trPr>
        <w:tc>
          <w:tcPr>
            <w:tcW w:w="3880" w:type="dxa"/>
            <w:vAlign w:val="bottom"/>
            <w:shd w:val="clear" w:color="auto" w:fill="F1F2F2"/>
          </w:tcPr>
          <w:p>
            <w:pPr>
              <w:spacing w:after="0"/>
              <w:rPr>
                <w:sz w:val="16"/>
                <w:szCs w:val="16"/>
                <w:color w:val="auto"/>
              </w:rPr>
            </w:pPr>
          </w:p>
        </w:tc>
        <w:tc>
          <w:tcPr>
            <w:tcW w:w="4980" w:type="dxa"/>
            <w:vAlign w:val="bottom"/>
            <w:shd w:val="clear" w:color="auto" w:fill="F1F2F2"/>
          </w:tcPr>
          <w:p>
            <w:pPr>
              <w:ind w:left="860"/>
              <w:spacing w:after="0" w:line="189" w:lineRule="exact"/>
              <w:rPr>
                <w:sz w:val="20"/>
                <w:szCs w:val="20"/>
                <w:color w:val="auto"/>
              </w:rPr>
            </w:pPr>
            <w:r>
              <w:rPr>
                <w:rFonts w:ascii="Arial" w:cs="Arial" w:eastAsia="Arial" w:hAnsi="Arial"/>
                <w:sz w:val="17"/>
                <w:szCs w:val="17"/>
                <w:color w:val="auto"/>
              </w:rPr>
              <w:t>Technical University of Munich and the Global</w:t>
            </w:r>
          </w:p>
        </w:tc>
      </w:tr>
      <w:tr>
        <w:trPr>
          <w:trHeight w:val="216"/>
        </w:trPr>
        <w:tc>
          <w:tcPr>
            <w:tcW w:w="3880" w:type="dxa"/>
            <w:vAlign w:val="bottom"/>
            <w:shd w:val="clear" w:color="auto" w:fill="F1F2F2"/>
          </w:tcPr>
          <w:p>
            <w:pPr>
              <w:ind w:left="1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Technology, digital and/or cybersecurity</w:t>
            </w:r>
          </w:p>
        </w:tc>
        <w:tc>
          <w:tcPr>
            <w:tcW w:w="4980" w:type="dxa"/>
            <w:vAlign w:val="bottom"/>
            <w:shd w:val="clear" w:color="auto" w:fill="F1F2F2"/>
          </w:tcPr>
          <w:p>
            <w:pPr>
              <w:ind w:left="860"/>
              <w:spacing w:after="0"/>
              <w:rPr>
                <w:sz w:val="20"/>
                <w:szCs w:val="20"/>
                <w:color w:val="auto"/>
              </w:rPr>
            </w:pPr>
            <w:r>
              <w:rPr>
                <w:rFonts w:ascii="Arial" w:cs="Arial" w:eastAsia="Arial" w:hAnsi="Arial"/>
                <w:sz w:val="17"/>
                <w:szCs w:val="17"/>
                <w:color w:val="auto"/>
              </w:rPr>
              <w:t>Navigation Board of the University of Tokyo</w:t>
            </w:r>
          </w:p>
        </w:tc>
      </w:tr>
      <w:tr>
        <w:trPr>
          <w:trHeight w:val="189"/>
        </w:trPr>
        <w:tc>
          <w:tcPr>
            <w:tcW w:w="3880" w:type="dxa"/>
            <w:vAlign w:val="bottom"/>
            <w:shd w:val="clear" w:color="auto" w:fill="F1F2F2"/>
          </w:tcPr>
          <w:p>
            <w:pPr>
              <w:ind w:left="320"/>
              <w:spacing w:after="0" w:line="189" w:lineRule="exact"/>
              <w:rPr>
                <w:sz w:val="20"/>
                <w:szCs w:val="20"/>
                <w:color w:val="auto"/>
              </w:rPr>
            </w:pPr>
            <w:r>
              <w:rPr>
                <w:rFonts w:ascii="Arial" w:cs="Arial" w:eastAsia="Arial" w:hAnsi="Arial"/>
                <w:sz w:val="17"/>
                <w:szCs w:val="17"/>
                <w:b w:val="1"/>
                <w:bCs w:val="1"/>
                <w:color w:val="F0533D"/>
              </w:rPr>
              <w:t xml:space="preserve">experience </w:t>
            </w:r>
            <w:r>
              <w:rPr>
                <w:rFonts w:ascii="Arial" w:cs="Arial" w:eastAsia="Arial" w:hAnsi="Arial"/>
                <w:sz w:val="17"/>
                <w:szCs w:val="17"/>
                <w:color w:val="000000"/>
              </w:rPr>
              <w:t>as the chairwoman of Seatti</w:t>
            </w:r>
          </w:p>
        </w:tc>
        <w:tc>
          <w:tcPr>
            <w:tcW w:w="4980" w:type="dxa"/>
            <w:vAlign w:val="bottom"/>
            <w:shd w:val="clear" w:color="auto" w:fill="F1F2F2"/>
          </w:tcPr>
          <w:p>
            <w:pPr>
              <w:spacing w:after="0"/>
              <w:rPr>
                <w:sz w:val="16"/>
                <w:szCs w:val="16"/>
                <w:color w:val="auto"/>
              </w:rPr>
            </w:pPr>
          </w:p>
        </w:tc>
      </w:tr>
      <w:tr>
        <w:trPr>
          <w:trHeight w:val="211"/>
        </w:trPr>
        <w:tc>
          <w:tcPr>
            <w:tcW w:w="3880" w:type="dxa"/>
            <w:vAlign w:val="bottom"/>
            <w:shd w:val="clear" w:color="auto" w:fill="F1F2F2"/>
          </w:tcPr>
          <w:p>
            <w:pPr>
              <w:ind w:left="320"/>
              <w:spacing w:after="0"/>
              <w:rPr>
                <w:sz w:val="20"/>
                <w:szCs w:val="20"/>
                <w:color w:val="auto"/>
              </w:rPr>
            </w:pPr>
            <w:r>
              <w:rPr>
                <w:rFonts w:ascii="Arial" w:cs="Arial" w:eastAsia="Arial" w:hAnsi="Arial"/>
                <w:sz w:val="17"/>
                <w:szCs w:val="17"/>
                <w:color w:val="auto"/>
              </w:rPr>
              <w:t>GmbH</w:t>
            </w:r>
          </w:p>
        </w:tc>
        <w:tc>
          <w:tcPr>
            <w:tcW w:w="4980" w:type="dxa"/>
            <w:vAlign w:val="bottom"/>
            <w:shd w:val="clear" w:color="auto" w:fill="F1F2F2"/>
          </w:tcPr>
          <w:p>
            <w:pPr>
              <w:ind w:left="7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a director of TUI AG</w:t>
            </w:r>
          </w:p>
        </w:tc>
      </w:tr>
      <w:tr>
        <w:trPr>
          <w:trHeight w:val="229"/>
        </w:trPr>
        <w:tc>
          <w:tcPr>
            <w:tcW w:w="3880" w:type="dxa"/>
            <w:vAlign w:val="bottom"/>
            <w:tcBorders>
              <w:bottom w:val="single" w:sz="8" w:color="F0533D"/>
            </w:tcBorders>
            <w:shd w:val="clear" w:color="auto" w:fill="F1F2F2"/>
          </w:tcPr>
          <w:p>
            <w:pPr>
              <w:spacing w:after="0"/>
              <w:rPr>
                <w:sz w:val="19"/>
                <w:szCs w:val="19"/>
                <w:color w:val="auto"/>
              </w:rPr>
            </w:pPr>
          </w:p>
        </w:tc>
        <w:tc>
          <w:tcPr>
            <w:tcW w:w="4980" w:type="dxa"/>
            <w:vAlign w:val="bottom"/>
            <w:tcBorders>
              <w:bottom w:val="single" w:sz="8" w:color="F0533D"/>
            </w:tcBorders>
            <w:shd w:val="clear" w:color="auto" w:fill="F1F2F2"/>
          </w:tcPr>
          <w:p>
            <w:pPr>
              <w:spacing w:after="0"/>
              <w:rPr>
                <w:sz w:val="19"/>
                <w:szCs w:val="19"/>
                <w:color w:val="auto"/>
              </w:rPr>
            </w:pPr>
          </w:p>
        </w:tc>
      </w:tr>
    </w:tbl>
    <w:p>
      <w:pPr>
        <w:spacing w:after="0" w:line="30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179"/>
        <w:spacing w:after="0" w:line="249" w:lineRule="auto"/>
        <w:rPr>
          <w:sz w:val="20"/>
          <w:szCs w:val="20"/>
          <w:color w:val="auto"/>
        </w:rPr>
      </w:pPr>
      <w:r>
        <w:rPr>
          <w:rFonts w:ascii="Arial" w:cs="Arial" w:eastAsia="Arial" w:hAnsi="Arial"/>
          <w:sz w:val="17"/>
          <w:szCs w:val="17"/>
          <w:color w:val="auto"/>
        </w:rPr>
        <w:t>Janina Kugel brings to the Board extensive experience in global human resources through various senior leadership roles, including her tenure as chief human resources officer at multiple international companies. In addition, her organizational transformation expertise is an important perspective for the Board.</w:t>
      </w:r>
    </w:p>
    <w:p>
      <w:pPr>
        <w:spacing w:after="0" w:line="175" w:lineRule="exact"/>
        <w:rPr>
          <w:sz w:val="20"/>
          <w:szCs w:val="20"/>
          <w:color w:val="auto"/>
        </w:rPr>
      </w:pPr>
    </w:p>
    <w:p>
      <w:pPr>
        <w:ind w:left="80" w:right="259"/>
        <w:spacing w:after="0" w:line="239" w:lineRule="auto"/>
        <w:rPr>
          <w:sz w:val="20"/>
          <w:szCs w:val="20"/>
          <w:color w:val="auto"/>
        </w:rPr>
      </w:pPr>
      <w:r>
        <w:rPr>
          <w:rFonts w:ascii="Arial" w:cs="Arial" w:eastAsia="Arial" w:hAnsi="Arial"/>
          <w:sz w:val="17"/>
          <w:szCs w:val="17"/>
          <w:color w:val="auto"/>
        </w:rPr>
        <w:t>Ms. Kugel served as the chief human resources officer and member of the managing board of Siemens AG from 2015 until 2020. Ms. Kugel joined Siemens AG in 2001 as vice president of group strategy in the communications sector and in 2005, was appointed director of global commercial excellence before becoming director of human resources in 2009. In 2012, Ms. Kugel joined Osram where she served as chief human resources officer until 2013, when she returned to Siemens AG to serve as corporate vice president of human resources and chief diversity officer.</w:t>
      </w:r>
    </w:p>
    <w:p>
      <w:pPr>
        <w:spacing w:after="0" w:line="182" w:lineRule="exact"/>
        <w:rPr>
          <w:sz w:val="20"/>
          <w:szCs w:val="20"/>
          <w:color w:val="auto"/>
        </w:rPr>
      </w:pPr>
    </w:p>
    <w:p>
      <w:pPr>
        <w:ind w:left="80"/>
        <w:spacing w:after="0"/>
        <w:rPr>
          <w:sz w:val="20"/>
          <w:szCs w:val="20"/>
          <w:color w:val="auto"/>
        </w:rPr>
      </w:pPr>
      <w:r>
        <w:rPr>
          <w:rFonts w:ascii="Arial" w:cs="Arial" w:eastAsia="Arial" w:hAnsi="Arial"/>
          <w:sz w:val="17"/>
          <w:szCs w:val="17"/>
          <w:color w:val="auto"/>
        </w:rPr>
        <w:t>Ms. Kugel currently serves as chairwoman of Seatti GmbH, a leading desk booking software company.</w:t>
      </w:r>
    </w:p>
    <w:p>
      <w:pPr>
        <w:spacing w:after="0" w:line="210" w:lineRule="exact"/>
        <w:rPr>
          <w:sz w:val="20"/>
          <w:szCs w:val="20"/>
          <w:color w:val="auto"/>
        </w:rPr>
      </w:pPr>
    </w:p>
    <w:p>
      <w:pPr>
        <w:ind w:left="80" w:right="219"/>
        <w:spacing w:after="0" w:line="239" w:lineRule="auto"/>
        <w:rPr>
          <w:sz w:val="20"/>
          <w:szCs w:val="20"/>
          <w:color w:val="auto"/>
        </w:rPr>
      </w:pPr>
      <w:r>
        <w:rPr>
          <w:rFonts w:ascii="Arial" w:cs="Arial" w:eastAsia="Arial" w:hAnsi="Arial"/>
          <w:sz w:val="17"/>
          <w:szCs w:val="17"/>
          <w:color w:val="auto"/>
        </w:rPr>
        <w:t>Ms. Kugel serves on the Board of, and is the co-chair of, the Digital Council of the Confederation of German Employers’ Associations (Bundesvereinigung der Deutschen Arbeitgeberverbände). Ms. Kugel is a director of TUI AG and is also a member of the International Advisory Board of the IESE Business School in Spain, the University Council of the Technical University of Munich and the Global Navigation Board of the University of Tokyo. Ms. Kugel is a senior advisor for Boston Consulting Group, Inc. and previously served as senior advisor to EQT, AB Group. Ms. Kugel is also a member of the Board of Trustees of Deutsche AIDS Stiftung (“German AIDS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60960</wp:posOffset>
            </wp:positionV>
            <wp:extent cx="562356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3" w:name="page14"/>
    <w:bookmarkEnd w:id="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171450</wp:posOffset>
            </wp:positionV>
            <wp:extent cx="1105535" cy="11061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0553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F0533D"/>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23"/>
          <w:szCs w:val="23"/>
          <w:b w:val="1"/>
          <w:bCs w:val="1"/>
          <w:color w:val="F0533D"/>
        </w:rPr>
        <w:t>DENIS MACHUEL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42430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26" w:lineRule="exact"/>
        <w:rPr>
          <w:sz w:val="20"/>
          <w:szCs w:val="20"/>
          <w:color w:val="auto"/>
        </w:rPr>
      </w:pPr>
    </w:p>
    <w:p>
      <w:pPr>
        <w:ind w:right="519"/>
        <w:spacing w:after="0" w:line="267" w:lineRule="auto"/>
        <w:rPr>
          <w:sz w:val="20"/>
          <w:szCs w:val="20"/>
          <w:color w:val="auto"/>
        </w:rPr>
      </w:pPr>
      <w:r>
        <w:rPr>
          <w:rFonts w:ascii="Arial" w:cs="Arial" w:eastAsia="Arial" w:hAnsi="Arial"/>
          <w:sz w:val="17"/>
          <w:szCs w:val="17"/>
          <w:b w:val="1"/>
          <w:bCs w:val="1"/>
          <w:color w:val="F0533D"/>
        </w:rPr>
        <w:t xml:space="preserve">CHIEF EXECUTIVE OFFICER, THE ADECCO GROUP, </w:t>
      </w:r>
      <w:r>
        <w:rPr>
          <w:rFonts w:ascii="Arial" w:cs="Arial" w:eastAsia="Arial" w:hAnsi="Arial"/>
          <w:sz w:val="17"/>
          <w:szCs w:val="17"/>
          <w:color w:val="000000"/>
        </w:rPr>
        <w:t>a leading human resources</w:t>
      </w:r>
      <w:r>
        <w:rPr>
          <w:rFonts w:ascii="Arial" w:cs="Arial" w:eastAsia="Arial" w:hAnsi="Arial"/>
          <w:sz w:val="17"/>
          <w:szCs w:val="17"/>
          <w:b w:val="1"/>
          <w:bCs w:val="1"/>
          <w:color w:val="F0533D"/>
        </w:rPr>
        <w:t xml:space="preserve"> </w:t>
      </w:r>
      <w:r>
        <w:rPr>
          <w:rFonts w:ascii="Arial" w:cs="Arial" w:eastAsia="Arial" w:hAnsi="Arial"/>
          <w:sz w:val="17"/>
          <w:szCs w:val="17"/>
          <w:color w:val="000000"/>
        </w:rPr>
        <w:t>and temporary staffing firm</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Audit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62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164465</wp:posOffset>
            </wp:positionV>
            <wp:extent cx="5623560" cy="13798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23560" cy="137985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1620" w:space="520"/>
            <w:col w:w="6879"/>
          </w:cols>
          <w:pgMar w:left="1440" w:top="114" w:right="1440" w:bottom="1440" w:gutter="0" w:footer="0" w:header="0"/>
        </w:sectPr>
      </w:pPr>
    </w:p>
    <w:p>
      <w:pPr>
        <w:spacing w:after="0" w:line="31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Qualifications, Attributes and Skills</w:t>
      </w:r>
    </w:p>
    <w:p>
      <w:pPr>
        <w:spacing w:after="0" w:line="291" w:lineRule="exact"/>
        <w:rPr>
          <w:sz w:val="20"/>
          <w:szCs w:val="20"/>
          <w:color w:val="auto"/>
        </w:rPr>
      </w:pPr>
    </w:p>
    <w:p>
      <w:pPr>
        <w:ind w:left="400" w:right="340"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chief</w:t>
      </w:r>
      <w:r>
        <w:rPr>
          <w:rFonts w:ascii="Arial" w:cs="Arial" w:eastAsia="Arial" w:hAnsi="Arial"/>
          <w:sz w:val="17"/>
          <w:szCs w:val="17"/>
          <w:color w:val="F0533D"/>
        </w:rPr>
        <w:t xml:space="preserve"> </w:t>
      </w:r>
      <w:r>
        <w:rPr>
          <w:rFonts w:ascii="Arial" w:cs="Arial" w:eastAsia="Arial" w:hAnsi="Arial"/>
          <w:sz w:val="17"/>
          <w:szCs w:val="17"/>
          <w:color w:val="000000"/>
        </w:rPr>
        <w:t>executive officer of The Adecco Group and former chief executive officer of Sodexo S.A.</w:t>
      </w:r>
    </w:p>
    <w:p>
      <w:pPr>
        <w:spacing w:after="0" w:line="175" w:lineRule="exact"/>
        <w:rPr>
          <w:sz w:val="20"/>
          <w:szCs w:val="20"/>
          <w:color w:val="auto"/>
        </w:rPr>
      </w:pPr>
    </w:p>
    <w:p>
      <w:pPr>
        <w:ind w:left="400" w:right="400"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Technology and digital experience</w:t>
      </w:r>
      <w:r>
        <w:rPr>
          <w:rFonts w:ascii="Arial" w:cs="Arial" w:eastAsia="Arial" w:hAnsi="Arial"/>
          <w:sz w:val="17"/>
          <w:szCs w:val="17"/>
          <w:color w:val="F0533D"/>
        </w:rPr>
        <w:t xml:space="preserve"> </w:t>
      </w:r>
      <w:r>
        <w:rPr>
          <w:rFonts w:ascii="Arial" w:cs="Arial" w:eastAsia="Arial" w:hAnsi="Arial"/>
          <w:sz w:val="17"/>
          <w:szCs w:val="17"/>
          <w:color w:val="000000"/>
        </w:rPr>
        <w:t>as the</w:t>
      </w:r>
      <w:r>
        <w:rPr>
          <w:rFonts w:ascii="Arial" w:cs="Arial" w:eastAsia="Arial" w:hAnsi="Arial"/>
          <w:sz w:val="17"/>
          <w:szCs w:val="17"/>
          <w:color w:val="F0533D"/>
        </w:rPr>
        <w:t xml:space="preserve"> </w:t>
      </w:r>
      <w:r>
        <w:rPr>
          <w:rFonts w:ascii="Arial" w:cs="Arial" w:eastAsia="Arial" w:hAnsi="Arial"/>
          <w:sz w:val="17"/>
          <w:szCs w:val="17"/>
          <w:color w:val="000000"/>
        </w:rPr>
        <w:t>former chief digital officer of Sodexo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37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Affiliation with leading business and public</w:t>
      </w:r>
      <w:r>
        <w:rPr>
          <w:rFonts w:ascii="Arial" w:cs="Arial" w:eastAsia="Arial" w:hAnsi="Arial"/>
          <w:sz w:val="17"/>
          <w:szCs w:val="17"/>
          <w:color w:val="F0533D"/>
        </w:rPr>
        <w:t xml:space="preserve"> </w:t>
      </w:r>
      <w:r>
        <w:rPr>
          <w:rFonts w:ascii="Arial" w:cs="Arial" w:eastAsia="Arial" w:hAnsi="Arial"/>
          <w:sz w:val="17"/>
          <w:szCs w:val="17"/>
          <w:b w:val="1"/>
          <w:bCs w:val="1"/>
          <w:color w:val="F0533D"/>
        </w:rPr>
        <w:t xml:space="preserve">policy associations </w:t>
      </w:r>
      <w:r>
        <w:rPr>
          <w:rFonts w:ascii="Arial" w:cs="Arial" w:eastAsia="Arial" w:hAnsi="Arial"/>
          <w:sz w:val="17"/>
          <w:szCs w:val="17"/>
          <w:color w:val="000000"/>
        </w:rPr>
        <w:t>as a former member of the</w:t>
      </w:r>
      <w:r>
        <w:rPr>
          <w:rFonts w:ascii="Arial" w:cs="Arial" w:eastAsia="Arial" w:hAnsi="Arial"/>
          <w:sz w:val="17"/>
          <w:szCs w:val="17"/>
          <w:b w:val="1"/>
          <w:bCs w:val="1"/>
          <w:color w:val="F0533D"/>
        </w:rPr>
        <w:t xml:space="preserve"> </w:t>
      </w:r>
      <w:r>
        <w:rPr>
          <w:rFonts w:ascii="Arial" w:cs="Arial" w:eastAsia="Arial" w:hAnsi="Arial"/>
          <w:sz w:val="17"/>
          <w:szCs w:val="17"/>
          <w:color w:val="000000"/>
        </w:rPr>
        <w:t>G7 Business for Inclusive Growth coalition and the Consumer Goods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392430</wp:posOffset>
            </wp:positionV>
            <wp:extent cx="56235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623" w:lineRule="exact"/>
        <w:rPr>
          <w:sz w:val="20"/>
          <w:szCs w:val="20"/>
          <w:color w:val="auto"/>
        </w:rPr>
      </w:pPr>
    </w:p>
    <w:p>
      <w:pPr>
        <w:sectPr>
          <w:pgSz w:w="11900" w:h="16838" w:orient="portrait"/>
          <w:cols w:equalWidth="0" w:num="2">
            <w:col w:w="4100" w:space="720"/>
            <w:col w:w="4199"/>
          </w:cols>
          <w:pgMar w:left="1440" w:top="114" w:right="1440" w:bottom="1440" w:gutter="0" w:footer="0" w:header="0"/>
          <w:type w:val="continuous"/>
        </w:sect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159"/>
        <w:spacing w:after="0" w:line="249" w:lineRule="auto"/>
        <w:rPr>
          <w:sz w:val="20"/>
          <w:szCs w:val="20"/>
          <w:color w:val="auto"/>
        </w:rPr>
      </w:pPr>
      <w:r>
        <w:rPr>
          <w:rFonts w:ascii="Arial" w:cs="Arial" w:eastAsia="Arial" w:hAnsi="Arial"/>
          <w:sz w:val="17"/>
          <w:szCs w:val="17"/>
          <w:color w:val="auto"/>
        </w:rPr>
        <w:t>Denis Machuel brings to the Board global leadership experience through his service as chief executive officer of multiple international companies across diverse industries. His background includes shaping digital business models and overseeing global workforce structures, which provides a valuable and well-informed perspective to the Board.</w:t>
      </w:r>
    </w:p>
    <w:p>
      <w:pPr>
        <w:spacing w:after="0" w:line="175" w:lineRule="exact"/>
        <w:rPr>
          <w:sz w:val="20"/>
          <w:szCs w:val="20"/>
          <w:color w:val="auto"/>
        </w:rPr>
      </w:pPr>
    </w:p>
    <w:p>
      <w:pPr>
        <w:ind w:left="80" w:right="119"/>
        <w:spacing w:after="0" w:line="238" w:lineRule="auto"/>
        <w:rPr>
          <w:sz w:val="20"/>
          <w:szCs w:val="20"/>
          <w:color w:val="auto"/>
        </w:rPr>
      </w:pPr>
      <w:r>
        <w:rPr>
          <w:rFonts w:ascii="Arial" w:cs="Arial" w:eastAsia="Arial" w:hAnsi="Arial"/>
          <w:sz w:val="17"/>
          <w:szCs w:val="17"/>
          <w:color w:val="auto"/>
        </w:rPr>
        <w:t>Mr. Machuel has served as chief executive officer of The Adecco Group since 2022. Prior to this, Mr. Machuel served as the chief executive officer of Sodexo S.A. from 2018 until 2021. Mr. Machuel joined Sodexo in 2007 as the managing director of benefits and rewards services for central and eastern Europe. In 2012, he became chief executive officer of Sodexo benefits and rewards worldwide. Mr. Machuel joined the Sodexo Group Executive Committee in 2014 and from 2015 until 2018 served as group chief digital officer and from 2017 until 2018, served as deputy chief executive officer of Sodexo. Additionally, between 2016 and 2017, Mr. Machuel served as chief executive officer of personal and home services at Sodexo.</w:t>
      </w:r>
    </w:p>
    <w:p>
      <w:pPr>
        <w:spacing w:after="0" w:line="182" w:lineRule="exact"/>
        <w:rPr>
          <w:sz w:val="20"/>
          <w:szCs w:val="20"/>
          <w:color w:val="auto"/>
        </w:rPr>
      </w:pPr>
    </w:p>
    <w:p>
      <w:pPr>
        <w:ind w:left="80" w:right="539"/>
        <w:spacing w:after="0" w:line="267" w:lineRule="auto"/>
        <w:rPr>
          <w:sz w:val="20"/>
          <w:szCs w:val="20"/>
          <w:color w:val="auto"/>
        </w:rPr>
      </w:pPr>
      <w:r>
        <w:rPr>
          <w:rFonts w:ascii="Arial" w:cs="Arial" w:eastAsia="Arial" w:hAnsi="Arial"/>
          <w:sz w:val="17"/>
          <w:szCs w:val="17"/>
          <w:color w:val="auto"/>
        </w:rPr>
        <w:t>Mr. Machuel has also served as a member of the G7 Business for Inclusive Growth coalition and the Consumer Goods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46355</wp:posOffset>
            </wp:positionV>
            <wp:extent cx="56235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82"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4" w:name="page15"/>
    <w:bookmarkEnd w:id="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322"/>
        </w:trPr>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23"/>
                <w:szCs w:val="23"/>
                <w:b w:val="1"/>
                <w:bCs w:val="1"/>
                <w:color w:val="F0533D"/>
              </w:rPr>
              <w:t>RAHUL N. MERCHANT</w:t>
            </w: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6680" w:type="dxa"/>
            <w:vAlign w:val="bottom"/>
            <w:tcBorders>
              <w:bottom w:val="single" w:sz="8" w:color="F0533D"/>
            </w:tcBorders>
            <w:gridSpan w:val="2"/>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0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6680" w:type="dxa"/>
            <w:vAlign w:val="bottom"/>
            <w:gridSpan w:val="2"/>
          </w:tcPr>
          <w:p>
            <w:pPr>
              <w:spacing w:after="0"/>
              <w:rPr>
                <w:sz w:val="20"/>
                <w:szCs w:val="20"/>
                <w:color w:val="auto"/>
              </w:rPr>
            </w:pPr>
            <w:r>
              <w:rPr>
                <w:rFonts w:ascii="Arial" w:cs="Arial" w:eastAsia="Arial" w:hAnsi="Arial"/>
                <w:sz w:val="17"/>
                <w:szCs w:val="17"/>
                <w:b w:val="1"/>
                <w:bCs w:val="1"/>
                <w:color w:val="F0533D"/>
              </w:rPr>
              <w:t>FORMER HEAD OF CLIENT SERVICES AND TECHNOLOGY, AND MEMBER OF</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680" w:type="dxa"/>
            <w:vAlign w:val="bottom"/>
            <w:gridSpan w:val="2"/>
          </w:tcPr>
          <w:p>
            <w:pPr>
              <w:spacing w:after="0" w:line="189" w:lineRule="exact"/>
              <w:rPr>
                <w:sz w:val="20"/>
                <w:szCs w:val="20"/>
                <w:color w:val="auto"/>
              </w:rPr>
            </w:pPr>
            <w:r>
              <w:rPr>
                <w:rFonts w:ascii="Arial" w:cs="Arial" w:eastAsia="Arial" w:hAnsi="Arial"/>
                <w:sz w:val="17"/>
                <w:szCs w:val="17"/>
                <w:b w:val="1"/>
                <w:bCs w:val="1"/>
                <w:color w:val="F0533D"/>
              </w:rPr>
              <w:t xml:space="preserve">EXECUTIVE COMMITTEE, TIAA-CREF, </w:t>
            </w:r>
            <w:r>
              <w:rPr>
                <w:rFonts w:ascii="Arial" w:cs="Arial" w:eastAsia="Arial" w:hAnsi="Arial"/>
                <w:sz w:val="17"/>
                <w:szCs w:val="17"/>
                <w:color w:val="000000"/>
              </w:rPr>
              <w:t>a global asset management and retirement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520" w:type="dxa"/>
            <w:vAlign w:val="bottom"/>
          </w:tcPr>
          <w:p>
            <w:pPr>
              <w:spacing w:after="0"/>
              <w:rPr>
                <w:sz w:val="20"/>
                <w:szCs w:val="20"/>
                <w:color w:val="auto"/>
              </w:rPr>
            </w:pPr>
            <w:r>
              <w:rPr>
                <w:rFonts w:ascii="Arial" w:cs="Arial" w:eastAsia="Arial" w:hAnsi="Arial"/>
                <w:sz w:val="17"/>
                <w:szCs w:val="17"/>
                <w:color w:val="auto"/>
              </w:rPr>
              <w:t>business</w:t>
            </w:r>
          </w:p>
        </w:tc>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8"/>
        </w:trPr>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Audit</w:t>
            </w: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vMerge w:val="restart"/>
          </w:tcPr>
          <w:p>
            <w:pPr>
              <w:spacing w:after="0"/>
              <w:rPr>
                <w:sz w:val="20"/>
                <w:szCs w:val="20"/>
                <w:color w:val="auto"/>
              </w:rPr>
            </w:pPr>
            <w:r>
              <w:rPr>
                <w:rFonts w:ascii="Arial" w:cs="Arial" w:eastAsia="Arial" w:hAnsi="Arial"/>
                <w:sz w:val="23"/>
                <w:szCs w:val="23"/>
                <w:b w:val="1"/>
                <w:bCs w:val="1"/>
                <w:color w:val="F0533D"/>
              </w:rPr>
              <w:t> </w:t>
            </w:r>
          </w:p>
        </w:tc>
        <w:tc>
          <w:tcPr>
            <w:tcW w:w="196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69</w:t>
            </w: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 w:type="dxa"/>
            <w:vAlign w:val="bottom"/>
            <w:vMerge w:val="continue"/>
          </w:tcPr>
          <w:p>
            <w:pPr>
              <w:spacing w:after="0"/>
              <w:rPr>
                <w:sz w:val="18"/>
                <w:szCs w:val="18"/>
                <w:color w:val="auto"/>
              </w:rPr>
            </w:pPr>
          </w:p>
        </w:tc>
        <w:tc>
          <w:tcPr>
            <w:tcW w:w="1960" w:type="dxa"/>
            <w:vAlign w:val="bottom"/>
          </w:tcPr>
          <w:p>
            <w:pPr>
              <w:spacing w:after="0"/>
              <w:rPr>
                <w:sz w:val="18"/>
                <w:szCs w:val="18"/>
                <w:color w:val="auto"/>
              </w:rPr>
            </w:pPr>
          </w:p>
        </w:tc>
        <w:tc>
          <w:tcPr>
            <w:tcW w:w="6680" w:type="dxa"/>
            <w:vAlign w:val="bottom"/>
            <w:gridSpan w:val="2"/>
            <w:vMerge w:val="restart"/>
          </w:tcPr>
          <w:p>
            <w:pPr>
              <w:spacing w:after="0"/>
              <w:rPr>
                <w:sz w:val="20"/>
                <w:szCs w:val="20"/>
                <w:color w:val="auto"/>
              </w:rPr>
            </w:pP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00" w:type="dxa"/>
            <w:vAlign w:val="bottom"/>
            <w:tcBorders>
              <w:bottom w:val="single" w:sz="8" w:color="F0533D"/>
            </w:tcBorders>
          </w:tcPr>
          <w:p>
            <w:pPr>
              <w:spacing w:after="0"/>
              <w:rPr>
                <w:sz w:val="15"/>
                <w:szCs w:val="15"/>
                <w:color w:val="auto"/>
              </w:rPr>
            </w:pPr>
          </w:p>
        </w:tc>
        <w:tc>
          <w:tcPr>
            <w:tcW w:w="4480" w:type="dxa"/>
            <w:vAlign w:val="bottom"/>
            <w:tcBorders>
              <w:bottom w:val="single" w:sz="8" w:color="F0533D"/>
            </w:tcBorders>
            <w:gridSpan w:val="2"/>
          </w:tcPr>
          <w:p>
            <w:pPr>
              <w:spacing w:after="0"/>
              <w:rPr>
                <w:sz w:val="15"/>
                <w:szCs w:val="15"/>
                <w:color w:val="auto"/>
              </w:rPr>
            </w:pPr>
          </w:p>
        </w:tc>
        <w:tc>
          <w:tcPr>
            <w:tcW w:w="4160" w:type="dxa"/>
            <w:vAlign w:val="bottom"/>
            <w:tcBorders>
              <w:bottom w:val="single" w:sz="8" w:color="F0533D"/>
            </w:tcBorders>
          </w:tcPr>
          <w:p>
            <w:pPr>
              <w:spacing w:after="0"/>
              <w:rPr>
                <w:sz w:val="15"/>
                <w:szCs w:val="15"/>
                <w:color w:val="auto"/>
              </w:rPr>
            </w:pPr>
          </w:p>
        </w:tc>
        <w:tc>
          <w:tcPr>
            <w:tcW w:w="120" w:type="dxa"/>
            <w:vAlign w:val="bottom"/>
            <w:tcBorders>
              <w:bottom w:val="single" w:sz="8" w:color="F0533D"/>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 w:type="dxa"/>
            <w:vAlign w:val="bottom"/>
            <w:shd w:val="clear" w:color="auto" w:fill="F1F2F2"/>
          </w:tcPr>
          <w:p>
            <w:pPr>
              <w:spacing w:after="0"/>
              <w:rPr>
                <w:sz w:val="24"/>
                <w:szCs w:val="24"/>
                <w:color w:val="auto"/>
              </w:rPr>
            </w:pPr>
          </w:p>
        </w:tc>
        <w:tc>
          <w:tcPr>
            <w:tcW w:w="4480" w:type="dxa"/>
            <w:vAlign w:val="bottom"/>
            <w:gridSpan w:val="2"/>
            <w:shd w:val="clear" w:color="auto" w:fill="F1F2F2"/>
          </w:tcPr>
          <w:p>
            <w:pPr>
              <w:spacing w:after="0"/>
              <w:rPr>
                <w:sz w:val="24"/>
                <w:szCs w:val="24"/>
                <w:color w:val="auto"/>
              </w:rPr>
            </w:pPr>
          </w:p>
        </w:tc>
        <w:tc>
          <w:tcPr>
            <w:tcW w:w="4160" w:type="dxa"/>
            <w:vAlign w:val="bottom"/>
            <w:shd w:val="clear" w:color="auto" w:fill="F1F2F2"/>
          </w:tcPr>
          <w:p>
            <w:pPr>
              <w:spacing w:after="0"/>
              <w:rPr>
                <w:sz w:val="24"/>
                <w:szCs w:val="24"/>
                <w:color w:val="auto"/>
              </w:rPr>
            </w:pPr>
          </w:p>
        </w:tc>
        <w:tc>
          <w:tcPr>
            <w:tcW w:w="120" w:type="dxa"/>
            <w:vAlign w:val="bottom"/>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4480" w:type="dxa"/>
            <w:vAlign w:val="bottom"/>
            <w:gridSpan w:val="2"/>
          </w:tcPr>
          <w:p>
            <w:pPr>
              <w:ind w:left="60"/>
              <w:spacing w:after="0"/>
              <w:rPr>
                <w:sz w:val="20"/>
                <w:szCs w:val="20"/>
                <w:color w:val="auto"/>
              </w:rPr>
            </w:pPr>
            <w:r>
              <w:rPr>
                <w:rFonts w:ascii="Arial" w:cs="Arial" w:eastAsia="Arial" w:hAnsi="Arial"/>
                <w:sz w:val="17"/>
                <w:szCs w:val="17"/>
                <w:b w:val="1"/>
                <w:bCs w:val="1"/>
                <w:color w:val="auto"/>
              </w:rPr>
              <w:t>Qualifications, Attributes and Skills</w:t>
            </w: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4480" w:type="dxa"/>
            <w:vAlign w:val="bottom"/>
            <w:gridSpan w:val="2"/>
          </w:tcPr>
          <w:p>
            <w:pPr>
              <w:ind w:left="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head of client</w:t>
            </w:r>
          </w:p>
        </w:tc>
        <w:tc>
          <w:tcPr>
            <w:tcW w:w="4160" w:type="dxa"/>
            <w:vAlign w:val="bottom"/>
          </w:tcPr>
          <w:p>
            <w:pPr>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Government service</w:t>
            </w:r>
            <w:r>
              <w:rPr>
                <w:rFonts w:ascii="Arial" w:cs="Arial" w:eastAsia="Arial" w:hAnsi="Arial"/>
                <w:sz w:val="17"/>
                <w:szCs w:val="17"/>
                <w:color w:val="F0533D"/>
              </w:rPr>
              <w:t xml:space="preserve"> </w:t>
            </w:r>
            <w:r>
              <w:rPr>
                <w:rFonts w:ascii="Arial" w:cs="Arial" w:eastAsia="Arial" w:hAnsi="Arial"/>
                <w:sz w:val="17"/>
                <w:szCs w:val="17"/>
                <w:color w:val="000000"/>
              </w:rPr>
              <w:t>as former citywide chief</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4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services and technology and member of the</w:t>
            </w:r>
          </w:p>
        </w:tc>
        <w:tc>
          <w:tcPr>
            <w:tcW w:w="4160" w:type="dxa"/>
            <w:vAlign w:val="bottom"/>
          </w:tcPr>
          <w:p>
            <w:pPr>
              <w:ind w:left="160"/>
              <w:spacing w:after="0" w:line="189" w:lineRule="exact"/>
              <w:rPr>
                <w:sz w:val="20"/>
                <w:szCs w:val="20"/>
                <w:color w:val="auto"/>
              </w:rPr>
            </w:pPr>
            <w:r>
              <w:rPr>
                <w:rFonts w:ascii="Arial" w:cs="Arial" w:eastAsia="Arial" w:hAnsi="Arial"/>
                <w:sz w:val="17"/>
                <w:szCs w:val="17"/>
                <w:color w:val="auto"/>
              </w:rPr>
              <w:t>information and innovation officer of New York City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00" w:type="dxa"/>
            <w:vAlign w:val="bottom"/>
          </w:tcPr>
          <w:p>
            <w:pPr>
              <w:spacing w:after="0"/>
              <w:rPr>
                <w:sz w:val="19"/>
                <w:szCs w:val="19"/>
                <w:color w:val="auto"/>
              </w:rPr>
            </w:pPr>
          </w:p>
        </w:tc>
        <w:tc>
          <w:tcPr>
            <w:tcW w:w="4480" w:type="dxa"/>
            <w:vAlign w:val="bottom"/>
            <w:gridSpan w:val="2"/>
          </w:tcPr>
          <w:p>
            <w:pPr>
              <w:ind w:left="220"/>
              <w:spacing w:after="0"/>
              <w:rPr>
                <w:sz w:val="20"/>
                <w:szCs w:val="20"/>
                <w:color w:val="auto"/>
              </w:rPr>
            </w:pPr>
            <w:r>
              <w:rPr>
                <w:rFonts w:ascii="Arial" w:cs="Arial" w:eastAsia="Arial" w:hAnsi="Arial"/>
                <w:sz w:val="17"/>
                <w:szCs w:val="17"/>
                <w:color w:val="auto"/>
              </w:rPr>
              <w:t>executive committee at TIAA</w:t>
            </w:r>
          </w:p>
        </w:tc>
        <w:tc>
          <w:tcPr>
            <w:tcW w:w="4160" w:type="dxa"/>
            <w:vAlign w:val="bottom"/>
            <w:vMerge w:val="restart"/>
          </w:tcPr>
          <w:p>
            <w:pPr>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a former director of</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41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480" w:type="dxa"/>
            <w:vAlign w:val="bottom"/>
            <w:gridSpan w:val="2"/>
          </w:tcPr>
          <w:p>
            <w:pPr>
              <w:ind w:left="60"/>
              <w:spacing w:after="0" w:line="189" w:lineRule="exact"/>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Technology, digital and/or cybersecurity</w:t>
            </w:r>
          </w:p>
        </w:tc>
        <w:tc>
          <w:tcPr>
            <w:tcW w:w="4160" w:type="dxa"/>
            <w:vAlign w:val="bottom"/>
          </w:tcPr>
          <w:p>
            <w:pPr>
              <w:ind w:left="160"/>
              <w:spacing w:after="0" w:line="189" w:lineRule="exact"/>
              <w:rPr>
                <w:sz w:val="20"/>
                <w:szCs w:val="20"/>
                <w:color w:val="auto"/>
              </w:rPr>
            </w:pPr>
            <w:r>
              <w:rPr>
                <w:rFonts w:ascii="Arial" w:cs="Arial" w:eastAsia="Arial" w:hAnsi="Arial"/>
                <w:sz w:val="17"/>
                <w:szCs w:val="17"/>
                <w:color w:val="auto"/>
              </w:rPr>
              <w:t>Juniper Networks, Inc., Sun Microsystems, Inc., Fair</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48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F0533D"/>
              </w:rPr>
              <w:t xml:space="preserve">experience </w:t>
            </w:r>
            <w:r>
              <w:rPr>
                <w:rFonts w:ascii="Arial" w:cs="Arial" w:eastAsia="Arial" w:hAnsi="Arial"/>
                <w:sz w:val="17"/>
                <w:szCs w:val="17"/>
                <w:color w:val="000000"/>
              </w:rPr>
              <w:t>as former executive vice president</w:t>
            </w:r>
          </w:p>
        </w:tc>
        <w:tc>
          <w:tcPr>
            <w:tcW w:w="4160" w:type="dxa"/>
            <w:vAlign w:val="bottom"/>
          </w:tcPr>
          <w:p>
            <w:pPr>
              <w:ind w:left="160"/>
              <w:spacing w:after="0" w:line="189" w:lineRule="exact"/>
              <w:rPr>
                <w:sz w:val="20"/>
                <w:szCs w:val="20"/>
                <w:color w:val="auto"/>
              </w:rPr>
            </w:pPr>
            <w:r>
              <w:rPr>
                <w:rFonts w:ascii="Arial" w:cs="Arial" w:eastAsia="Arial" w:hAnsi="Arial"/>
                <w:sz w:val="17"/>
                <w:szCs w:val="17"/>
                <w:color w:val="auto"/>
              </w:rPr>
              <w:t>Isaac Corporation and Level 3 Communications LLC</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4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and chief information and operations officer at</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4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Federal National Mortgage Association</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448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(“Fannie Mae”) and former senior vice</w:t>
            </w:r>
          </w:p>
        </w:tc>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4480" w:type="dxa"/>
            <w:vAlign w:val="bottom"/>
            <w:gridSpan w:val="2"/>
          </w:tcPr>
          <w:p>
            <w:pPr>
              <w:ind w:left="220"/>
              <w:spacing w:after="0"/>
              <w:rPr>
                <w:sz w:val="20"/>
                <w:szCs w:val="20"/>
                <w:color w:val="auto"/>
              </w:rPr>
            </w:pPr>
            <w:r>
              <w:rPr>
                <w:rFonts w:ascii="Arial" w:cs="Arial" w:eastAsia="Arial" w:hAnsi="Arial"/>
                <w:sz w:val="17"/>
                <w:szCs w:val="17"/>
                <w:color w:val="auto"/>
              </w:rPr>
              <w:t>president, chief information officer and chief</w:t>
            </w:r>
          </w:p>
        </w:tc>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-1701165</wp:posOffset>
            </wp:positionV>
            <wp:extent cx="5623560" cy="2091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23560" cy="20916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-3209925</wp:posOffset>
            </wp:positionV>
            <wp:extent cx="1105535" cy="11061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05535" cy="1106170"/>
                    </a:xfrm>
                    <a:prstGeom prst="rect">
                      <a:avLst/>
                    </a:prstGeom>
                    <a:noFill/>
                  </pic:spPr>
                </pic:pic>
              </a:graphicData>
            </a:graphic>
          </wp:anchor>
        </w:drawing>
      </w:r>
    </w:p>
    <w:p>
      <w:pPr>
        <w:ind w:left="400"/>
        <w:spacing w:after="0" w:line="232" w:lineRule="auto"/>
        <w:rPr>
          <w:sz w:val="20"/>
          <w:szCs w:val="20"/>
          <w:color w:val="auto"/>
        </w:rPr>
      </w:pPr>
      <w:r>
        <w:rPr>
          <w:rFonts w:ascii="Arial" w:cs="Arial" w:eastAsia="Arial" w:hAnsi="Arial"/>
          <w:sz w:val="17"/>
          <w:szCs w:val="17"/>
          <w:color w:val="auto"/>
        </w:rPr>
        <w:t>technology officer at Merrill Lynch, Pierce,</w:t>
      </w:r>
    </w:p>
    <w:p>
      <w:pPr>
        <w:ind w:left="400"/>
        <w:spacing w:after="0"/>
        <w:rPr>
          <w:sz w:val="20"/>
          <w:szCs w:val="20"/>
          <w:color w:val="auto"/>
        </w:rPr>
      </w:pPr>
      <w:r>
        <w:rPr>
          <w:rFonts w:ascii="Arial" w:cs="Arial" w:eastAsia="Arial" w:hAnsi="Arial"/>
          <w:sz w:val="17"/>
          <w:szCs w:val="17"/>
          <w:color w:val="auto"/>
        </w:rPr>
        <w:t>Fenner &amp; Smith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145415</wp:posOffset>
            </wp:positionV>
            <wp:extent cx="56235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299"/>
        <w:spacing w:after="0" w:line="249" w:lineRule="auto"/>
        <w:rPr>
          <w:sz w:val="20"/>
          <w:szCs w:val="20"/>
          <w:color w:val="auto"/>
        </w:rPr>
      </w:pPr>
      <w:r>
        <w:rPr>
          <w:rFonts w:ascii="Arial" w:cs="Arial" w:eastAsia="Arial" w:hAnsi="Arial"/>
          <w:sz w:val="17"/>
          <w:szCs w:val="17"/>
          <w:color w:val="auto"/>
        </w:rPr>
        <w:t>Rahul Merchant has vast experience in technology serving in chief information officer and chief technology officer roles throughout his career. His skills in developing and implementing IT strategy and digital transformations, along with managing large operations, gives the Board an insightful and well-rounded perspective.</w:t>
      </w:r>
    </w:p>
    <w:p>
      <w:pPr>
        <w:spacing w:after="0" w:line="175" w:lineRule="exact"/>
        <w:rPr>
          <w:sz w:val="20"/>
          <w:szCs w:val="20"/>
          <w:color w:val="auto"/>
        </w:rPr>
      </w:pPr>
    </w:p>
    <w:p>
      <w:pPr>
        <w:ind w:left="80" w:right="99"/>
        <w:spacing w:after="0" w:line="237" w:lineRule="auto"/>
        <w:rPr>
          <w:sz w:val="20"/>
          <w:szCs w:val="20"/>
          <w:color w:val="auto"/>
        </w:rPr>
      </w:pPr>
      <w:r>
        <w:rPr>
          <w:rFonts w:ascii="Arial" w:cs="Arial" w:eastAsia="Arial" w:hAnsi="Arial"/>
          <w:sz w:val="17"/>
          <w:szCs w:val="17"/>
          <w:color w:val="auto"/>
        </w:rPr>
        <w:t>Mr. Merchant served as a senior executive vice president and member of the executive committee at TIAA from 2015 until his retirement in 2022. While at TIAA, Mr. Merchant led a variety of organizations including chief information officer, client services and digital transformation. Prior to serving this role, Mr. Merchant served as citywide chief information and innovation officer for the City of New York from 2012 until 2014. From 2006 until 2009, Mr. Merchant served as executive vice president, chief information and operations officer and member of the executive committee at Fannie Mae and senior vice president, chief information officer and chief technology officer at Merrill Lynch, Pierce, Fenner &amp; Smith Incorporated from 2000 until 2006. Mr. Merchant has served as the chair of the Audit Committee of a public company. Additionally, during the past five years, he served as a director of Juniper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62230</wp:posOffset>
            </wp:positionV>
            <wp:extent cx="56235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0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171450</wp:posOffset>
            </wp:positionV>
            <wp:extent cx="1105535" cy="11061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0553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F0533D"/>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23"/>
          <w:szCs w:val="23"/>
          <w:b w:val="1"/>
          <w:bCs w:val="1"/>
          <w:color w:val="F0533D"/>
        </w:rPr>
        <w:t>JANA SCHREUDER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42430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226" w:lineRule="exact"/>
        <w:rPr>
          <w:sz w:val="20"/>
          <w:szCs w:val="20"/>
          <w:color w:val="auto"/>
        </w:rPr>
      </w:pPr>
    </w:p>
    <w:p>
      <w:pPr>
        <w:ind w:right="1159"/>
        <w:spacing w:after="0" w:line="312" w:lineRule="auto"/>
        <w:rPr>
          <w:sz w:val="20"/>
          <w:szCs w:val="20"/>
          <w:color w:val="auto"/>
        </w:rPr>
      </w:pPr>
      <w:r>
        <w:rPr>
          <w:rFonts w:ascii="Arial" w:cs="Arial" w:eastAsia="Arial" w:hAnsi="Arial"/>
          <w:sz w:val="16"/>
          <w:szCs w:val="16"/>
          <w:b w:val="1"/>
          <w:bCs w:val="1"/>
          <w:color w:val="F0533D"/>
        </w:rPr>
        <w:t xml:space="preserve">RETIRED EXECUTIVE VICE PRESIDENT, CHIEF OPERATING OFFICER, NORTHERN TRUST CORPORATION, </w:t>
      </w:r>
      <w:r>
        <w:rPr>
          <w:rFonts w:ascii="Arial" w:cs="Arial" w:eastAsia="Arial" w:hAnsi="Arial"/>
          <w:sz w:val="16"/>
          <w:szCs w:val="16"/>
          <w:color w:val="000000"/>
        </w:rPr>
        <w:t>a financial services company</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Compensation and Human Capital (Chair)</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67</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p>
      <w:pPr>
        <w:spacing w:after="0" w:line="217" w:lineRule="exact"/>
        <w:rPr>
          <w:sz w:val="20"/>
          <w:szCs w:val="20"/>
          <w:color w:val="auto"/>
        </w:rPr>
      </w:pPr>
    </w:p>
    <w:p>
      <w:pPr>
        <w:sectPr>
          <w:pgSz w:w="11900" w:h="16838" w:orient="portrait"/>
          <w:cols w:equalWidth="0" w:num="2">
            <w:col w:w="1620" w:space="520"/>
            <w:col w:w="6879"/>
          </w:cols>
          <w:pgMar w:left="1440" w:top="114" w:right="1440" w:bottom="1440" w:gutter="0" w:footer="0" w:header="0"/>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510"/>
        </w:trPr>
        <w:tc>
          <w:tcPr>
            <w:tcW w:w="100" w:type="dxa"/>
            <w:vAlign w:val="bottom"/>
            <w:tcBorders>
              <w:top w:val="single" w:sz="8" w:color="F0533D"/>
            </w:tcBorders>
            <w:shd w:val="clear" w:color="auto" w:fill="F1F2F2"/>
          </w:tcPr>
          <w:p>
            <w:pPr>
              <w:spacing w:after="0"/>
              <w:rPr>
                <w:sz w:val="24"/>
                <w:szCs w:val="24"/>
                <w:color w:val="auto"/>
              </w:rPr>
            </w:pPr>
          </w:p>
        </w:tc>
        <w:tc>
          <w:tcPr>
            <w:tcW w:w="3780" w:type="dxa"/>
            <w:vAlign w:val="bottom"/>
            <w:tcBorders>
              <w:top w:val="single" w:sz="8" w:color="F0533D"/>
            </w:tcBorders>
            <w:shd w:val="clear" w:color="auto" w:fill="F1F2F2"/>
          </w:tcPr>
          <w:p>
            <w:pPr>
              <w:ind w:left="60"/>
              <w:spacing w:after="0"/>
              <w:rPr>
                <w:sz w:val="20"/>
                <w:szCs w:val="20"/>
                <w:color w:val="auto"/>
              </w:rPr>
            </w:pPr>
            <w:r>
              <w:rPr>
                <w:rFonts w:ascii="Arial" w:cs="Arial" w:eastAsia="Arial" w:hAnsi="Arial"/>
                <w:sz w:val="17"/>
                <w:szCs w:val="17"/>
                <w:b w:val="1"/>
                <w:bCs w:val="1"/>
                <w:color w:val="auto"/>
              </w:rPr>
              <w:t>Qualifications, Attributes and Skills</w:t>
            </w:r>
          </w:p>
        </w:tc>
        <w:tc>
          <w:tcPr>
            <w:tcW w:w="4980" w:type="dxa"/>
            <w:vAlign w:val="bottom"/>
            <w:tcBorders>
              <w:top w:val="single" w:sz="8" w:color="F0533D"/>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00" w:type="dxa"/>
            <w:vAlign w:val="bottom"/>
            <w:shd w:val="clear" w:color="auto" w:fill="F1F2F2"/>
          </w:tcPr>
          <w:p>
            <w:pPr>
              <w:spacing w:after="0"/>
              <w:rPr>
                <w:sz w:val="24"/>
                <w:szCs w:val="24"/>
                <w:color w:val="auto"/>
              </w:rPr>
            </w:pPr>
          </w:p>
        </w:tc>
        <w:tc>
          <w:tcPr>
            <w:tcW w:w="3780" w:type="dxa"/>
            <w:vAlign w:val="bottom"/>
            <w:shd w:val="clear" w:color="auto" w:fill="F1F2F2"/>
          </w:tcPr>
          <w:p>
            <w:pPr>
              <w:ind w:left="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former chief</w:t>
            </w:r>
          </w:p>
        </w:tc>
        <w:tc>
          <w:tcPr>
            <w:tcW w:w="4980" w:type="dxa"/>
            <w:vAlign w:val="bottom"/>
            <w:shd w:val="clear" w:color="auto" w:fill="F1F2F2"/>
          </w:tcPr>
          <w:p>
            <w:pPr>
              <w:ind w:left="7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Financial experience</w:t>
            </w:r>
            <w:r>
              <w:rPr>
                <w:rFonts w:ascii="Arial" w:cs="Arial" w:eastAsia="Arial" w:hAnsi="Arial"/>
                <w:sz w:val="17"/>
                <w:szCs w:val="17"/>
                <w:color w:val="F0533D"/>
              </w:rPr>
              <w:t xml:space="preserve"> </w:t>
            </w:r>
            <w:r>
              <w:rPr>
                <w:rFonts w:ascii="Arial" w:cs="Arial" w:eastAsia="Arial" w:hAnsi="Arial"/>
                <w:sz w:val="17"/>
                <w:szCs w:val="17"/>
                <w:color w:val="000000"/>
              </w:rPr>
              <w:t>as former chief risk officer</w:t>
            </w: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3780" w:type="dxa"/>
            <w:vAlign w:val="bottom"/>
            <w:shd w:val="clear" w:color="auto" w:fill="F1F2F2"/>
          </w:tcPr>
          <w:p>
            <w:pPr>
              <w:ind w:left="220"/>
              <w:spacing w:after="0" w:line="189" w:lineRule="exact"/>
              <w:rPr>
                <w:sz w:val="20"/>
                <w:szCs w:val="20"/>
                <w:color w:val="auto"/>
              </w:rPr>
            </w:pPr>
            <w:r>
              <w:rPr>
                <w:rFonts w:ascii="Arial" w:cs="Arial" w:eastAsia="Arial" w:hAnsi="Arial"/>
                <w:sz w:val="17"/>
                <w:szCs w:val="17"/>
                <w:color w:val="auto"/>
              </w:rPr>
              <w:t>operating officer of Northern Trust Corporation</w:t>
            </w:r>
          </w:p>
        </w:tc>
        <w:tc>
          <w:tcPr>
            <w:tcW w:w="4980" w:type="dxa"/>
            <w:vAlign w:val="bottom"/>
            <w:shd w:val="clear" w:color="auto" w:fill="F1F2F2"/>
          </w:tcPr>
          <w:p>
            <w:pPr>
              <w:ind w:left="860"/>
              <w:spacing w:after="0" w:line="189" w:lineRule="exact"/>
              <w:rPr>
                <w:sz w:val="20"/>
                <w:szCs w:val="20"/>
                <w:color w:val="auto"/>
              </w:rPr>
            </w:pPr>
            <w:r>
              <w:rPr>
                <w:rFonts w:ascii="Arial" w:cs="Arial" w:eastAsia="Arial" w:hAnsi="Arial"/>
                <w:sz w:val="17"/>
                <w:szCs w:val="17"/>
                <w:color w:val="auto"/>
              </w:rPr>
              <w:t>and head of corporate risk management and</w:t>
            </w: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3780" w:type="dxa"/>
            <w:vAlign w:val="bottom"/>
            <w:shd w:val="clear" w:color="auto" w:fill="F1F2F2"/>
          </w:tcPr>
          <w:p>
            <w:pPr>
              <w:spacing w:after="0"/>
              <w:rPr>
                <w:sz w:val="16"/>
                <w:szCs w:val="16"/>
                <w:color w:val="auto"/>
              </w:rPr>
            </w:pPr>
          </w:p>
        </w:tc>
        <w:tc>
          <w:tcPr>
            <w:tcW w:w="4980" w:type="dxa"/>
            <w:vAlign w:val="bottom"/>
            <w:shd w:val="clear" w:color="auto" w:fill="F1F2F2"/>
          </w:tcPr>
          <w:p>
            <w:pPr>
              <w:ind w:left="860"/>
              <w:spacing w:after="0" w:line="189" w:lineRule="exact"/>
              <w:rPr>
                <w:sz w:val="20"/>
                <w:szCs w:val="20"/>
                <w:color w:val="auto"/>
              </w:rPr>
            </w:pPr>
            <w:r>
              <w:rPr>
                <w:rFonts w:ascii="Arial" w:cs="Arial" w:eastAsia="Arial" w:hAnsi="Arial"/>
                <w:sz w:val="17"/>
                <w:szCs w:val="17"/>
                <w:color w:val="auto"/>
              </w:rPr>
              <w:t>president of wealth management at Northern Trust</w:t>
            </w:r>
          </w:p>
        </w:tc>
        <w:tc>
          <w:tcPr>
            <w:tcW w:w="0" w:type="dxa"/>
            <w:vAlign w:val="bottom"/>
          </w:tcPr>
          <w:p>
            <w:pPr>
              <w:spacing w:after="0"/>
              <w:rPr>
                <w:sz w:val="1"/>
                <w:szCs w:val="1"/>
                <w:color w:val="auto"/>
              </w:rPr>
            </w:pPr>
          </w:p>
        </w:tc>
      </w:tr>
      <w:tr>
        <w:trPr>
          <w:trHeight w:val="216"/>
        </w:trPr>
        <w:tc>
          <w:tcPr>
            <w:tcW w:w="100" w:type="dxa"/>
            <w:vAlign w:val="bottom"/>
            <w:shd w:val="clear" w:color="auto" w:fill="F1F2F2"/>
          </w:tcPr>
          <w:p>
            <w:pPr>
              <w:spacing w:after="0"/>
              <w:rPr>
                <w:sz w:val="18"/>
                <w:szCs w:val="18"/>
                <w:color w:val="auto"/>
              </w:rPr>
            </w:pPr>
          </w:p>
        </w:tc>
        <w:tc>
          <w:tcPr>
            <w:tcW w:w="3780" w:type="dxa"/>
            <w:vAlign w:val="bottom"/>
            <w:shd w:val="clear" w:color="auto" w:fill="F1F2F2"/>
          </w:tcPr>
          <w:p>
            <w:pPr>
              <w:ind w:left="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Technology, digital and/or cybersecurity</w:t>
            </w:r>
          </w:p>
        </w:tc>
        <w:tc>
          <w:tcPr>
            <w:tcW w:w="4980" w:type="dxa"/>
            <w:vAlign w:val="bottom"/>
            <w:shd w:val="clear" w:color="auto" w:fill="F1F2F2"/>
          </w:tcPr>
          <w:p>
            <w:pPr>
              <w:ind w:left="860"/>
              <w:spacing w:after="0"/>
              <w:rPr>
                <w:sz w:val="20"/>
                <w:szCs w:val="20"/>
                <w:color w:val="auto"/>
              </w:rPr>
            </w:pPr>
            <w:r>
              <w:rPr>
                <w:rFonts w:ascii="Arial" w:cs="Arial" w:eastAsia="Arial" w:hAnsi="Arial"/>
                <w:sz w:val="17"/>
                <w:szCs w:val="17"/>
                <w:color w:val="auto"/>
              </w:rPr>
              <w:t>Corporation</w:t>
            </w: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3780" w:type="dxa"/>
            <w:vAlign w:val="bottom"/>
            <w:shd w:val="clear" w:color="auto" w:fill="F1F2F2"/>
          </w:tcPr>
          <w:p>
            <w:pPr>
              <w:ind w:left="220"/>
              <w:spacing w:after="0" w:line="189" w:lineRule="exact"/>
              <w:rPr>
                <w:sz w:val="20"/>
                <w:szCs w:val="20"/>
                <w:color w:val="auto"/>
              </w:rPr>
            </w:pPr>
            <w:r>
              <w:rPr>
                <w:rFonts w:ascii="Arial" w:cs="Arial" w:eastAsia="Arial" w:hAnsi="Arial"/>
                <w:sz w:val="17"/>
                <w:szCs w:val="17"/>
                <w:b w:val="1"/>
                <w:bCs w:val="1"/>
                <w:color w:val="F0533D"/>
              </w:rPr>
              <w:t xml:space="preserve">experience </w:t>
            </w:r>
            <w:r>
              <w:rPr>
                <w:rFonts w:ascii="Arial" w:cs="Arial" w:eastAsia="Arial" w:hAnsi="Arial"/>
                <w:sz w:val="17"/>
                <w:szCs w:val="17"/>
                <w:color w:val="000000"/>
              </w:rPr>
              <w:t>as former president of operations</w:t>
            </w:r>
          </w:p>
        </w:tc>
        <w:tc>
          <w:tcPr>
            <w:tcW w:w="498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3780" w:type="dxa"/>
            <w:vAlign w:val="bottom"/>
            <w:shd w:val="clear" w:color="auto" w:fill="F1F2F2"/>
          </w:tcPr>
          <w:p>
            <w:pPr>
              <w:ind w:left="220"/>
              <w:spacing w:after="0" w:line="189" w:lineRule="exact"/>
              <w:rPr>
                <w:sz w:val="20"/>
                <w:szCs w:val="20"/>
                <w:color w:val="auto"/>
              </w:rPr>
            </w:pPr>
            <w:r>
              <w:rPr>
                <w:rFonts w:ascii="Arial" w:cs="Arial" w:eastAsia="Arial" w:hAnsi="Arial"/>
                <w:sz w:val="17"/>
                <w:szCs w:val="17"/>
                <w:color w:val="auto"/>
              </w:rPr>
              <w:t>and technology at Northern Trust Corporation</w:t>
            </w:r>
          </w:p>
        </w:tc>
        <w:tc>
          <w:tcPr>
            <w:tcW w:w="4980" w:type="dxa"/>
            <w:vAlign w:val="bottom"/>
            <w:shd w:val="clear" w:color="auto" w:fill="F1F2F2"/>
          </w:tcPr>
          <w:p>
            <w:pPr>
              <w:ind w:left="700"/>
              <w:spacing w:after="0" w:line="189" w:lineRule="exact"/>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a director of The</w:t>
            </w:r>
          </w:p>
        </w:tc>
        <w:tc>
          <w:tcPr>
            <w:tcW w:w="0" w:type="dxa"/>
            <w:vAlign w:val="bottom"/>
          </w:tcPr>
          <w:p>
            <w:pPr>
              <w:spacing w:after="0"/>
              <w:rPr>
                <w:sz w:val="1"/>
                <w:szCs w:val="1"/>
                <w:color w:val="auto"/>
              </w:rPr>
            </w:pPr>
          </w:p>
        </w:tc>
      </w:tr>
      <w:tr>
        <w:trPr>
          <w:trHeight w:val="225"/>
        </w:trPr>
        <w:tc>
          <w:tcPr>
            <w:tcW w:w="100" w:type="dxa"/>
            <w:vAlign w:val="bottom"/>
            <w:shd w:val="clear" w:color="auto" w:fill="F1F2F2"/>
          </w:tcPr>
          <w:p>
            <w:pPr>
              <w:spacing w:after="0"/>
              <w:rPr>
                <w:sz w:val="19"/>
                <w:szCs w:val="19"/>
                <w:color w:val="auto"/>
              </w:rPr>
            </w:pPr>
          </w:p>
        </w:tc>
        <w:tc>
          <w:tcPr>
            <w:tcW w:w="3780" w:type="dxa"/>
            <w:vAlign w:val="bottom"/>
            <w:vMerge w:val="restart"/>
            <w:shd w:val="clear" w:color="auto" w:fill="F1F2F2"/>
          </w:tcPr>
          <w:p>
            <w:pPr>
              <w:ind w:left="6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Affiliation with leading business</w:t>
            </w:r>
          </w:p>
        </w:tc>
        <w:tc>
          <w:tcPr>
            <w:tcW w:w="4980" w:type="dxa"/>
            <w:vAlign w:val="bottom"/>
            <w:shd w:val="clear" w:color="auto" w:fill="F1F2F2"/>
          </w:tcPr>
          <w:p>
            <w:pPr>
              <w:ind w:left="860"/>
              <w:spacing w:after="0"/>
              <w:rPr>
                <w:sz w:val="20"/>
                <w:szCs w:val="20"/>
                <w:color w:val="auto"/>
              </w:rPr>
            </w:pPr>
            <w:r>
              <w:rPr>
                <w:rFonts w:ascii="Arial" w:cs="Arial" w:eastAsia="Arial" w:hAnsi="Arial"/>
                <w:sz w:val="17"/>
                <w:szCs w:val="17"/>
                <w:color w:val="auto"/>
              </w:rPr>
              <w:t>Bank of N.T. Butterfield &amp; Son Limited</w:t>
            </w:r>
          </w:p>
        </w:tc>
        <w:tc>
          <w:tcPr>
            <w:tcW w:w="0" w:type="dxa"/>
            <w:vAlign w:val="bottom"/>
          </w:tcPr>
          <w:p>
            <w:pPr>
              <w:spacing w:after="0"/>
              <w:rPr>
                <w:sz w:val="1"/>
                <w:szCs w:val="1"/>
                <w:color w:val="auto"/>
              </w:rPr>
            </w:pPr>
          </w:p>
        </w:tc>
      </w:tr>
      <w:tr>
        <w:trPr>
          <w:trHeight w:val="180"/>
        </w:trPr>
        <w:tc>
          <w:tcPr>
            <w:tcW w:w="100" w:type="dxa"/>
            <w:vAlign w:val="bottom"/>
            <w:shd w:val="clear" w:color="auto" w:fill="F1F2F2"/>
          </w:tcPr>
          <w:p>
            <w:pPr>
              <w:spacing w:after="0"/>
              <w:rPr>
                <w:sz w:val="15"/>
                <w:szCs w:val="15"/>
                <w:color w:val="auto"/>
              </w:rPr>
            </w:pPr>
          </w:p>
        </w:tc>
        <w:tc>
          <w:tcPr>
            <w:tcW w:w="3780" w:type="dxa"/>
            <w:vAlign w:val="bottom"/>
            <w:vMerge w:val="continue"/>
            <w:shd w:val="clear" w:color="auto" w:fill="F1F2F2"/>
          </w:tcPr>
          <w:p>
            <w:pPr>
              <w:spacing w:after="0"/>
              <w:rPr>
                <w:sz w:val="15"/>
                <w:szCs w:val="15"/>
                <w:color w:val="auto"/>
              </w:rPr>
            </w:pPr>
          </w:p>
        </w:tc>
        <w:tc>
          <w:tcPr>
            <w:tcW w:w="498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shd w:val="clear" w:color="auto" w:fill="F1F2F2"/>
          </w:tcPr>
          <w:p>
            <w:pPr>
              <w:spacing w:after="0"/>
              <w:rPr>
                <w:sz w:val="16"/>
                <w:szCs w:val="16"/>
                <w:color w:val="auto"/>
              </w:rPr>
            </w:pPr>
          </w:p>
        </w:tc>
        <w:tc>
          <w:tcPr>
            <w:tcW w:w="3780" w:type="dxa"/>
            <w:vAlign w:val="bottom"/>
            <w:shd w:val="clear" w:color="auto" w:fill="F1F2F2"/>
          </w:tcPr>
          <w:p>
            <w:pPr>
              <w:ind w:left="220"/>
              <w:spacing w:after="0" w:line="189" w:lineRule="exact"/>
              <w:rPr>
                <w:sz w:val="20"/>
                <w:szCs w:val="20"/>
                <w:color w:val="auto"/>
              </w:rPr>
            </w:pPr>
            <w:r>
              <w:rPr>
                <w:rFonts w:ascii="Arial" w:cs="Arial" w:eastAsia="Arial" w:hAnsi="Arial"/>
                <w:sz w:val="17"/>
                <w:szCs w:val="17"/>
                <w:b w:val="1"/>
                <w:bCs w:val="1"/>
                <w:color w:val="F0533D"/>
              </w:rPr>
              <w:t xml:space="preserve">association </w:t>
            </w:r>
            <w:r>
              <w:rPr>
                <w:rFonts w:ascii="Arial" w:cs="Arial" w:eastAsia="Arial" w:hAnsi="Arial"/>
                <w:sz w:val="17"/>
                <w:szCs w:val="17"/>
                <w:color w:val="000000"/>
              </w:rPr>
              <w:t>as a member of Women</w:t>
            </w:r>
          </w:p>
        </w:tc>
        <w:tc>
          <w:tcPr>
            <w:tcW w:w="498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00" w:type="dxa"/>
            <w:vAlign w:val="bottom"/>
            <w:shd w:val="clear" w:color="auto" w:fill="F1F2F2"/>
          </w:tcPr>
          <w:p>
            <w:pPr>
              <w:spacing w:after="0"/>
              <w:rPr>
                <w:sz w:val="18"/>
                <w:szCs w:val="18"/>
                <w:color w:val="auto"/>
              </w:rPr>
            </w:pPr>
          </w:p>
        </w:tc>
        <w:tc>
          <w:tcPr>
            <w:tcW w:w="3780" w:type="dxa"/>
            <w:vAlign w:val="bottom"/>
            <w:shd w:val="clear" w:color="auto" w:fill="F1F2F2"/>
          </w:tcPr>
          <w:p>
            <w:pPr>
              <w:ind w:left="220"/>
              <w:spacing w:after="0"/>
              <w:rPr>
                <w:sz w:val="20"/>
                <w:szCs w:val="20"/>
                <w:color w:val="auto"/>
              </w:rPr>
            </w:pPr>
            <w:r>
              <w:rPr>
                <w:rFonts w:ascii="Arial" w:cs="Arial" w:eastAsia="Arial" w:hAnsi="Arial"/>
                <w:sz w:val="17"/>
                <w:szCs w:val="17"/>
                <w:color w:val="auto"/>
              </w:rPr>
              <w:t>Corporate Directors</w:t>
            </w:r>
          </w:p>
        </w:tc>
        <w:tc>
          <w:tcPr>
            <w:tcW w:w="4980" w:type="dxa"/>
            <w:vAlign w:val="bottom"/>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 w:type="dxa"/>
            <w:vAlign w:val="bottom"/>
            <w:tcBorders>
              <w:bottom w:val="single" w:sz="8" w:color="F0533D"/>
            </w:tcBorders>
            <w:shd w:val="clear" w:color="auto" w:fill="F1F2F2"/>
          </w:tcPr>
          <w:p>
            <w:pPr>
              <w:spacing w:after="0"/>
              <w:rPr>
                <w:sz w:val="19"/>
                <w:szCs w:val="19"/>
                <w:color w:val="auto"/>
              </w:rPr>
            </w:pPr>
          </w:p>
        </w:tc>
        <w:tc>
          <w:tcPr>
            <w:tcW w:w="3780" w:type="dxa"/>
            <w:vAlign w:val="bottom"/>
            <w:tcBorders>
              <w:bottom w:val="single" w:sz="8" w:color="F0533D"/>
            </w:tcBorders>
            <w:shd w:val="clear" w:color="auto" w:fill="F1F2F2"/>
          </w:tcPr>
          <w:p>
            <w:pPr>
              <w:spacing w:after="0"/>
              <w:rPr>
                <w:sz w:val="19"/>
                <w:szCs w:val="19"/>
                <w:color w:val="auto"/>
              </w:rPr>
            </w:pPr>
          </w:p>
        </w:tc>
        <w:tc>
          <w:tcPr>
            <w:tcW w:w="4980" w:type="dxa"/>
            <w:vAlign w:val="bottom"/>
            <w:tcBorders>
              <w:bottom w:val="single" w:sz="8" w:color="F0533D"/>
            </w:tcBorders>
            <w:shd w:val="clear" w:color="auto" w:fill="F1F2F2"/>
          </w:tcPr>
          <w:p>
            <w:pPr>
              <w:spacing w:after="0"/>
              <w:rPr>
                <w:sz w:val="19"/>
                <w:szCs w:val="19"/>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99"/>
        <w:spacing w:after="0" w:line="244" w:lineRule="auto"/>
        <w:rPr>
          <w:sz w:val="20"/>
          <w:szCs w:val="20"/>
          <w:color w:val="auto"/>
        </w:rPr>
      </w:pPr>
      <w:r>
        <w:rPr>
          <w:rFonts w:ascii="Arial" w:cs="Arial" w:eastAsia="Arial" w:hAnsi="Arial"/>
          <w:sz w:val="17"/>
          <w:szCs w:val="17"/>
          <w:color w:val="auto"/>
        </w:rPr>
        <w:t>Jana Schreuder brings to the Board significant risk management expertise through her roles as chief operating officer and chief risk officer at a major financial services institution. In addition, Ms. Schreuder’s technology leadership experience in her prior role as the president of operations and technology gives the Board an important technological and operational perspective.</w:t>
      </w:r>
    </w:p>
    <w:p>
      <w:pPr>
        <w:spacing w:after="0" w:line="177" w:lineRule="exact"/>
        <w:rPr>
          <w:sz w:val="20"/>
          <w:szCs w:val="20"/>
          <w:color w:val="auto"/>
        </w:rPr>
      </w:pPr>
    </w:p>
    <w:p>
      <w:pPr>
        <w:ind w:left="80" w:right="179"/>
        <w:spacing w:after="0" w:line="244" w:lineRule="auto"/>
        <w:rPr>
          <w:sz w:val="20"/>
          <w:szCs w:val="20"/>
          <w:color w:val="auto"/>
        </w:rPr>
      </w:pPr>
      <w:r>
        <w:rPr>
          <w:rFonts w:ascii="Arial" w:cs="Arial" w:eastAsia="Arial" w:hAnsi="Arial"/>
          <w:sz w:val="17"/>
          <w:szCs w:val="17"/>
          <w:color w:val="auto"/>
        </w:rPr>
        <w:t>Ms. Schreuder served as executive vice president and chief operating officer of Northern Trust Corporation from 2014 until she retired from that role in 2018. Ms. Schreuder joined Northern Trust in 1980 and during her tenure held multiple roles as a member of the management team, including service as chief risk officer from 2005 to 2006, president of operations and technology from 2006 to 2011 and president of wealth management from 2011 to 2014.</w:t>
      </w:r>
    </w:p>
    <w:p>
      <w:pPr>
        <w:spacing w:after="0" w:line="177" w:lineRule="exact"/>
        <w:rPr>
          <w:sz w:val="20"/>
          <w:szCs w:val="20"/>
          <w:color w:val="auto"/>
        </w:rPr>
      </w:pPr>
    </w:p>
    <w:p>
      <w:pPr>
        <w:ind w:left="80" w:right="99"/>
        <w:spacing w:after="0" w:line="267" w:lineRule="auto"/>
        <w:rPr>
          <w:sz w:val="20"/>
          <w:szCs w:val="20"/>
          <w:color w:val="auto"/>
        </w:rPr>
      </w:pPr>
      <w:r>
        <w:rPr>
          <w:rFonts w:ascii="Arial" w:cs="Arial" w:eastAsia="Arial" w:hAnsi="Arial"/>
          <w:sz w:val="17"/>
          <w:szCs w:val="17"/>
          <w:color w:val="auto"/>
        </w:rPr>
        <w:t>Ms. Schreuder is a member of Women Corporate Directors. Ms. Schreuder currently sits on the board of The Bank of N.T. Butterfield &amp; Son Limited. Additionally, during the past five years, she served as a director of Avantax,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46355</wp:posOffset>
            </wp:positionV>
            <wp:extent cx="56235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82"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tbl>
      <w:tblPr>
        <w:tblLayout w:type="fixed"/>
        <w:tblInd w:w="80" w:type="dxa"/>
        <w:tblCellMar>
          <w:top w:w="0" w:type="dxa"/>
          <w:left w:w="0" w:type="dxa"/>
          <w:bottom w:w="0" w:type="dxa"/>
          <w:right w:w="0" w:type="dxa"/>
        </w:tblCellMar>
      </w:tblPr>
      <w:tr>
        <w:trPr>
          <w:trHeight w:val="322"/>
        </w:trPr>
        <w:tc>
          <w:tcPr>
            <w:tcW w:w="20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Arial" w:cs="Arial" w:eastAsia="Arial" w:hAnsi="Arial"/>
                <w:sz w:val="23"/>
                <w:szCs w:val="23"/>
                <w:b w:val="1"/>
                <w:bCs w:val="1"/>
                <w:color w:val="F0533D"/>
              </w:rPr>
              <w:t>HOWARD I. UNGERLEIDER</w:t>
            </w:r>
          </w:p>
        </w:tc>
        <w:tc>
          <w:tcPr>
            <w:tcW w:w="120" w:type="dxa"/>
            <w:vAlign w:val="bottom"/>
          </w:tcPr>
          <w:p>
            <w:pPr>
              <w:spacing w:after="0"/>
              <w:rPr>
                <w:sz w:val="24"/>
                <w:szCs w:val="24"/>
                <w:color w:val="auto"/>
              </w:rPr>
            </w:pPr>
          </w:p>
        </w:tc>
      </w:tr>
      <w:tr>
        <w:trPr>
          <w:trHeight w:val="89"/>
        </w:trPr>
        <w:tc>
          <w:tcPr>
            <w:tcW w:w="2060" w:type="dxa"/>
            <w:vAlign w:val="bottom"/>
          </w:tcPr>
          <w:p>
            <w:pPr>
              <w:spacing w:after="0"/>
              <w:rPr>
                <w:sz w:val="7"/>
                <w:szCs w:val="7"/>
                <w:color w:val="auto"/>
              </w:rPr>
            </w:pPr>
          </w:p>
        </w:tc>
        <w:tc>
          <w:tcPr>
            <w:tcW w:w="6680" w:type="dxa"/>
            <w:vAlign w:val="bottom"/>
            <w:tcBorders>
              <w:bottom w:val="single" w:sz="8" w:color="F0533D"/>
            </w:tcBorders>
          </w:tcPr>
          <w:p>
            <w:pPr>
              <w:spacing w:after="0"/>
              <w:rPr>
                <w:sz w:val="7"/>
                <w:szCs w:val="7"/>
                <w:color w:val="auto"/>
              </w:rPr>
            </w:pPr>
          </w:p>
        </w:tc>
        <w:tc>
          <w:tcPr>
            <w:tcW w:w="120" w:type="dxa"/>
            <w:vAlign w:val="bottom"/>
          </w:tcPr>
          <w:p>
            <w:pPr>
              <w:spacing w:after="0"/>
              <w:rPr>
                <w:sz w:val="7"/>
                <w:szCs w:val="7"/>
                <w:color w:val="auto"/>
              </w:rPr>
            </w:pPr>
          </w:p>
        </w:tc>
      </w:tr>
      <w:tr>
        <w:trPr>
          <w:trHeight w:val="268"/>
        </w:trPr>
        <w:tc>
          <w:tcPr>
            <w:tcW w:w="2060" w:type="dxa"/>
            <w:vAlign w:val="bottom"/>
          </w:tcPr>
          <w:p>
            <w:pPr>
              <w:spacing w:after="0"/>
              <w:rPr>
                <w:sz w:val="23"/>
                <w:szCs w:val="23"/>
                <w:color w:val="auto"/>
              </w:rPr>
            </w:pPr>
          </w:p>
        </w:tc>
        <w:tc>
          <w:tcPr>
            <w:tcW w:w="6680" w:type="dxa"/>
            <w:vAlign w:val="bottom"/>
          </w:tcPr>
          <w:p>
            <w:pPr>
              <w:spacing w:after="0"/>
              <w:rPr>
                <w:sz w:val="20"/>
                <w:szCs w:val="20"/>
                <w:color w:val="auto"/>
              </w:rPr>
            </w:pPr>
            <w:r>
              <w:rPr>
                <w:rFonts w:ascii="Arial" w:cs="Arial" w:eastAsia="Arial" w:hAnsi="Arial"/>
                <w:sz w:val="17"/>
                <w:szCs w:val="17"/>
                <w:b w:val="1"/>
                <w:bCs w:val="1"/>
                <w:color w:val="F0533D"/>
              </w:rPr>
              <w:t xml:space="preserve">RETIRED PRESIDENT AND CHIEF FINANCIAL OFFICER, DOW INC., </w:t>
            </w:r>
            <w:r>
              <w:rPr>
                <w:rFonts w:ascii="Arial" w:cs="Arial" w:eastAsia="Arial" w:hAnsi="Arial"/>
                <w:sz w:val="17"/>
                <w:szCs w:val="17"/>
                <w:color w:val="000000"/>
              </w:rPr>
              <w:t>a materials,</w:t>
            </w:r>
          </w:p>
        </w:tc>
        <w:tc>
          <w:tcPr>
            <w:tcW w:w="120" w:type="dxa"/>
            <w:vAlign w:val="bottom"/>
          </w:tcPr>
          <w:p>
            <w:pPr>
              <w:spacing w:after="0"/>
              <w:rPr>
                <w:sz w:val="23"/>
                <w:szCs w:val="23"/>
                <w:color w:val="auto"/>
              </w:rPr>
            </w:pPr>
          </w:p>
        </w:tc>
      </w:tr>
      <w:tr>
        <w:trPr>
          <w:trHeight w:val="225"/>
        </w:trPr>
        <w:tc>
          <w:tcPr>
            <w:tcW w:w="206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polymer, chemicals and biological sciences enterprise</w:t>
            </w:r>
          </w:p>
        </w:tc>
        <w:tc>
          <w:tcPr>
            <w:tcW w:w="120" w:type="dxa"/>
            <w:vAlign w:val="bottom"/>
          </w:tcPr>
          <w:p>
            <w:pPr>
              <w:spacing w:after="0"/>
              <w:rPr>
                <w:sz w:val="19"/>
                <w:szCs w:val="19"/>
                <w:color w:val="auto"/>
              </w:rPr>
            </w:pPr>
          </w:p>
        </w:tc>
      </w:tr>
      <w:tr>
        <w:trPr>
          <w:trHeight w:val="402"/>
        </w:trPr>
        <w:tc>
          <w:tcPr>
            <w:tcW w:w="20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Compensation and Human Capital</w:t>
            </w:r>
          </w:p>
        </w:tc>
        <w:tc>
          <w:tcPr>
            <w:tcW w:w="120" w:type="dxa"/>
            <w:vAlign w:val="bottom"/>
          </w:tcPr>
          <w:p>
            <w:pPr>
              <w:spacing w:after="0"/>
              <w:rPr>
                <w:sz w:val="24"/>
                <w:szCs w:val="24"/>
                <w:color w:val="auto"/>
              </w:rPr>
            </w:pPr>
          </w:p>
        </w:tc>
      </w:tr>
      <w:tr>
        <w:trPr>
          <w:trHeight w:val="351"/>
        </w:trPr>
        <w:tc>
          <w:tcPr>
            <w:tcW w:w="2060" w:type="dxa"/>
            <w:vAlign w:val="bottom"/>
          </w:tcPr>
          <w:p>
            <w:pPr>
              <w:spacing w:after="0"/>
              <w:rPr>
                <w:sz w:val="24"/>
                <w:szCs w:val="24"/>
                <w:color w:val="auto"/>
              </w:rPr>
            </w:pPr>
          </w:p>
        </w:tc>
        <w:tc>
          <w:tcPr>
            <w:tcW w:w="6680" w:type="dxa"/>
            <w:vAlign w:val="bottom"/>
          </w:tcPr>
          <w:p>
            <w:pPr>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57</w:t>
            </w:r>
          </w:p>
        </w:tc>
        <w:tc>
          <w:tcPr>
            <w:tcW w:w="120" w:type="dxa"/>
            <w:vAlign w:val="bottom"/>
          </w:tcPr>
          <w:p>
            <w:pPr>
              <w:spacing w:after="0"/>
              <w:rPr>
                <w:sz w:val="24"/>
                <w:szCs w:val="24"/>
                <w:color w:val="auto"/>
              </w:rPr>
            </w:pPr>
          </w:p>
        </w:tc>
      </w:tr>
      <w:tr>
        <w:trPr>
          <w:trHeight w:val="386"/>
        </w:trPr>
        <w:tc>
          <w:tcPr>
            <w:tcW w:w="2060" w:type="dxa"/>
            <w:vAlign w:val="bottom"/>
          </w:tcPr>
          <w:p>
            <w:pPr>
              <w:spacing w:after="0"/>
              <w:rPr>
                <w:sz w:val="20"/>
                <w:szCs w:val="20"/>
                <w:color w:val="auto"/>
              </w:rPr>
            </w:pPr>
            <w:r>
              <w:rPr>
                <w:rFonts w:ascii="Arial" w:cs="Arial" w:eastAsia="Arial" w:hAnsi="Arial"/>
                <w:sz w:val="23"/>
                <w:szCs w:val="23"/>
                <w:b w:val="1"/>
                <w:bCs w:val="1"/>
                <w:color w:val="F0533D"/>
              </w:rPr>
              <w:t> </w:t>
            </w:r>
          </w:p>
        </w:tc>
        <w:tc>
          <w:tcPr>
            <w:tcW w:w="6680" w:type="dxa"/>
            <w:vAlign w:val="bottom"/>
          </w:tcPr>
          <w:p>
            <w:pPr>
              <w:spacing w:after="0"/>
              <w:rPr>
                <w:sz w:val="20"/>
                <w:szCs w:val="20"/>
                <w:color w:val="auto"/>
              </w:rPr>
            </w:pP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tc>
        <w:tc>
          <w:tcPr>
            <w:tcW w:w="120" w:type="dxa"/>
            <w:vAlign w:val="bottom"/>
          </w:tcPr>
          <w:p>
            <w:pPr>
              <w:spacing w:after="0"/>
              <w:rPr>
                <w:sz w:val="24"/>
                <w:szCs w:val="24"/>
                <w:color w:val="auto"/>
              </w:rPr>
            </w:pPr>
          </w:p>
        </w:tc>
      </w:tr>
      <w:tr>
        <w:trPr>
          <w:trHeight w:val="184"/>
        </w:trPr>
        <w:tc>
          <w:tcPr>
            <w:tcW w:w="2060" w:type="dxa"/>
            <w:vAlign w:val="bottom"/>
            <w:tcBorders>
              <w:bottom w:val="single" w:sz="8" w:color="F0533D"/>
            </w:tcBorders>
          </w:tcPr>
          <w:p>
            <w:pPr>
              <w:spacing w:after="0"/>
              <w:rPr>
                <w:sz w:val="16"/>
                <w:szCs w:val="16"/>
                <w:color w:val="auto"/>
              </w:rPr>
            </w:pPr>
          </w:p>
        </w:tc>
        <w:tc>
          <w:tcPr>
            <w:tcW w:w="6680" w:type="dxa"/>
            <w:vAlign w:val="bottom"/>
            <w:tcBorders>
              <w:bottom w:val="single" w:sz="8" w:color="F0533D"/>
            </w:tcBorders>
          </w:tcPr>
          <w:p>
            <w:pPr>
              <w:spacing w:after="0"/>
              <w:rPr>
                <w:sz w:val="16"/>
                <w:szCs w:val="16"/>
                <w:color w:val="auto"/>
              </w:rPr>
            </w:pPr>
          </w:p>
        </w:tc>
        <w:tc>
          <w:tcPr>
            <w:tcW w:w="120" w:type="dxa"/>
            <w:vAlign w:val="bottom"/>
            <w:tcBorders>
              <w:bottom w:val="single" w:sz="8" w:color="F0533D"/>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-1422400</wp:posOffset>
            </wp:positionV>
            <wp:extent cx="5623560" cy="36518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23560" cy="365188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6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Qualifications, Attributes and Skills</w:t>
      </w:r>
    </w:p>
    <w:p>
      <w:pPr>
        <w:spacing w:after="0" w:line="291" w:lineRule="exact"/>
        <w:rPr>
          <w:sz w:val="20"/>
          <w:szCs w:val="20"/>
          <w:color w:val="auto"/>
        </w:rPr>
      </w:pPr>
    </w:p>
    <w:p>
      <w:pPr>
        <w:ind w:left="400" w:right="180"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former</w:t>
      </w:r>
      <w:r>
        <w:rPr>
          <w:rFonts w:ascii="Arial" w:cs="Arial" w:eastAsia="Arial" w:hAnsi="Arial"/>
          <w:sz w:val="17"/>
          <w:szCs w:val="17"/>
          <w:color w:val="F0533D"/>
        </w:rPr>
        <w:t xml:space="preserve"> </w:t>
      </w:r>
      <w:r>
        <w:rPr>
          <w:rFonts w:ascii="Arial" w:cs="Arial" w:eastAsia="Arial" w:hAnsi="Arial"/>
          <w:sz w:val="17"/>
          <w:szCs w:val="17"/>
          <w:color w:val="000000"/>
        </w:rPr>
        <w:t>president and chief financial officer of Dow Inc.</w:t>
      </w:r>
    </w:p>
    <w:p>
      <w:pPr>
        <w:spacing w:after="0" w:line="159" w:lineRule="exact"/>
        <w:rPr>
          <w:sz w:val="20"/>
          <w:szCs w:val="20"/>
          <w:color w:val="auto"/>
        </w:rPr>
      </w:pPr>
    </w:p>
    <w:p>
      <w:pPr>
        <w:jc w:val="both"/>
        <w:ind w:left="400" w:right="280"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Financial expertise</w:t>
      </w:r>
      <w:r>
        <w:rPr>
          <w:rFonts w:ascii="Arial" w:cs="Arial" w:eastAsia="Arial" w:hAnsi="Arial"/>
          <w:sz w:val="17"/>
          <w:szCs w:val="17"/>
          <w:color w:val="F0533D"/>
        </w:rPr>
        <w:t xml:space="preserve"> </w:t>
      </w:r>
      <w:r>
        <w:rPr>
          <w:rFonts w:ascii="Arial" w:cs="Arial" w:eastAsia="Arial" w:hAnsi="Arial"/>
          <w:sz w:val="17"/>
          <w:szCs w:val="17"/>
          <w:color w:val="000000"/>
        </w:rPr>
        <w:t>as former chief financial</w:t>
      </w:r>
      <w:r>
        <w:rPr>
          <w:rFonts w:ascii="Arial" w:cs="Arial" w:eastAsia="Arial" w:hAnsi="Arial"/>
          <w:sz w:val="17"/>
          <w:szCs w:val="17"/>
          <w:color w:val="F0533D"/>
        </w:rPr>
        <w:t xml:space="preserve"> </w:t>
      </w:r>
      <w:r>
        <w:rPr>
          <w:rFonts w:ascii="Arial" w:cs="Arial" w:eastAsia="Arial" w:hAnsi="Arial"/>
          <w:sz w:val="17"/>
          <w:szCs w:val="17"/>
          <w:color w:val="000000"/>
        </w:rPr>
        <w:t>officer of Dow Inc., DowDuPont and The Dow Chemical Company</w:t>
      </w:r>
    </w:p>
    <w:p>
      <w:pPr>
        <w:spacing w:after="0" w:line="175" w:lineRule="exact"/>
        <w:rPr>
          <w:sz w:val="20"/>
          <w:szCs w:val="20"/>
          <w:color w:val="auto"/>
        </w:rPr>
      </w:pPr>
    </w:p>
    <w:p>
      <w:pPr>
        <w:ind w:left="400" w:right="240"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Managed the financial complexities of the</w:t>
      </w:r>
      <w:r>
        <w:rPr>
          <w:rFonts w:ascii="Arial" w:cs="Arial" w:eastAsia="Arial" w:hAnsi="Arial"/>
          <w:sz w:val="17"/>
          <w:szCs w:val="17"/>
          <w:color w:val="F0533D"/>
        </w:rPr>
        <w:t xml:space="preserve"> </w:t>
      </w:r>
      <w:r>
        <w:rPr>
          <w:rFonts w:ascii="Arial" w:cs="Arial" w:eastAsia="Arial" w:hAnsi="Arial"/>
          <w:sz w:val="17"/>
          <w:szCs w:val="17"/>
          <w:b w:val="1"/>
          <w:bCs w:val="1"/>
          <w:color w:val="F0533D"/>
        </w:rPr>
        <w:t xml:space="preserve">historic merge-and-spin of DowDuPont, </w:t>
      </w:r>
      <w:r>
        <w:rPr>
          <w:rFonts w:ascii="Arial" w:cs="Arial" w:eastAsia="Arial" w:hAnsi="Arial"/>
          <w:sz w:val="17"/>
          <w:szCs w:val="17"/>
          <w:color w:val="000000"/>
        </w:rPr>
        <w:t>an</w:t>
      </w:r>
      <w:r>
        <w:rPr>
          <w:rFonts w:ascii="Arial" w:cs="Arial" w:eastAsia="Arial" w:hAnsi="Arial"/>
          <w:sz w:val="17"/>
          <w:szCs w:val="17"/>
          <w:b w:val="1"/>
          <w:bCs w:val="1"/>
          <w:color w:val="F0533D"/>
        </w:rPr>
        <w:t xml:space="preserve"> </w:t>
      </w:r>
      <w:r>
        <w:rPr>
          <w:rFonts w:ascii="Arial" w:cs="Arial" w:eastAsia="Arial" w:hAnsi="Arial"/>
          <w:sz w:val="17"/>
          <w:szCs w:val="17"/>
          <w:color w:val="000000"/>
        </w:rPr>
        <w:t>$86 billion holding company comprised of The Dow Chemical Company and DuPont from September 2017 to April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5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Financial leadership</w:t>
      </w:r>
      <w:r>
        <w:rPr>
          <w:rFonts w:ascii="Arial" w:cs="Arial" w:eastAsia="Arial" w:hAnsi="Arial"/>
          <w:sz w:val="17"/>
          <w:szCs w:val="17"/>
          <w:color w:val="F0533D"/>
        </w:rPr>
        <w:t xml:space="preserve"> </w:t>
      </w:r>
      <w:r>
        <w:rPr>
          <w:rFonts w:ascii="Arial" w:cs="Arial" w:eastAsia="Arial" w:hAnsi="Arial"/>
          <w:sz w:val="17"/>
          <w:szCs w:val="17"/>
          <w:color w:val="000000"/>
        </w:rPr>
        <w:t>managing The Dow Chemical</w:t>
      </w:r>
      <w:r>
        <w:rPr>
          <w:rFonts w:ascii="Arial" w:cs="Arial" w:eastAsia="Arial" w:hAnsi="Arial"/>
          <w:sz w:val="17"/>
          <w:szCs w:val="17"/>
          <w:color w:val="F0533D"/>
        </w:rPr>
        <w:t xml:space="preserve"> </w:t>
      </w:r>
      <w:r>
        <w:rPr>
          <w:rFonts w:ascii="Arial" w:cs="Arial" w:eastAsia="Arial" w:hAnsi="Arial"/>
          <w:sz w:val="17"/>
          <w:szCs w:val="17"/>
          <w:color w:val="000000"/>
        </w:rPr>
        <w:t>Company’s strategic ownership restructuring of its Dow Corning Corporation silicones business joint venture completed in 2016</w:t>
      </w:r>
    </w:p>
    <w:p>
      <w:pPr>
        <w:spacing w:after="0" w:line="177" w:lineRule="exact"/>
        <w:rPr>
          <w:sz w:val="20"/>
          <w:szCs w:val="20"/>
          <w:color w:val="auto"/>
        </w:rPr>
      </w:pPr>
    </w:p>
    <w:p>
      <w:pPr>
        <w:ind w:right="29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Affiliation with leading business and public</w:t>
      </w:r>
      <w:r>
        <w:rPr>
          <w:rFonts w:ascii="Arial" w:cs="Arial" w:eastAsia="Arial" w:hAnsi="Arial"/>
          <w:sz w:val="17"/>
          <w:szCs w:val="17"/>
          <w:color w:val="F0533D"/>
        </w:rPr>
        <w:t xml:space="preserve"> </w:t>
      </w:r>
      <w:r>
        <w:rPr>
          <w:rFonts w:ascii="Arial" w:cs="Arial" w:eastAsia="Arial" w:hAnsi="Arial"/>
          <w:sz w:val="17"/>
          <w:szCs w:val="17"/>
          <w:b w:val="1"/>
          <w:bCs w:val="1"/>
          <w:color w:val="F0533D"/>
        </w:rPr>
        <w:t xml:space="preserve">policy associations </w:t>
      </w:r>
      <w:r>
        <w:rPr>
          <w:rFonts w:ascii="Arial" w:cs="Arial" w:eastAsia="Arial" w:hAnsi="Arial"/>
          <w:sz w:val="17"/>
          <w:szCs w:val="17"/>
          <w:color w:val="000000"/>
        </w:rPr>
        <w:t>as the immediate past chair of</w:t>
      </w:r>
      <w:r>
        <w:rPr>
          <w:rFonts w:ascii="Arial" w:cs="Arial" w:eastAsia="Arial" w:hAnsi="Arial"/>
          <w:sz w:val="17"/>
          <w:szCs w:val="17"/>
          <w:b w:val="1"/>
          <w:bCs w:val="1"/>
          <w:color w:val="F0533D"/>
        </w:rPr>
        <w:t xml:space="preserve"> </w:t>
      </w:r>
      <w:r>
        <w:rPr>
          <w:rFonts w:ascii="Arial" w:cs="Arial" w:eastAsia="Arial" w:hAnsi="Arial"/>
          <w:sz w:val="17"/>
          <w:szCs w:val="17"/>
          <w:color w:val="000000"/>
        </w:rPr>
        <w:t>the Business Leaders for Michigan business roundtable</w:t>
      </w:r>
    </w:p>
    <w:p>
      <w:pPr>
        <w:spacing w:after="0" w:line="177" w:lineRule="exact"/>
        <w:rPr>
          <w:sz w:val="20"/>
          <w:szCs w:val="20"/>
          <w:color w:val="auto"/>
        </w:rPr>
      </w:pPr>
    </w:p>
    <w:p>
      <w:pPr>
        <w:jc w:val="both"/>
        <w:ind w:right="33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a director of Phillips</w:t>
      </w:r>
      <w:r>
        <w:rPr>
          <w:rFonts w:ascii="Arial" w:cs="Arial" w:eastAsia="Arial" w:hAnsi="Arial"/>
          <w:sz w:val="17"/>
          <w:szCs w:val="17"/>
          <w:color w:val="F0533D"/>
        </w:rPr>
        <w:t xml:space="preserve"> </w:t>
      </w:r>
      <w:r>
        <w:rPr>
          <w:rFonts w:ascii="Arial" w:cs="Arial" w:eastAsia="Arial" w:hAnsi="Arial"/>
          <w:sz w:val="17"/>
          <w:szCs w:val="17"/>
          <w:color w:val="000000"/>
        </w:rPr>
        <w:t>66, Air Products and Chemical, Inc. and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133350</wp:posOffset>
            </wp:positionV>
            <wp:extent cx="56235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4199"/>
          </w:cols>
          <w:pgMar w:left="1440" w:top="114" w:right="1440" w:bottom="1440" w:gutter="0" w:footer="0" w:header="0"/>
          <w:type w:val="continuous"/>
        </w:sectPr>
      </w:pPr>
    </w:p>
    <w:p>
      <w:pPr>
        <w:spacing w:after="0" w:line="3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239"/>
        <w:spacing w:after="0" w:line="249" w:lineRule="auto"/>
        <w:rPr>
          <w:sz w:val="20"/>
          <w:szCs w:val="20"/>
          <w:color w:val="auto"/>
        </w:rPr>
      </w:pPr>
      <w:r>
        <w:rPr>
          <w:rFonts w:ascii="Arial" w:cs="Arial" w:eastAsia="Arial" w:hAnsi="Arial"/>
          <w:sz w:val="17"/>
          <w:szCs w:val="17"/>
          <w:color w:val="auto"/>
        </w:rPr>
        <w:t>Howard Ungerleider’s extensive financial acumen and leadership experience brings an important perspective to the Board. His vast strategic and transformation expertise, including managing the financial implications of a historic merger and spinoff, are key capabilities that make him a valuable member of the Board.</w:t>
      </w:r>
    </w:p>
    <w:p>
      <w:pPr>
        <w:spacing w:after="0" w:line="175" w:lineRule="exact"/>
        <w:rPr>
          <w:sz w:val="20"/>
          <w:szCs w:val="20"/>
          <w:color w:val="auto"/>
        </w:rPr>
      </w:pPr>
    </w:p>
    <w:p>
      <w:pPr>
        <w:ind w:left="80" w:right="179"/>
        <w:spacing w:after="0" w:line="241" w:lineRule="auto"/>
        <w:rPr>
          <w:sz w:val="20"/>
          <w:szCs w:val="20"/>
          <w:color w:val="auto"/>
        </w:rPr>
      </w:pPr>
      <w:r>
        <w:rPr>
          <w:rFonts w:ascii="Arial" w:cs="Arial" w:eastAsia="Arial" w:hAnsi="Arial"/>
          <w:sz w:val="17"/>
          <w:szCs w:val="17"/>
          <w:color w:val="auto"/>
        </w:rPr>
        <w:t>Mr. Ungerleider served as a public company chief financial officer for a decade, beginning with The Dow Chemical Company from 2014 to 2015. He then became the chief financial officer of DowDuPont effective upon the merger of The Dow Chemical Company and E.I. du Pont de Nemours and Company, a role he held until 2019 when Dow Inc. separated from DowDuPont. Mr. Ungerleider then served as chief financial officer of Dow Inc. through 2023. He also served as president of Dow Inc. from 2019 through 2023, before retiring from the company in January 2024.</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 January 2024, Mr. Ungerleider was appointed as an Operating Advisor to Clayton, Dubilier &amp; Rice funds.</w:t>
      </w:r>
    </w:p>
    <w:p>
      <w:pPr>
        <w:spacing w:after="0" w:line="210" w:lineRule="exact"/>
        <w:rPr>
          <w:sz w:val="20"/>
          <w:szCs w:val="20"/>
          <w:color w:val="auto"/>
        </w:rPr>
      </w:pPr>
    </w:p>
    <w:p>
      <w:pPr>
        <w:ind w:left="80" w:right="99"/>
        <w:spacing w:after="0" w:line="244" w:lineRule="auto"/>
        <w:rPr>
          <w:sz w:val="20"/>
          <w:szCs w:val="20"/>
          <w:color w:val="auto"/>
        </w:rPr>
      </w:pPr>
      <w:r>
        <w:rPr>
          <w:rFonts w:ascii="Arial" w:cs="Arial" w:eastAsia="Arial" w:hAnsi="Arial"/>
          <w:sz w:val="17"/>
          <w:szCs w:val="17"/>
          <w:color w:val="auto"/>
        </w:rPr>
        <w:t>Mr. Ungerleider previously served as chairman of the Dow Company Foundation. He currently serves on the Board of Directors of Phillips 66, Air Products and Chemical, Inc. and American Airlines Group Inc. He also serves on the Board of Directors of the Rollin M. Gerstacker Foundation and the Michigan Baseball Foundation. Mr. Ungerleider is the immediate past chair of the Business Leaders for Michigan business roundtable.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57785</wp:posOffset>
            </wp:positionV>
            <wp:extent cx="56235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Directors Continuing in Office</w:t>
      </w:r>
    </w:p>
    <w:p>
      <w:pPr>
        <w:spacing w:after="0" w:line="257" w:lineRule="exact"/>
        <w:rPr>
          <w:sz w:val="20"/>
          <w:szCs w:val="20"/>
          <w:color w:val="auto"/>
        </w:rPr>
      </w:pPr>
    </w:p>
    <w:p>
      <w:pPr>
        <w:ind w:left="2140"/>
        <w:spacing w:after="0"/>
        <w:rPr>
          <w:sz w:val="20"/>
          <w:szCs w:val="20"/>
          <w:color w:val="auto"/>
        </w:rPr>
      </w:pPr>
      <w:r>
        <w:rPr>
          <w:rFonts w:ascii="Arial" w:cs="Arial" w:eastAsia="Arial" w:hAnsi="Arial"/>
          <w:sz w:val="23"/>
          <w:szCs w:val="23"/>
          <w:b w:val="1"/>
          <w:bCs w:val="1"/>
          <w:color w:val="F0533D"/>
        </w:rPr>
        <w:t>DOMINIC J.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-154940</wp:posOffset>
            </wp:positionV>
            <wp:extent cx="5554980" cy="11061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54980" cy="1106170"/>
                    </a:xfrm>
                    <a:prstGeom prst="rect">
                      <a:avLst/>
                    </a:prstGeom>
                    <a:noFill/>
                  </pic:spPr>
                </pic:pic>
              </a:graphicData>
            </a:graphic>
          </wp:anchor>
        </w:drawing>
      </w: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RETIRED EXECUTIVE VICE PRESIDENT AND CHIEF FINANCIAL OFFICER,</w:t>
      </w:r>
    </w:p>
    <w:p>
      <w:pPr>
        <w:spacing w:after="0" w:line="10"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JOHNSON &amp; JOHNSON, </w:t>
      </w:r>
      <w:r>
        <w:rPr>
          <w:rFonts w:ascii="Arial" w:cs="Arial" w:eastAsia="Arial" w:hAnsi="Arial"/>
          <w:sz w:val="17"/>
          <w:szCs w:val="17"/>
          <w:color w:val="000000"/>
        </w:rPr>
        <w:t>a global healthcare products company</w:t>
      </w:r>
    </w:p>
    <w:p>
      <w:pPr>
        <w:spacing w:after="0" w:line="180"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Audit (Chair)</w:t>
      </w:r>
    </w:p>
    <w:p>
      <w:pPr>
        <w:spacing w:after="0" w:line="156"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68</w:t>
      </w:r>
    </w:p>
    <w:p>
      <w:pPr>
        <w:spacing w:after="0" w:line="74" w:lineRule="exact"/>
        <w:rPr>
          <w:sz w:val="20"/>
          <w:szCs w:val="20"/>
          <w:color w:val="auto"/>
        </w:rPr>
      </w:pPr>
    </w:p>
    <w:p>
      <w:pPr>
        <w:ind w:left="80"/>
        <w:spacing w:after="0"/>
        <w:tabs>
          <w:tab w:leader="none" w:pos="2120" w:val="left"/>
        </w:tabs>
        <w:rPr>
          <w:sz w:val="20"/>
          <w:szCs w:val="20"/>
          <w:color w:val="auto"/>
        </w:rPr>
      </w:pPr>
      <w:r>
        <w:rPr>
          <w:rFonts w:ascii="Arial" w:cs="Arial" w:eastAsia="Arial" w:hAnsi="Arial"/>
          <w:sz w:val="23"/>
          <w:szCs w:val="23"/>
          <w:b w:val="1"/>
          <w:bCs w:val="1"/>
          <w:color w:val="F0533D"/>
        </w:rPr>
        <w:t> </w:t>
      </w:r>
      <w:r>
        <w:rPr>
          <w:sz w:val="20"/>
          <w:szCs w:val="20"/>
          <w:color w:val="auto"/>
        </w:rPr>
        <w:tab/>
      </w: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146685</wp:posOffset>
            </wp:positionV>
            <wp:extent cx="5623560" cy="15005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23560" cy="150050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Qualifications, Attributes and Skills</w:t>
      </w:r>
    </w:p>
    <w:p>
      <w:pPr>
        <w:spacing w:after="0" w:line="291" w:lineRule="exact"/>
        <w:rPr>
          <w:sz w:val="20"/>
          <w:szCs w:val="20"/>
          <w:color w:val="auto"/>
        </w:rPr>
      </w:pPr>
    </w:p>
    <w:p>
      <w:pPr>
        <w:ind w:left="400" w:right="260"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former chief</w:t>
      </w:r>
      <w:r>
        <w:rPr>
          <w:rFonts w:ascii="Arial" w:cs="Arial" w:eastAsia="Arial" w:hAnsi="Arial"/>
          <w:sz w:val="17"/>
          <w:szCs w:val="17"/>
          <w:color w:val="F0533D"/>
        </w:rPr>
        <w:t xml:space="preserve"> </w:t>
      </w:r>
      <w:r>
        <w:rPr>
          <w:rFonts w:ascii="Arial" w:cs="Arial" w:eastAsia="Arial" w:hAnsi="Arial"/>
          <w:sz w:val="17"/>
          <w:szCs w:val="17"/>
          <w:color w:val="000000"/>
        </w:rPr>
        <w:t>financial officer of Johnson &amp; Johnson</w:t>
      </w:r>
    </w:p>
    <w:p>
      <w:pPr>
        <w:spacing w:after="0" w:line="159" w:lineRule="exact"/>
        <w:rPr>
          <w:sz w:val="20"/>
          <w:szCs w:val="20"/>
          <w:color w:val="auto"/>
        </w:rPr>
      </w:pPr>
    </w:p>
    <w:p>
      <w:pPr>
        <w:ind w:left="400" w:right="320"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Financial expertise</w:t>
      </w:r>
      <w:r>
        <w:rPr>
          <w:rFonts w:ascii="Arial" w:cs="Arial" w:eastAsia="Arial" w:hAnsi="Arial"/>
          <w:sz w:val="17"/>
          <w:szCs w:val="17"/>
          <w:color w:val="F0533D"/>
        </w:rPr>
        <w:t xml:space="preserve"> </w:t>
      </w:r>
      <w:r>
        <w:rPr>
          <w:rFonts w:ascii="Arial" w:cs="Arial" w:eastAsia="Arial" w:hAnsi="Arial"/>
          <w:sz w:val="17"/>
          <w:szCs w:val="17"/>
          <w:color w:val="000000"/>
        </w:rPr>
        <w:t>as former chief financial</w:t>
      </w:r>
      <w:r>
        <w:rPr>
          <w:rFonts w:ascii="Arial" w:cs="Arial" w:eastAsia="Arial" w:hAnsi="Arial"/>
          <w:sz w:val="17"/>
          <w:szCs w:val="17"/>
          <w:color w:val="F0533D"/>
        </w:rPr>
        <w:t xml:space="preserve"> </w:t>
      </w:r>
      <w:r>
        <w:rPr>
          <w:rFonts w:ascii="Arial" w:cs="Arial" w:eastAsia="Arial" w:hAnsi="Arial"/>
          <w:sz w:val="17"/>
          <w:szCs w:val="17"/>
          <w:color w:val="000000"/>
        </w:rPr>
        <w:t>officer of Johnson &amp; Johnson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59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Affiliation with leading business and public</w:t>
      </w:r>
      <w:r>
        <w:rPr>
          <w:rFonts w:ascii="Arial" w:cs="Arial" w:eastAsia="Arial" w:hAnsi="Arial"/>
          <w:sz w:val="17"/>
          <w:szCs w:val="17"/>
          <w:color w:val="F0533D"/>
        </w:rPr>
        <w:t xml:space="preserve"> </w:t>
      </w:r>
      <w:r>
        <w:rPr>
          <w:rFonts w:ascii="Arial" w:cs="Arial" w:eastAsia="Arial" w:hAnsi="Arial"/>
          <w:sz w:val="17"/>
          <w:szCs w:val="17"/>
          <w:b w:val="1"/>
          <w:bCs w:val="1"/>
          <w:color w:val="F0533D"/>
        </w:rPr>
        <w:t xml:space="preserve">policy association </w:t>
      </w:r>
      <w:r>
        <w:rPr>
          <w:rFonts w:ascii="Arial" w:cs="Arial" w:eastAsia="Arial" w:hAnsi="Arial"/>
          <w:sz w:val="17"/>
          <w:szCs w:val="17"/>
          <w:color w:val="000000"/>
        </w:rPr>
        <w:t>as former co-chair of the</w:t>
      </w:r>
      <w:r>
        <w:rPr>
          <w:rFonts w:ascii="Arial" w:cs="Arial" w:eastAsia="Arial" w:hAnsi="Arial"/>
          <w:sz w:val="17"/>
          <w:szCs w:val="17"/>
          <w:b w:val="1"/>
          <w:bCs w:val="1"/>
          <w:color w:val="F0533D"/>
        </w:rPr>
        <w:t xml:space="preserve"> </w:t>
      </w:r>
      <w:r>
        <w:rPr>
          <w:rFonts w:ascii="Arial" w:cs="Arial" w:eastAsia="Arial" w:hAnsi="Arial"/>
          <w:sz w:val="17"/>
          <w:szCs w:val="17"/>
          <w:color w:val="000000"/>
        </w:rPr>
        <w:t>U.S. Chamber of Commerce Global Initiative on Health and the Economy</w:t>
      </w:r>
    </w:p>
    <w:p>
      <w:pPr>
        <w:spacing w:after="0" w:line="177" w:lineRule="exact"/>
        <w:rPr>
          <w:sz w:val="20"/>
          <w:szCs w:val="20"/>
          <w:color w:val="auto"/>
        </w:rPr>
      </w:pPr>
    </w:p>
    <w:p>
      <w:pPr>
        <w:ind w:right="519"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lead independent</w:t>
      </w:r>
      <w:r>
        <w:rPr>
          <w:rFonts w:ascii="Arial" w:cs="Arial" w:eastAsia="Arial" w:hAnsi="Arial"/>
          <w:sz w:val="17"/>
          <w:szCs w:val="17"/>
          <w:color w:val="F0533D"/>
        </w:rPr>
        <w:t xml:space="preserve"> </w:t>
      </w:r>
      <w:r>
        <w:rPr>
          <w:rFonts w:ascii="Arial" w:cs="Arial" w:eastAsia="Arial" w:hAnsi="Arial"/>
          <w:sz w:val="17"/>
          <w:szCs w:val="17"/>
          <w:color w:val="000000"/>
        </w:rPr>
        <w:t>director of McKesson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123825</wp:posOffset>
            </wp:positionV>
            <wp:extent cx="56235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4199"/>
          </w:cols>
          <w:pgMar w:left="1440" w:top="114" w:right="1440" w:bottom="1440" w:gutter="0" w:footer="0" w:header="0"/>
          <w:type w:val="continuous"/>
        </w:sectPr>
      </w:pPr>
    </w:p>
    <w:p>
      <w:pPr>
        <w:spacing w:after="0" w:line="310"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439"/>
        <w:spacing w:after="0" w:line="249" w:lineRule="auto"/>
        <w:rPr>
          <w:sz w:val="20"/>
          <w:szCs w:val="20"/>
          <w:color w:val="auto"/>
        </w:rPr>
      </w:pPr>
      <w:r>
        <w:rPr>
          <w:rFonts w:ascii="Arial" w:cs="Arial" w:eastAsia="Arial" w:hAnsi="Arial"/>
          <w:sz w:val="17"/>
          <w:szCs w:val="17"/>
          <w:color w:val="auto"/>
        </w:rPr>
        <w:t>Dominic Caruso provides the Board with extensive global financial expertise gained through his career in various senior finance roles, including his more than decade long tenure as the chief financial officer of a Fortune 100 company. His insight into the healthcare industry furthers the value of his perspective in the boardroom.</w:t>
      </w:r>
    </w:p>
    <w:p>
      <w:pPr>
        <w:spacing w:after="0" w:line="175" w:lineRule="exact"/>
        <w:rPr>
          <w:sz w:val="20"/>
          <w:szCs w:val="20"/>
          <w:color w:val="auto"/>
        </w:rPr>
      </w:pPr>
    </w:p>
    <w:p>
      <w:pPr>
        <w:ind w:left="80" w:right="319"/>
        <w:spacing w:after="0" w:line="239" w:lineRule="auto"/>
        <w:rPr>
          <w:sz w:val="20"/>
          <w:szCs w:val="20"/>
          <w:color w:val="auto"/>
        </w:rPr>
      </w:pPr>
      <w:r>
        <w:rPr>
          <w:rFonts w:ascii="Arial" w:cs="Arial" w:eastAsia="Arial" w:hAnsi="Arial"/>
          <w:sz w:val="17"/>
          <w:szCs w:val="17"/>
          <w:color w:val="auto"/>
        </w:rPr>
        <w:t>Mr. Caruso served as the executive vice president and chief financial officer of Johnson &amp; Johnson from 2007 until his retirement in 2018. Earlier in his career, Mr. Caruso served Centocor, Inc. as vice president, finance and chief financial officer from 1994 to 1998, and as senior vice president and chief financial officer from 1998 until the acquisition of Centocor by Johnson &amp; Johnson in 1999. Mr. Caruso then joined Johnson &amp; Johnson and served in various executive positions until his appointment as the executive vice president and chief financial officer in 2007. Mr. Caruso is the lead independent director of McKesson Corporation.</w:t>
      </w:r>
    </w:p>
    <w:p>
      <w:pPr>
        <w:spacing w:after="0" w:line="182" w:lineRule="exact"/>
        <w:rPr>
          <w:sz w:val="20"/>
          <w:szCs w:val="20"/>
          <w:color w:val="auto"/>
        </w:rPr>
      </w:pPr>
    </w:p>
    <w:p>
      <w:pPr>
        <w:ind w:left="80" w:right="279"/>
        <w:spacing w:after="0" w:line="249" w:lineRule="auto"/>
        <w:rPr>
          <w:sz w:val="20"/>
          <w:szCs w:val="20"/>
          <w:color w:val="auto"/>
        </w:rPr>
      </w:pPr>
      <w:r>
        <w:rPr>
          <w:rFonts w:ascii="Arial" w:cs="Arial" w:eastAsia="Arial" w:hAnsi="Arial"/>
          <w:sz w:val="17"/>
          <w:szCs w:val="17"/>
          <w:color w:val="auto"/>
        </w:rPr>
        <w:t>Mr. Caruso previously served as the co-chair of the U.S. Chamber of Commerce Global Initiative on Health and the Economy and currently serves on the Board of Trustees of the Cystic Fibrosis Foundation. Mr. Caruso is trustee emeritus of the Children’s Hospital of Philadelphia.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56515</wp:posOffset>
            </wp:positionV>
            <wp:extent cx="56235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98"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0" w:lineRule="exact"/>
        <w:rPr>
          <w:sz w:val="20"/>
          <w:szCs w:val="20"/>
          <w:color w:val="auto"/>
        </w:rPr>
      </w:pPr>
    </w:p>
    <w:p>
      <w:pPr>
        <w:ind w:left="2140"/>
        <w:spacing w:after="0"/>
        <w:rPr>
          <w:sz w:val="20"/>
          <w:szCs w:val="20"/>
          <w:color w:val="auto"/>
        </w:rPr>
      </w:pPr>
      <w:r>
        <w:rPr>
          <w:rFonts w:ascii="Arial" w:cs="Arial" w:eastAsia="Arial" w:hAnsi="Arial"/>
          <w:sz w:val="23"/>
          <w:szCs w:val="23"/>
          <w:b w:val="1"/>
          <w:bCs w:val="1"/>
          <w:color w:val="F0533D"/>
        </w:rPr>
        <w:t>STEPHEN A.M.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-154940</wp:posOffset>
            </wp:positionV>
            <wp:extent cx="5554980" cy="11061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54980" cy="1106170"/>
                    </a:xfrm>
                    <a:prstGeom prst="rect">
                      <a:avLst/>
                    </a:prstGeom>
                    <a:noFill/>
                  </pic:spPr>
                </pic:pic>
              </a:graphicData>
            </a:graphic>
          </wp:anchor>
        </w:drawing>
      </w: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CHAIRMAN, EASYJET PLC, </w:t>
      </w:r>
      <w:r>
        <w:rPr>
          <w:rFonts w:ascii="Arial" w:cs="Arial" w:eastAsia="Arial" w:hAnsi="Arial"/>
          <w:sz w:val="17"/>
          <w:szCs w:val="17"/>
          <w:color w:val="000000"/>
        </w:rPr>
        <w:t>a leading international airline</w:t>
      </w:r>
    </w:p>
    <w:p>
      <w:pPr>
        <w:spacing w:after="0" w:line="37"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CHAIRMAN, NORDEA BANK ABP, </w:t>
      </w:r>
      <w:r>
        <w:rPr>
          <w:rFonts w:ascii="Arial" w:cs="Arial" w:eastAsia="Arial" w:hAnsi="Arial"/>
          <w:sz w:val="17"/>
          <w:szCs w:val="17"/>
          <w:color w:val="000000"/>
        </w:rPr>
        <w:t>a leading Nordic financial services group</w:t>
      </w:r>
    </w:p>
    <w:p>
      <w:pPr>
        <w:spacing w:after="0" w:line="180"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Nominating and Governance (Chair)</w:t>
      </w:r>
    </w:p>
    <w:p>
      <w:pPr>
        <w:spacing w:after="0" w:line="156"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65</w:t>
      </w:r>
    </w:p>
    <w:p>
      <w:pPr>
        <w:spacing w:after="0" w:line="47" w:lineRule="exact"/>
        <w:rPr>
          <w:sz w:val="20"/>
          <w:szCs w:val="20"/>
          <w:color w:val="auto"/>
        </w:rPr>
      </w:pPr>
    </w:p>
    <w:p>
      <w:pPr>
        <w:ind w:left="80"/>
        <w:spacing w:after="0"/>
        <w:tabs>
          <w:tab w:leader="none" w:pos="2120" w:val="left"/>
        </w:tabs>
        <w:rPr>
          <w:sz w:val="20"/>
          <w:szCs w:val="20"/>
          <w:color w:val="auto"/>
        </w:rPr>
      </w:pPr>
      <w:r>
        <w:rPr>
          <w:rFonts w:ascii="Arial" w:cs="Arial" w:eastAsia="Arial" w:hAnsi="Arial"/>
          <w:sz w:val="23"/>
          <w:szCs w:val="23"/>
          <w:b w:val="1"/>
          <w:bCs w:val="1"/>
          <w:color w:val="F0533D"/>
        </w:rPr>
        <w:t> </w:t>
      </w:r>
      <w:r>
        <w:rPr>
          <w:sz w:val="20"/>
          <w:szCs w:val="20"/>
          <w:color w:val="auto"/>
        </w:rPr>
        <w:tab/>
      </w:r>
      <w:r>
        <w:rPr>
          <w:rFonts w:ascii="Arial" w:cs="Arial" w:eastAsia="Arial" w:hAnsi="Arial"/>
          <w:sz w:val="17"/>
          <w:szCs w:val="17"/>
          <w:b w:val="1"/>
          <w:bCs w:val="1"/>
          <w:color w:val="F0533D"/>
        </w:rPr>
        <w:t xml:space="preserve">LEAD INDEPENDENT DIRECTOR: </w:t>
      </w:r>
      <w:r>
        <w:rPr>
          <w:rFonts w:ascii="Arial" w:cs="Arial" w:eastAsia="Arial" w:hAnsi="Arial"/>
          <w:sz w:val="17"/>
          <w:szCs w:val="17"/>
          <w:color w:val="000000"/>
        </w:rPr>
        <w:t>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172085</wp:posOffset>
            </wp:positionV>
            <wp:extent cx="5623560" cy="16205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23560" cy="162052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Qualifications, Attributes and Skills</w:t>
      </w:r>
    </w:p>
    <w:p>
      <w:pPr>
        <w:spacing w:after="0" w:line="291" w:lineRule="exact"/>
        <w:rPr>
          <w:sz w:val="20"/>
          <w:szCs w:val="20"/>
          <w:color w:val="auto"/>
        </w:rPr>
      </w:pPr>
    </w:p>
    <w:p>
      <w:pPr>
        <w:ind w:left="400" w:right="200"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experience</w:t>
      </w:r>
      <w:r>
        <w:rPr>
          <w:rFonts w:ascii="Arial" w:cs="Arial" w:eastAsia="Arial" w:hAnsi="Arial"/>
          <w:sz w:val="17"/>
          <w:szCs w:val="17"/>
          <w:color w:val="F0533D"/>
        </w:rPr>
        <w:t xml:space="preserve"> </w:t>
      </w:r>
      <w:r>
        <w:rPr>
          <w:rFonts w:ascii="Arial" w:cs="Arial" w:eastAsia="Arial" w:hAnsi="Arial"/>
          <w:sz w:val="17"/>
          <w:szCs w:val="17"/>
          <w:color w:val="000000"/>
        </w:rPr>
        <w:t>as former group</w:t>
      </w:r>
      <w:r>
        <w:rPr>
          <w:rFonts w:ascii="Arial" w:cs="Arial" w:eastAsia="Arial" w:hAnsi="Arial"/>
          <w:sz w:val="17"/>
          <w:szCs w:val="17"/>
          <w:color w:val="F0533D"/>
        </w:rPr>
        <w:t xml:space="preserve"> </w:t>
      </w:r>
      <w:r>
        <w:rPr>
          <w:rFonts w:ascii="Arial" w:cs="Arial" w:eastAsia="Arial" w:hAnsi="Arial"/>
          <w:sz w:val="17"/>
          <w:szCs w:val="17"/>
          <w:color w:val="000000"/>
        </w:rPr>
        <w:t>chief executive of RSA Insurance Group, of Royal Bank of Scotland Group and of British Land plc</w:t>
      </w:r>
    </w:p>
    <w:p>
      <w:pPr>
        <w:spacing w:after="0" w:line="177" w:lineRule="exact"/>
        <w:rPr>
          <w:sz w:val="20"/>
          <w:szCs w:val="20"/>
          <w:color w:val="auto"/>
        </w:rPr>
      </w:pPr>
    </w:p>
    <w:p>
      <w:pPr>
        <w:ind w:left="400" w:right="180"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Financial expertise</w:t>
      </w:r>
      <w:r>
        <w:rPr>
          <w:rFonts w:ascii="Arial" w:cs="Arial" w:eastAsia="Arial" w:hAnsi="Arial"/>
          <w:sz w:val="17"/>
          <w:szCs w:val="17"/>
          <w:color w:val="F0533D"/>
        </w:rPr>
        <w:t xml:space="preserve"> </w:t>
      </w:r>
      <w:r>
        <w:rPr>
          <w:rFonts w:ascii="Arial" w:cs="Arial" w:eastAsia="Arial" w:hAnsi="Arial"/>
          <w:sz w:val="17"/>
          <w:szCs w:val="17"/>
          <w:color w:val="000000"/>
        </w:rPr>
        <w:t>as former chief financial</w:t>
      </w:r>
      <w:r>
        <w:rPr>
          <w:rFonts w:ascii="Arial" w:cs="Arial" w:eastAsia="Arial" w:hAnsi="Arial"/>
          <w:sz w:val="17"/>
          <w:szCs w:val="17"/>
          <w:color w:val="F0533D"/>
        </w:rPr>
        <w:t xml:space="preserve"> </w:t>
      </w:r>
      <w:r>
        <w:rPr>
          <w:rFonts w:ascii="Arial" w:cs="Arial" w:eastAsia="Arial" w:hAnsi="Arial"/>
          <w:sz w:val="17"/>
          <w:szCs w:val="17"/>
          <w:color w:val="000000"/>
        </w:rPr>
        <w:t>officer of Abbey National plc and Credit Suisse First Boston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9"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chairman of easyJet</w:t>
      </w:r>
      <w:r>
        <w:rPr>
          <w:rFonts w:ascii="Arial" w:cs="Arial" w:eastAsia="Arial" w:hAnsi="Arial"/>
          <w:sz w:val="17"/>
          <w:szCs w:val="17"/>
          <w:color w:val="F0533D"/>
        </w:rPr>
        <w:t xml:space="preserve"> </w:t>
      </w:r>
      <w:r>
        <w:rPr>
          <w:rFonts w:ascii="Arial" w:cs="Arial" w:eastAsia="Arial" w:hAnsi="Arial"/>
          <w:sz w:val="17"/>
          <w:szCs w:val="17"/>
          <w:color w:val="000000"/>
        </w:rPr>
        <w:t>plc, chairman of Nordea Bank Abp, former senior independent director of Centrica plc, former director of RSA Insurance Group plc and former deputy chairman of Northern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513715</wp:posOffset>
            </wp:positionV>
            <wp:extent cx="56235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798" w:lineRule="exact"/>
        <w:rPr>
          <w:sz w:val="20"/>
          <w:szCs w:val="20"/>
          <w:color w:val="auto"/>
        </w:rPr>
      </w:pPr>
    </w:p>
    <w:p>
      <w:pPr>
        <w:sectPr>
          <w:pgSz w:w="11900" w:h="16838" w:orient="portrait"/>
          <w:cols w:equalWidth="0" w:num="2">
            <w:col w:w="4100" w:space="720"/>
            <w:col w:w="4199"/>
          </w:cols>
          <w:pgMar w:left="1440" w:top="114" w:right="1440" w:bottom="1440" w:gutter="0" w:footer="0" w:header="0"/>
          <w:type w:val="continuous"/>
        </w:sectPr>
      </w:pPr>
    </w:p>
    <w:p>
      <w:pPr>
        <w:spacing w:after="0" w:line="32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99"/>
        <w:spacing w:after="0" w:line="244" w:lineRule="auto"/>
        <w:rPr>
          <w:sz w:val="20"/>
          <w:szCs w:val="20"/>
          <w:color w:val="auto"/>
        </w:rPr>
      </w:pPr>
      <w:r>
        <w:rPr>
          <w:rFonts w:ascii="Arial" w:cs="Arial" w:eastAsia="Arial" w:hAnsi="Arial"/>
          <w:sz w:val="17"/>
          <w:szCs w:val="17"/>
          <w:color w:val="auto"/>
        </w:rPr>
        <w:t>Sir Stephen Hester’s extensive operational and financial leadership career, combined with his vast experience across many industries makes him a valuable member of the Board. In addition, the governance acumen gained through his tenure as chairman of multiple companies in different industries are key traits as the Board’s Lead Independent Director.</w:t>
      </w:r>
    </w:p>
    <w:p>
      <w:pPr>
        <w:spacing w:after="0" w:line="177" w:lineRule="exact"/>
        <w:rPr>
          <w:sz w:val="20"/>
          <w:szCs w:val="20"/>
          <w:color w:val="auto"/>
        </w:rPr>
      </w:pPr>
    </w:p>
    <w:p>
      <w:pPr>
        <w:ind w:left="80" w:right="319"/>
        <w:spacing w:after="0" w:line="267" w:lineRule="auto"/>
        <w:rPr>
          <w:sz w:val="20"/>
          <w:szCs w:val="20"/>
          <w:color w:val="auto"/>
        </w:rPr>
      </w:pPr>
      <w:r>
        <w:rPr>
          <w:rFonts w:ascii="Arial" w:cs="Arial" w:eastAsia="Arial" w:hAnsi="Arial"/>
          <w:sz w:val="17"/>
          <w:szCs w:val="17"/>
          <w:color w:val="auto"/>
        </w:rPr>
        <w:t>Sir Stephen Hester currently serves as chairman of easyJet plc and as chairman of Nordea Bank Abp. In 2024, he was knighted for services to business and to the economy in the United Kingdom’s New Year Honours list.</w:t>
      </w:r>
    </w:p>
    <w:p>
      <w:pPr>
        <w:spacing w:after="0" w:line="159" w:lineRule="exact"/>
        <w:rPr>
          <w:sz w:val="20"/>
          <w:szCs w:val="20"/>
          <w:color w:val="auto"/>
        </w:rPr>
      </w:pPr>
    </w:p>
    <w:p>
      <w:pPr>
        <w:ind w:left="80" w:right="239"/>
        <w:spacing w:after="0" w:line="238" w:lineRule="auto"/>
        <w:rPr>
          <w:sz w:val="20"/>
          <w:szCs w:val="20"/>
          <w:color w:val="auto"/>
        </w:rPr>
      </w:pPr>
      <w:r>
        <w:rPr>
          <w:rFonts w:ascii="Arial" w:cs="Arial" w:eastAsia="Arial" w:hAnsi="Arial"/>
          <w:sz w:val="17"/>
          <w:szCs w:val="17"/>
          <w:color w:val="auto"/>
        </w:rPr>
        <w:t>Sir Stephen Hester served as chief executive officer of RSA Insurance Group from 2014 until his retirement in June 2021. Prior to joining RSA, he was group chief executive of Royal Bank of Scotland from 2008 to 2013, chief executive of British Land plc from 2004 to 2008, and chief operating officer and chief financial officer of Abbey National plc from 2002 to 2004. Sir Stephen Hester began his career at Credit Suisse First Boston in 1982 and held positions of increasing responsibility, including chief financial officer and global head of the fixed income division. Additionally, during the past five years, he served as senior independent director of Centrica plc and as a director of RSA Insurance Group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60960</wp:posOffset>
            </wp:positionV>
            <wp:extent cx="56235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9" w:name="page20"/>
    <w:bookmarkEnd w:id="1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171450</wp:posOffset>
            </wp:positionV>
            <wp:extent cx="1105535" cy="11055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105535"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F0533D"/>
        </w:rPr>
        <w:t xml:space="preserve">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23"/>
          <w:szCs w:val="23"/>
          <w:b w:val="1"/>
          <w:bCs w:val="1"/>
          <w:color w:val="F0533D"/>
        </w:rPr>
        <w:t>SHIRLEY ANN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93345</wp:posOffset>
            </wp:positionV>
            <wp:extent cx="42430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226" w:lineRule="exact"/>
        <w:rPr>
          <w:sz w:val="20"/>
          <w:szCs w:val="20"/>
          <w:color w:val="auto"/>
        </w:rPr>
      </w:pPr>
    </w:p>
    <w:p>
      <w:pPr>
        <w:ind w:right="239"/>
        <w:spacing w:after="0" w:line="267" w:lineRule="auto"/>
        <w:rPr>
          <w:sz w:val="20"/>
          <w:szCs w:val="20"/>
          <w:color w:val="auto"/>
        </w:rPr>
      </w:pPr>
      <w:r>
        <w:rPr>
          <w:rFonts w:ascii="Arial" w:cs="Arial" w:eastAsia="Arial" w:hAnsi="Arial"/>
          <w:sz w:val="17"/>
          <w:szCs w:val="17"/>
          <w:b w:val="1"/>
          <w:bCs w:val="1"/>
          <w:color w:val="F0533D"/>
        </w:rPr>
        <w:t xml:space="preserve">PRESIDENT EMERITA, RENSSELAER POLYTECHNIC INSTITUTE, </w:t>
      </w:r>
      <w:r>
        <w:rPr>
          <w:rFonts w:ascii="Arial" w:cs="Arial" w:eastAsia="Arial" w:hAnsi="Arial"/>
          <w:sz w:val="17"/>
          <w:szCs w:val="17"/>
          <w:color w:val="000000"/>
        </w:rPr>
        <w:t>a leading science</w:t>
      </w:r>
      <w:r>
        <w:rPr>
          <w:rFonts w:ascii="Arial" w:cs="Arial" w:eastAsia="Arial" w:hAnsi="Arial"/>
          <w:sz w:val="17"/>
          <w:szCs w:val="17"/>
          <w:b w:val="1"/>
          <w:bCs w:val="1"/>
          <w:color w:val="F0533D"/>
        </w:rPr>
        <w:t xml:space="preserve"> </w:t>
      </w:r>
      <w:r>
        <w:rPr>
          <w:rFonts w:ascii="Arial" w:cs="Arial" w:eastAsia="Arial" w:hAnsi="Arial"/>
          <w:sz w:val="17"/>
          <w:szCs w:val="17"/>
          <w:color w:val="000000"/>
        </w:rPr>
        <w:t>and technology university that brings technical innovation to the marketplace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COMMITTEE: </w:t>
      </w:r>
      <w:r>
        <w:rPr>
          <w:rFonts w:ascii="Arial" w:cs="Arial" w:eastAsia="Arial" w:hAnsi="Arial"/>
          <w:sz w:val="17"/>
          <w:szCs w:val="17"/>
          <w:color w:val="000000"/>
        </w:rPr>
        <w:t>Nominating and Governance</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79</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 xml:space="preserve">INDEPENDENT DIRECTOR: </w:t>
      </w:r>
      <w:r>
        <w:rPr>
          <w:rFonts w:ascii="Arial" w:cs="Arial" w:eastAsia="Arial" w:hAnsi="Arial"/>
          <w:sz w:val="17"/>
          <w:szCs w:val="17"/>
          <w:color w:val="000000"/>
        </w:rPr>
        <w:t>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-1310005</wp:posOffset>
            </wp:positionH>
            <wp:positionV relativeFrom="paragraph">
              <wp:posOffset>113030</wp:posOffset>
            </wp:positionV>
            <wp:extent cx="5623560" cy="30943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23560" cy="309435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1620" w:space="520"/>
            <w:col w:w="6879"/>
          </w:cols>
          <w:pgMar w:left="1440" w:top="114" w:right="1440" w:bottom="1440" w:gutter="0" w:footer="0" w:header="0"/>
        </w:sectPr>
      </w:pPr>
    </w:p>
    <w:p>
      <w:pPr>
        <w:spacing w:after="0" w:line="23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Qualifications, Attributes and Skills</w:t>
      </w:r>
    </w:p>
    <w:p>
      <w:pPr>
        <w:spacing w:after="0" w:line="291" w:lineRule="exact"/>
        <w:rPr>
          <w:sz w:val="20"/>
          <w:szCs w:val="20"/>
          <w:color w:val="auto"/>
        </w:rPr>
      </w:pPr>
    </w:p>
    <w:p>
      <w:pPr>
        <w:ind w:left="400" w:right="340" w:hanging="154"/>
        <w:spacing w:after="0" w:line="273"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w:t>
      </w:r>
      <w:r>
        <w:rPr>
          <w:rFonts w:ascii="Arial" w:cs="Arial" w:eastAsia="Arial" w:hAnsi="Arial"/>
          <w:sz w:val="16"/>
          <w:szCs w:val="16"/>
          <w:color w:val="F0533D"/>
        </w:rPr>
        <w:t xml:space="preserve"> </w:t>
      </w:r>
      <w:r>
        <w:rPr>
          <w:rFonts w:ascii="Arial" w:cs="Arial" w:eastAsia="Arial" w:hAnsi="Arial"/>
          <w:sz w:val="16"/>
          <w:szCs w:val="16"/>
          <w:b w:val="1"/>
          <w:bCs w:val="1"/>
          <w:color w:val="F0533D"/>
        </w:rPr>
        <w:t>Leadership and technology, digital and/or</w:t>
      </w:r>
      <w:r>
        <w:rPr>
          <w:rFonts w:ascii="Arial" w:cs="Arial" w:eastAsia="Arial" w:hAnsi="Arial"/>
          <w:sz w:val="16"/>
          <w:szCs w:val="16"/>
          <w:color w:val="F0533D"/>
        </w:rPr>
        <w:t xml:space="preserve"> </w:t>
      </w:r>
      <w:r>
        <w:rPr>
          <w:rFonts w:ascii="Arial" w:cs="Arial" w:eastAsia="Arial" w:hAnsi="Arial"/>
          <w:sz w:val="16"/>
          <w:szCs w:val="16"/>
          <w:b w:val="1"/>
          <w:bCs w:val="1"/>
          <w:color w:val="F0533D"/>
        </w:rPr>
        <w:t xml:space="preserve">cybersecurity experience </w:t>
      </w:r>
      <w:r>
        <w:rPr>
          <w:rFonts w:ascii="Arial" w:cs="Arial" w:eastAsia="Arial" w:hAnsi="Arial"/>
          <w:sz w:val="16"/>
          <w:szCs w:val="16"/>
          <w:color w:val="000000"/>
        </w:rPr>
        <w:t>as president</w:t>
      </w:r>
      <w:r>
        <w:rPr>
          <w:rFonts w:ascii="Arial" w:cs="Arial" w:eastAsia="Arial" w:hAnsi="Arial"/>
          <w:sz w:val="16"/>
          <w:szCs w:val="16"/>
          <w:b w:val="1"/>
          <w:bCs w:val="1"/>
          <w:color w:val="F0533D"/>
        </w:rPr>
        <w:t xml:space="preserve"> </w:t>
      </w:r>
      <w:r>
        <w:rPr>
          <w:rFonts w:ascii="Arial" w:cs="Arial" w:eastAsia="Arial" w:hAnsi="Arial"/>
          <w:sz w:val="16"/>
          <w:szCs w:val="16"/>
          <w:color w:val="000000"/>
        </w:rPr>
        <w:t>emerita of Rensselaer Polytechnic Institute</w:t>
      </w:r>
    </w:p>
    <w:p>
      <w:pPr>
        <w:spacing w:after="0" w:line="169" w:lineRule="exact"/>
        <w:rPr>
          <w:sz w:val="20"/>
          <w:szCs w:val="20"/>
          <w:color w:val="auto"/>
        </w:rPr>
      </w:pPr>
    </w:p>
    <w:p>
      <w:pPr>
        <w:ind w:left="400" w:right="400"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Industry and research experience</w:t>
      </w:r>
      <w:r>
        <w:rPr>
          <w:rFonts w:ascii="Arial" w:cs="Arial" w:eastAsia="Arial" w:hAnsi="Arial"/>
          <w:sz w:val="17"/>
          <w:szCs w:val="17"/>
          <w:color w:val="F0533D"/>
        </w:rPr>
        <w:t xml:space="preserve"> </w:t>
      </w:r>
      <w:r>
        <w:rPr>
          <w:rFonts w:ascii="Arial" w:cs="Arial" w:eastAsia="Arial" w:hAnsi="Arial"/>
          <w:sz w:val="17"/>
          <w:szCs w:val="17"/>
          <w:color w:val="000000"/>
        </w:rPr>
        <w:t>as a</w:t>
      </w:r>
      <w:r>
        <w:rPr>
          <w:rFonts w:ascii="Arial" w:cs="Arial" w:eastAsia="Arial" w:hAnsi="Arial"/>
          <w:sz w:val="17"/>
          <w:szCs w:val="17"/>
          <w:color w:val="F0533D"/>
        </w:rPr>
        <w:t xml:space="preserve"> </w:t>
      </w:r>
      <w:r>
        <w:rPr>
          <w:rFonts w:ascii="Arial" w:cs="Arial" w:eastAsia="Arial" w:hAnsi="Arial"/>
          <w:sz w:val="17"/>
          <w:szCs w:val="17"/>
          <w:color w:val="000000"/>
        </w:rPr>
        <w:t>theoretical physicist at the former AT&amp;T Bell Laboratories</w:t>
      </w:r>
    </w:p>
    <w:p>
      <w:pPr>
        <w:spacing w:after="0" w:line="202" w:lineRule="exact"/>
        <w:rPr>
          <w:sz w:val="20"/>
          <w:szCs w:val="20"/>
          <w:color w:val="auto"/>
        </w:rPr>
      </w:pPr>
    </w:p>
    <w:p>
      <w:pPr>
        <w:ind w:left="400" w:right="260" w:hanging="154"/>
        <w:spacing w:after="0" w:line="236"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Government service</w:t>
      </w:r>
      <w:r>
        <w:rPr>
          <w:rFonts w:ascii="Arial" w:cs="Arial" w:eastAsia="Arial" w:hAnsi="Arial"/>
          <w:sz w:val="17"/>
          <w:szCs w:val="17"/>
          <w:color w:val="F0533D"/>
        </w:rPr>
        <w:t xml:space="preserve"> </w:t>
      </w:r>
      <w:r>
        <w:rPr>
          <w:rFonts w:ascii="Arial" w:cs="Arial" w:eastAsia="Arial" w:hAnsi="Arial"/>
          <w:sz w:val="17"/>
          <w:szCs w:val="17"/>
          <w:color w:val="000000"/>
        </w:rPr>
        <w:t>as a member of the</w:t>
      </w:r>
      <w:r>
        <w:rPr>
          <w:rFonts w:ascii="Arial" w:cs="Arial" w:eastAsia="Arial" w:hAnsi="Arial"/>
          <w:sz w:val="17"/>
          <w:szCs w:val="17"/>
          <w:color w:val="F0533D"/>
        </w:rPr>
        <w:t xml:space="preserve"> </w:t>
      </w:r>
      <w:r>
        <w:rPr>
          <w:rFonts w:ascii="Arial" w:cs="Arial" w:eastAsia="Arial" w:hAnsi="Arial"/>
          <w:sz w:val="17"/>
          <w:szCs w:val="17"/>
          <w:color w:val="000000"/>
        </w:rPr>
        <w:t>Defense Science Board, the International Security Advisory Board to the United States Secretary of State, former chairman of the U.S. Nuclear Regulatory Commission and co-chair of the President’s Intelligence Advisory Board, former member of the United States Secretary of Energy Advisory Board and the President’s Council of Advisors on Science and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99"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Regulatory experience</w:t>
      </w:r>
      <w:r>
        <w:rPr>
          <w:rFonts w:ascii="Arial" w:cs="Arial" w:eastAsia="Arial" w:hAnsi="Arial"/>
          <w:sz w:val="17"/>
          <w:szCs w:val="17"/>
          <w:color w:val="F0533D"/>
        </w:rPr>
        <w:t xml:space="preserve"> </w:t>
      </w:r>
      <w:r>
        <w:rPr>
          <w:rFonts w:ascii="Arial" w:cs="Arial" w:eastAsia="Arial" w:hAnsi="Arial"/>
          <w:sz w:val="17"/>
          <w:szCs w:val="17"/>
          <w:color w:val="000000"/>
        </w:rPr>
        <w:t>as a former member of the</w:t>
      </w:r>
      <w:r>
        <w:rPr>
          <w:rFonts w:ascii="Arial" w:cs="Arial" w:eastAsia="Arial" w:hAnsi="Arial"/>
          <w:sz w:val="17"/>
          <w:szCs w:val="17"/>
          <w:color w:val="F0533D"/>
        </w:rPr>
        <w:t xml:space="preserve"> </w:t>
      </w:r>
      <w:r>
        <w:rPr>
          <w:rFonts w:ascii="Arial" w:cs="Arial" w:eastAsia="Arial" w:hAnsi="Arial"/>
          <w:sz w:val="17"/>
          <w:szCs w:val="17"/>
          <w:color w:val="000000"/>
        </w:rPr>
        <w:t>board of governors of the Financial Industry Regulatory Authority (“FINRA”) and as former chairman of the U.S. Nuclear Regulatory Commission</w:t>
      </w:r>
    </w:p>
    <w:p>
      <w:pPr>
        <w:spacing w:after="0" w:line="180" w:lineRule="exact"/>
        <w:rPr>
          <w:sz w:val="20"/>
          <w:szCs w:val="20"/>
          <w:color w:val="auto"/>
        </w:rPr>
      </w:pPr>
    </w:p>
    <w:p>
      <w:pPr>
        <w:ind w:right="239"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Affiliation with leading business and public</w:t>
      </w:r>
      <w:r>
        <w:rPr>
          <w:rFonts w:ascii="Arial" w:cs="Arial" w:eastAsia="Arial" w:hAnsi="Arial"/>
          <w:sz w:val="17"/>
          <w:szCs w:val="17"/>
          <w:color w:val="F0533D"/>
        </w:rPr>
        <w:t xml:space="preserve"> </w:t>
      </w:r>
      <w:r>
        <w:rPr>
          <w:rFonts w:ascii="Arial" w:cs="Arial" w:eastAsia="Arial" w:hAnsi="Arial"/>
          <w:sz w:val="17"/>
          <w:szCs w:val="17"/>
          <w:b w:val="1"/>
          <w:bCs w:val="1"/>
          <w:color w:val="F0533D"/>
        </w:rPr>
        <w:t xml:space="preserve">policy associations </w:t>
      </w:r>
      <w:r>
        <w:rPr>
          <w:rFonts w:ascii="Arial" w:cs="Arial" w:eastAsia="Arial" w:hAnsi="Arial"/>
          <w:sz w:val="17"/>
          <w:szCs w:val="17"/>
          <w:color w:val="000000"/>
        </w:rPr>
        <w:t>as a member of the Council on</w:t>
      </w:r>
      <w:r>
        <w:rPr>
          <w:rFonts w:ascii="Arial" w:cs="Arial" w:eastAsia="Arial" w:hAnsi="Arial"/>
          <w:sz w:val="17"/>
          <w:szCs w:val="17"/>
          <w:b w:val="1"/>
          <w:bCs w:val="1"/>
          <w:color w:val="F0533D"/>
        </w:rPr>
        <w:t xml:space="preserve"> </w:t>
      </w:r>
      <w:r>
        <w:rPr>
          <w:rFonts w:ascii="Arial" w:cs="Arial" w:eastAsia="Arial" w:hAnsi="Arial"/>
          <w:sz w:val="17"/>
          <w:szCs w:val="17"/>
          <w:color w:val="000000"/>
        </w:rPr>
        <w:t>Foreign Relations, former university vice chair of the Council on Competitiveness and former member of the board of the World Economic Forum USA</w:t>
      </w:r>
    </w:p>
    <w:p>
      <w:pPr>
        <w:spacing w:after="0" w:line="180" w:lineRule="exact"/>
        <w:rPr>
          <w:sz w:val="20"/>
          <w:szCs w:val="20"/>
          <w:color w:val="auto"/>
        </w:rPr>
      </w:pPr>
    </w:p>
    <w:p>
      <w:pPr>
        <w:ind w:right="279"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Former tenured institute professor</w:t>
      </w:r>
      <w:r>
        <w:rPr>
          <w:rFonts w:ascii="Arial" w:cs="Arial" w:eastAsia="Arial" w:hAnsi="Arial"/>
          <w:sz w:val="17"/>
          <w:szCs w:val="17"/>
          <w:color w:val="F0533D"/>
        </w:rPr>
        <w:t xml:space="preserve"> </w:t>
      </w:r>
      <w:r>
        <w:rPr>
          <w:rFonts w:ascii="Arial" w:cs="Arial" w:eastAsia="Arial" w:hAnsi="Arial"/>
          <w:sz w:val="17"/>
          <w:szCs w:val="17"/>
          <w:color w:val="000000"/>
        </w:rPr>
        <w:t>at Rensselaer</w:t>
      </w:r>
      <w:r>
        <w:rPr>
          <w:rFonts w:ascii="Arial" w:cs="Arial" w:eastAsia="Arial" w:hAnsi="Arial"/>
          <w:sz w:val="17"/>
          <w:szCs w:val="17"/>
          <w:color w:val="F0533D"/>
        </w:rPr>
        <w:t xml:space="preserve"> </w:t>
      </w:r>
      <w:r>
        <w:rPr>
          <w:rFonts w:ascii="Arial" w:cs="Arial" w:eastAsia="Arial" w:hAnsi="Arial"/>
          <w:sz w:val="17"/>
          <w:szCs w:val="17"/>
          <w:color w:val="000000"/>
        </w:rPr>
        <w:t>Polytechnic Institute and Rutgers University</w:t>
      </w:r>
    </w:p>
    <w:p>
      <w:pPr>
        <w:spacing w:after="0" w:line="159" w:lineRule="exact"/>
        <w:rPr>
          <w:sz w:val="20"/>
          <w:szCs w:val="20"/>
          <w:color w:val="auto"/>
        </w:rPr>
      </w:pPr>
    </w:p>
    <w:p>
      <w:pPr>
        <w:ind w:right="239"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Outside board experience</w:t>
      </w:r>
      <w:r>
        <w:rPr>
          <w:rFonts w:ascii="Arial" w:cs="Arial" w:eastAsia="Arial" w:hAnsi="Arial"/>
          <w:sz w:val="17"/>
          <w:szCs w:val="17"/>
          <w:color w:val="F0533D"/>
        </w:rPr>
        <w:t xml:space="preserve"> </w:t>
      </w:r>
      <w:r>
        <w:rPr>
          <w:rFonts w:ascii="Arial" w:cs="Arial" w:eastAsia="Arial" w:hAnsi="Arial"/>
          <w:sz w:val="17"/>
          <w:szCs w:val="17"/>
          <w:color w:val="000000"/>
        </w:rPr>
        <w:t>as a former director of a</w:t>
      </w:r>
      <w:r>
        <w:rPr>
          <w:rFonts w:ascii="Arial" w:cs="Arial" w:eastAsia="Arial" w:hAnsi="Arial"/>
          <w:sz w:val="17"/>
          <w:szCs w:val="17"/>
          <w:color w:val="F0533D"/>
        </w:rPr>
        <w:t xml:space="preserve"> </w:t>
      </w:r>
      <w:r>
        <w:rPr>
          <w:rFonts w:ascii="Arial" w:cs="Arial" w:eastAsia="Arial" w:hAnsi="Arial"/>
          <w:sz w:val="17"/>
          <w:szCs w:val="17"/>
          <w:color w:val="000000"/>
        </w:rPr>
        <w:t>number of corporations including FedEx Corporation, Public Service Enterprise Group Incorporated (“PSEG”) and International Business Machines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136525</wp:posOffset>
            </wp:positionV>
            <wp:extent cx="56235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720"/>
            <w:col w:w="4199"/>
          </w:cols>
          <w:pgMar w:left="1440" w:top="114" w:right="1440" w:bottom="1440" w:gutter="0" w:footer="0" w:header="0"/>
          <w:type w:val="continuous"/>
        </w:sectPr>
      </w:pPr>
    </w:p>
    <w:p>
      <w:pPr>
        <w:spacing w:after="0" w:line="23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29" w:lineRule="exact"/>
        <w:rPr>
          <w:sz w:val="20"/>
          <w:szCs w:val="20"/>
          <w:color w:val="auto"/>
        </w:rPr>
      </w:pPr>
    </w:p>
    <w:p>
      <w:pPr>
        <w:ind w:left="80" w:right="159"/>
        <w:spacing w:after="0" w:line="244" w:lineRule="auto"/>
        <w:rPr>
          <w:sz w:val="20"/>
          <w:szCs w:val="20"/>
          <w:color w:val="auto"/>
        </w:rPr>
      </w:pPr>
      <w:r>
        <w:rPr>
          <w:rFonts w:ascii="Arial" w:cs="Arial" w:eastAsia="Arial" w:hAnsi="Arial"/>
          <w:sz w:val="17"/>
          <w:szCs w:val="17"/>
          <w:color w:val="auto"/>
        </w:rPr>
        <w:t>Dr. Jackson is an integral part of the Board based in part on her science and technology expertise gained through a long career as a theoretical physicist, professor, and more than two-decade presidency at one of the premier research universities in the United States. In addition, her various senior government and regulatory leadership roles provide a key perspective in the boardroom.</w:t>
      </w:r>
    </w:p>
    <w:p>
      <w:pPr>
        <w:spacing w:after="0" w:line="123" w:lineRule="exact"/>
        <w:rPr>
          <w:sz w:val="20"/>
          <w:szCs w:val="20"/>
          <w:color w:val="auto"/>
        </w:rPr>
      </w:pPr>
    </w:p>
    <w:p>
      <w:pPr>
        <w:ind w:left="80" w:right="119"/>
        <w:spacing w:after="0" w:line="244" w:lineRule="auto"/>
        <w:rPr>
          <w:sz w:val="20"/>
          <w:szCs w:val="20"/>
          <w:color w:val="auto"/>
        </w:rPr>
      </w:pPr>
      <w:r>
        <w:rPr>
          <w:rFonts w:ascii="Arial" w:cs="Arial" w:eastAsia="Arial" w:hAnsi="Arial"/>
          <w:sz w:val="17"/>
          <w:szCs w:val="17"/>
          <w:color w:val="auto"/>
        </w:rPr>
        <w:t>Dr. Jackson was a theoretical physicist at the former AT&amp;T Bell Laboratories from 1976 to 1991, consultant to the former AT&amp;T Bell Laboratories from 1991 to 1995, professor of theoretical physics at Rutgers University from 1991 to 1995 and chairwoman of the U.S. Nuclear Regulatory Commission from 1995 to 1999. Dr. Jackson was president of Rensselaer Polytechnic Institute for more than two decades, from 1999 until her retirement in 2022.</w:t>
      </w:r>
    </w:p>
    <w:p>
      <w:pPr>
        <w:spacing w:after="0" w:line="123" w:lineRule="exact"/>
        <w:rPr>
          <w:sz w:val="20"/>
          <w:szCs w:val="20"/>
          <w:color w:val="auto"/>
        </w:rPr>
      </w:pPr>
    </w:p>
    <w:p>
      <w:pPr>
        <w:ind w:left="80" w:right="179"/>
        <w:spacing w:after="0" w:line="235" w:lineRule="auto"/>
        <w:rPr>
          <w:sz w:val="20"/>
          <w:szCs w:val="20"/>
          <w:color w:val="auto"/>
        </w:rPr>
      </w:pPr>
      <w:r>
        <w:rPr>
          <w:rFonts w:ascii="Arial" w:cs="Arial" w:eastAsia="Arial" w:hAnsi="Arial"/>
          <w:sz w:val="17"/>
          <w:szCs w:val="17"/>
          <w:color w:val="auto"/>
        </w:rPr>
        <w:t>Dr. Jackson’s distinguished career in science and technology includes being a member of the Defense Science Board and the International Security Advisory Board to the United States Secretary of State. She has also served as co-chair of the President’s Intelligence Advisory Board. Dr. Jackson is a fellow of the Royal Academy of Engineering (U.K.), the American Academy of Arts and Sciences, the American Association for the Advancement of Science and the American Physical Society. She is a member of the U.S. National Academy of Engineering and the American Philosophical Society. Dr. Jackson is a recipient of the National Medal of Science, the highest award in science and engineering awarded by the U.S. Government. Dr. Jackson is currently a member of the Memorial Sloan Kettering Cancer Center Board of Trustees and The Nature Conservancy Global Board Secretary. Dr. Jackson is a member of the Council on Foreign Relations, a life member Emerita of the MIT Corporation, and a lifetime trustee of the Brookings Institution. Dr. Jackson is also a Regent Emerita and former Vice-Chair of the Board of Regents of the Smithsonian Institution, and a past president of the American Association for the Advancement of Sciences. Additionally, during the past five years, she served as a director of FedEx Corporation and PSEG.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64135</wp:posOffset>
            </wp:positionV>
            <wp:extent cx="56235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310"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0" w:name="page21"/>
    <w:bookmarkEnd w:id="2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171450</wp:posOffset>
            </wp:positionV>
            <wp:extent cx="1105535" cy="11055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05535" cy="11055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140"/>
        <w:spacing w:after="0"/>
        <w:rPr>
          <w:sz w:val="20"/>
          <w:szCs w:val="20"/>
          <w:color w:val="auto"/>
        </w:rPr>
      </w:pPr>
      <w:r>
        <w:rPr>
          <w:rFonts w:ascii="Arial" w:cs="Arial" w:eastAsia="Arial" w:hAnsi="Arial"/>
          <w:sz w:val="23"/>
          <w:szCs w:val="23"/>
          <w:b w:val="1"/>
          <w:bCs w:val="1"/>
          <w:color w:val="F0533D"/>
        </w:rPr>
        <w:t>MARTIN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93345</wp:posOffset>
            </wp:positionV>
            <wp:extent cx="42430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226"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CHAIRMAN AND CHIEF EXECUTIVE OFFICER, KYNDRYL</w:t>
      </w:r>
    </w:p>
    <w:p>
      <w:pPr>
        <w:spacing w:after="0" w:line="210"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CHAIRMAN: </w:t>
      </w:r>
      <w:r>
        <w:rPr>
          <w:rFonts w:ascii="Arial" w:cs="Arial" w:eastAsia="Arial" w:hAnsi="Arial"/>
          <w:sz w:val="17"/>
          <w:szCs w:val="17"/>
          <w:color w:val="000000"/>
        </w:rPr>
        <w:t>Since 2021</w:t>
      </w:r>
    </w:p>
    <w:p>
      <w:pPr>
        <w:spacing w:after="0" w:line="156" w:lineRule="exact"/>
        <w:rPr>
          <w:sz w:val="20"/>
          <w:szCs w:val="20"/>
          <w:color w:val="auto"/>
        </w:rPr>
      </w:pPr>
    </w:p>
    <w:p>
      <w:pPr>
        <w:ind w:left="2140"/>
        <w:spacing w:after="0"/>
        <w:rPr>
          <w:sz w:val="20"/>
          <w:szCs w:val="20"/>
          <w:color w:val="auto"/>
        </w:rPr>
      </w:pPr>
      <w:r>
        <w:rPr>
          <w:rFonts w:ascii="Arial" w:cs="Arial" w:eastAsia="Arial" w:hAnsi="Arial"/>
          <w:sz w:val="17"/>
          <w:szCs w:val="17"/>
          <w:b w:val="1"/>
          <w:bCs w:val="1"/>
          <w:color w:val="F0533D"/>
        </w:rPr>
        <w:t xml:space="preserve">AGE: </w:t>
      </w:r>
      <w:r>
        <w:rPr>
          <w:rFonts w:ascii="Arial" w:cs="Arial" w:eastAsia="Arial" w:hAnsi="Arial"/>
          <w:sz w:val="17"/>
          <w:szCs w:val="17"/>
          <w:color w:val="000000"/>
        </w:rPr>
        <w:t>61</w:t>
      </w:r>
    </w:p>
    <w:p>
      <w:pPr>
        <w:spacing w:after="0" w:line="33" w:lineRule="exact"/>
        <w:rPr>
          <w:sz w:val="20"/>
          <w:szCs w:val="20"/>
          <w:color w:val="auto"/>
        </w:rPr>
      </w:pPr>
    </w:p>
    <w:p>
      <w:pPr>
        <w:ind w:left="80"/>
        <w:spacing w:after="0"/>
        <w:rPr>
          <w:sz w:val="20"/>
          <w:szCs w:val="20"/>
          <w:color w:val="auto"/>
        </w:rPr>
      </w:pPr>
      <w:r>
        <w:rPr>
          <w:rFonts w:ascii="Arial" w:cs="Arial" w:eastAsia="Arial" w:hAnsi="Arial"/>
          <w:sz w:val="23"/>
          <w:szCs w:val="23"/>
          <w:b w:val="1"/>
          <w:bCs w:val="1"/>
          <w:color w:val="F0533D"/>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129540</wp:posOffset>
            </wp:positionV>
            <wp:extent cx="5623560" cy="15005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23560" cy="150050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Qualifications, Attributes and Skills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Global business and leadership experience</w:t>
      </w:r>
    </w:p>
    <w:p>
      <w:pPr>
        <w:spacing w:after="0" w:line="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as chief executive officer of Kyndryl and former</w:t>
      </w:r>
    </w:p>
    <w:p>
      <w:pPr>
        <w:ind w:left="400"/>
        <w:spacing w:after="0"/>
        <w:rPr>
          <w:sz w:val="20"/>
          <w:szCs w:val="20"/>
          <w:color w:val="auto"/>
        </w:rPr>
      </w:pPr>
      <w:r>
        <w:rPr>
          <w:rFonts w:ascii="Arial" w:cs="Arial" w:eastAsia="Arial" w:hAnsi="Arial"/>
          <w:sz w:val="17"/>
          <w:szCs w:val="17"/>
          <w:color w:val="auto"/>
        </w:rPr>
        <w:t>senior vice president of global markets of IBM</w:t>
      </w:r>
    </w:p>
    <w:p>
      <w:pPr>
        <w:spacing w:after="0" w:line="194" w:lineRule="exact"/>
        <w:rPr>
          <w:sz w:val="20"/>
          <w:szCs w:val="20"/>
          <w:color w:val="auto"/>
        </w:rPr>
      </w:pPr>
    </w:p>
    <w:p>
      <w:pPr>
        <w:ind w:left="400" w:right="440" w:hanging="154"/>
        <w:spacing w:after="0" w:line="273"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w:t>
      </w:r>
      <w:r>
        <w:rPr>
          <w:rFonts w:ascii="Arial" w:cs="Arial" w:eastAsia="Arial" w:hAnsi="Arial"/>
          <w:sz w:val="16"/>
          <w:szCs w:val="16"/>
          <w:color w:val="F0533D"/>
        </w:rPr>
        <w:t xml:space="preserve"> </w:t>
      </w:r>
      <w:r>
        <w:rPr>
          <w:rFonts w:ascii="Arial" w:cs="Arial" w:eastAsia="Arial" w:hAnsi="Arial"/>
          <w:sz w:val="16"/>
          <w:szCs w:val="16"/>
          <w:b w:val="1"/>
          <w:bCs w:val="1"/>
          <w:color w:val="F0533D"/>
        </w:rPr>
        <w:t>Technology, digital and/or cybersecurity</w:t>
      </w:r>
      <w:r>
        <w:rPr>
          <w:rFonts w:ascii="Arial" w:cs="Arial" w:eastAsia="Arial" w:hAnsi="Arial"/>
          <w:sz w:val="16"/>
          <w:szCs w:val="16"/>
          <w:color w:val="F0533D"/>
        </w:rPr>
        <w:t xml:space="preserve"> </w:t>
      </w:r>
      <w:r>
        <w:rPr>
          <w:rFonts w:ascii="Arial" w:cs="Arial" w:eastAsia="Arial" w:hAnsi="Arial"/>
          <w:sz w:val="16"/>
          <w:szCs w:val="16"/>
          <w:b w:val="1"/>
          <w:bCs w:val="1"/>
          <w:color w:val="F0533D"/>
        </w:rPr>
        <w:t xml:space="preserve">experience </w:t>
      </w:r>
      <w:r>
        <w:rPr>
          <w:rFonts w:ascii="Arial" w:cs="Arial" w:eastAsia="Arial" w:hAnsi="Arial"/>
          <w:sz w:val="16"/>
          <w:szCs w:val="16"/>
          <w:color w:val="000000"/>
        </w:rPr>
        <w:t>as chief executive officer of</w:t>
      </w:r>
      <w:r>
        <w:rPr>
          <w:rFonts w:ascii="Arial" w:cs="Arial" w:eastAsia="Arial" w:hAnsi="Arial"/>
          <w:sz w:val="16"/>
          <w:szCs w:val="16"/>
          <w:b w:val="1"/>
          <w:bCs w:val="1"/>
          <w:color w:val="F0533D"/>
        </w:rPr>
        <w:t xml:space="preserve"> </w:t>
      </w:r>
      <w:r>
        <w:rPr>
          <w:rFonts w:ascii="Arial" w:cs="Arial" w:eastAsia="Arial" w:hAnsi="Arial"/>
          <w:sz w:val="16"/>
          <w:szCs w:val="16"/>
          <w:color w:val="000000"/>
        </w:rPr>
        <w:t>Kyndryl and service in various roles at IBM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79"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Financial expertise</w:t>
      </w:r>
      <w:r>
        <w:rPr>
          <w:rFonts w:ascii="Arial" w:cs="Arial" w:eastAsia="Arial" w:hAnsi="Arial"/>
          <w:sz w:val="17"/>
          <w:szCs w:val="17"/>
          <w:color w:val="F0533D"/>
        </w:rPr>
        <w:t xml:space="preserve"> </w:t>
      </w:r>
      <w:r>
        <w:rPr>
          <w:rFonts w:ascii="Arial" w:cs="Arial" w:eastAsia="Arial" w:hAnsi="Arial"/>
          <w:sz w:val="17"/>
          <w:szCs w:val="17"/>
          <w:color w:val="000000"/>
        </w:rPr>
        <w:t>as former senior vice president</w:t>
      </w:r>
      <w:r>
        <w:rPr>
          <w:rFonts w:ascii="Arial" w:cs="Arial" w:eastAsia="Arial" w:hAnsi="Arial"/>
          <w:sz w:val="17"/>
          <w:szCs w:val="17"/>
          <w:color w:val="F0533D"/>
        </w:rPr>
        <w:t xml:space="preserve"> </w:t>
      </w:r>
      <w:r>
        <w:rPr>
          <w:rFonts w:ascii="Arial" w:cs="Arial" w:eastAsia="Arial" w:hAnsi="Arial"/>
          <w:sz w:val="17"/>
          <w:szCs w:val="17"/>
          <w:color w:val="000000"/>
        </w:rPr>
        <w:t>and chief financial officer of IBM</w:t>
      </w:r>
    </w:p>
    <w:p>
      <w:pPr>
        <w:spacing w:after="0" w:line="159" w:lineRule="exact"/>
        <w:rPr>
          <w:sz w:val="20"/>
          <w:szCs w:val="20"/>
          <w:color w:val="auto"/>
        </w:rPr>
      </w:pPr>
    </w:p>
    <w:p>
      <w:pPr>
        <w:ind w:right="43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w:t>
      </w:r>
      <w:r>
        <w:rPr>
          <w:rFonts w:ascii="Arial" w:cs="Arial" w:eastAsia="Arial" w:hAnsi="Arial"/>
          <w:sz w:val="17"/>
          <w:szCs w:val="17"/>
          <w:color w:val="F0533D"/>
        </w:rPr>
        <w:t xml:space="preserve"> </w:t>
      </w:r>
      <w:r>
        <w:rPr>
          <w:rFonts w:ascii="Arial" w:cs="Arial" w:eastAsia="Arial" w:hAnsi="Arial"/>
          <w:sz w:val="17"/>
          <w:szCs w:val="17"/>
          <w:b w:val="1"/>
          <w:bCs w:val="1"/>
          <w:color w:val="F0533D"/>
        </w:rPr>
        <w:t>Affiliation with leading business and public</w:t>
      </w:r>
      <w:r>
        <w:rPr>
          <w:rFonts w:ascii="Arial" w:cs="Arial" w:eastAsia="Arial" w:hAnsi="Arial"/>
          <w:sz w:val="17"/>
          <w:szCs w:val="17"/>
          <w:color w:val="F0533D"/>
        </w:rPr>
        <w:t xml:space="preserve"> </w:t>
      </w:r>
      <w:r>
        <w:rPr>
          <w:rFonts w:ascii="Arial" w:cs="Arial" w:eastAsia="Arial" w:hAnsi="Arial"/>
          <w:sz w:val="17"/>
          <w:szCs w:val="17"/>
          <w:b w:val="1"/>
          <w:bCs w:val="1"/>
          <w:color w:val="F0533D"/>
        </w:rPr>
        <w:t xml:space="preserve">policy association </w:t>
      </w:r>
      <w:r>
        <w:rPr>
          <w:rFonts w:ascii="Arial" w:cs="Arial" w:eastAsia="Arial" w:hAnsi="Arial"/>
          <w:sz w:val="17"/>
          <w:szCs w:val="17"/>
          <w:color w:val="000000"/>
        </w:rPr>
        <w:t>as a member of the Business</w:t>
      </w:r>
      <w:r>
        <w:rPr>
          <w:rFonts w:ascii="Arial" w:cs="Arial" w:eastAsia="Arial" w:hAnsi="Arial"/>
          <w:sz w:val="17"/>
          <w:szCs w:val="17"/>
          <w:b w:val="1"/>
          <w:bCs w:val="1"/>
          <w:color w:val="F0533D"/>
        </w:rPr>
        <w:t xml:space="preserve"> </w:t>
      </w:r>
      <w:r>
        <w:rPr>
          <w:rFonts w:ascii="Arial" w:cs="Arial" w:eastAsia="Arial" w:hAnsi="Arial"/>
          <w:sz w:val="17"/>
          <w:szCs w:val="17"/>
          <w:color w:val="000000"/>
        </w:rPr>
        <w:t>Roundtable, the Business Council, the Council on Foreign Relations, and U.S.-India CEO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135255</wp:posOffset>
            </wp:positionV>
            <wp:extent cx="56235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4100" w:space="720"/>
            <w:col w:w="4199"/>
          </w:cols>
          <w:pgMar w:left="1440" w:top="114" w:right="1440" w:bottom="1440" w:gutter="0" w:footer="0" w:header="0"/>
          <w:type w:val="continuous"/>
        </w:sectPr>
      </w:pPr>
    </w:p>
    <w:p>
      <w:pPr>
        <w:spacing w:after="0" w:line="306"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Relevant Experience</w:t>
      </w:r>
    </w:p>
    <w:p>
      <w:pPr>
        <w:spacing w:after="0" w:line="183" w:lineRule="exact"/>
        <w:rPr>
          <w:sz w:val="20"/>
          <w:szCs w:val="20"/>
          <w:color w:val="auto"/>
        </w:rPr>
      </w:pPr>
    </w:p>
    <w:p>
      <w:pPr>
        <w:ind w:left="80" w:right="239"/>
        <w:spacing w:after="0" w:line="244" w:lineRule="auto"/>
        <w:rPr>
          <w:sz w:val="20"/>
          <w:szCs w:val="20"/>
          <w:color w:val="auto"/>
        </w:rPr>
      </w:pPr>
      <w:r>
        <w:rPr>
          <w:rFonts w:ascii="Arial" w:cs="Arial" w:eastAsia="Arial" w:hAnsi="Arial"/>
          <w:sz w:val="17"/>
          <w:szCs w:val="17"/>
          <w:color w:val="auto"/>
        </w:rPr>
        <w:t>Martin Schroeter provides the Board with extensive global technology and commercial operations experience. He also contributes strong financial expertise built through various senior finance roles — including serving as the chief financial officer at an S&amp;P 100 company — which enhances his leadership role as the Chairman of the Company’s Board of Directors.</w:t>
      </w:r>
    </w:p>
    <w:p>
      <w:pPr>
        <w:spacing w:after="0" w:line="177" w:lineRule="exact"/>
        <w:rPr>
          <w:sz w:val="20"/>
          <w:szCs w:val="20"/>
          <w:color w:val="auto"/>
        </w:rPr>
      </w:pPr>
    </w:p>
    <w:p>
      <w:pPr>
        <w:ind w:left="80" w:right="179"/>
        <w:spacing w:after="0" w:line="238" w:lineRule="auto"/>
        <w:rPr>
          <w:sz w:val="20"/>
          <w:szCs w:val="20"/>
          <w:color w:val="auto"/>
        </w:rPr>
      </w:pPr>
      <w:r>
        <w:rPr>
          <w:rFonts w:ascii="Arial" w:cs="Arial" w:eastAsia="Arial" w:hAnsi="Arial"/>
          <w:sz w:val="17"/>
          <w:szCs w:val="17"/>
          <w:color w:val="auto"/>
        </w:rPr>
        <w:t>Mr. Schroeter was named the first chief executive officer of Kyndryl in 2021. Previously, Mr. Schroeter served in a variety of business line and finance executive positions at IBM including senior vice president of global markets from 2018 until 2020, responsible for IBM’s global sales, customer relationships and satisfaction and worldwide geographic operations and overseeing IBM’s marketing and communication functions and building IBM’s brand and reputation globally, and senior vice president and chief financial officer from 2014 until 2017, leading IBM’s finance function. Earlier in his career, Mr. Schroeter served as general manager of IBM global financing, managing a total asset base in excess of $37 billion, and had served in numerous roles in Japan, the United States and Australia.</w:t>
      </w:r>
    </w:p>
    <w:p>
      <w:pPr>
        <w:spacing w:after="0" w:line="182" w:lineRule="exact"/>
        <w:rPr>
          <w:sz w:val="20"/>
          <w:szCs w:val="20"/>
          <w:color w:val="auto"/>
        </w:rPr>
      </w:pPr>
    </w:p>
    <w:p>
      <w:pPr>
        <w:ind w:left="80" w:right="139"/>
        <w:spacing w:after="0" w:line="267" w:lineRule="auto"/>
        <w:rPr>
          <w:sz w:val="20"/>
          <w:szCs w:val="20"/>
          <w:color w:val="auto"/>
        </w:rPr>
      </w:pPr>
      <w:r>
        <w:rPr>
          <w:rFonts w:ascii="Arial" w:cs="Arial" w:eastAsia="Arial" w:hAnsi="Arial"/>
          <w:sz w:val="17"/>
          <w:szCs w:val="17"/>
          <w:color w:val="auto"/>
        </w:rPr>
        <w:t>Mr. Schroeter is a member of the Business Roundtable, the Business Council, the Council on Foreign Relations, and U.S.-India CEO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46355</wp:posOffset>
            </wp:positionV>
            <wp:extent cx="56235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8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1" w:name="page22"/>
    <w:bookmarkEnd w:id="2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Kyndryl Board of Directors — Experience and Skills</w:t>
      </w:r>
    </w:p>
    <w:p>
      <w:pPr>
        <w:spacing w:after="0" w:line="173" w:lineRule="exact"/>
        <w:rPr>
          <w:sz w:val="20"/>
          <w:szCs w:val="20"/>
          <w:color w:val="auto"/>
        </w:rPr>
      </w:pPr>
    </w:p>
    <w:p>
      <w:pPr>
        <w:ind w:left="80" w:right="99"/>
        <w:spacing w:after="0" w:line="249" w:lineRule="auto"/>
        <w:rPr>
          <w:sz w:val="20"/>
          <w:szCs w:val="20"/>
          <w:color w:val="auto"/>
        </w:rPr>
      </w:pPr>
      <w:r>
        <w:rPr>
          <w:rFonts w:ascii="Arial" w:cs="Arial" w:eastAsia="Arial" w:hAnsi="Arial"/>
          <w:sz w:val="17"/>
          <w:szCs w:val="17"/>
          <w:color w:val="auto"/>
        </w:rPr>
        <w:t>Kyndryl’s Board of Directors brings together ten leaders with a variety of backgrounds in key industries and professions from a wide array of senior executive and leadership roles. Our directors empower our Board with strong leadership skills, extensive transformation experience and a wide diversity of backgrounds to help the Company drive its strategy. Those backgrounds include operational experience, financial expertise and academic leadership, as well as extensive research and innovation experience. In addition, many of our directors have a background in facilitating technological change in their organizations and possess digital and cybersecurity experience. Together, they provide a well-rounded perspective and offer a wealth of knowledge for understanding and navigating contemporary business issues so that we can continue to focus on our growth.</w:t>
      </w:r>
    </w:p>
    <w:p>
      <w:pPr>
        <w:spacing w:after="0" w:line="261" w:lineRule="exact"/>
        <w:rPr>
          <w:sz w:val="20"/>
          <w:szCs w:val="20"/>
          <w:color w:val="auto"/>
        </w:rPr>
      </w:pPr>
    </w:p>
    <w:tbl>
      <w:tblPr>
        <w:tblLayout w:type="fixed"/>
        <w:tblInd w:w="2660" w:type="dxa"/>
        <w:tblCellMar>
          <w:top w:w="0" w:type="dxa"/>
          <w:left w:w="0" w:type="dxa"/>
          <w:bottom w:w="0" w:type="dxa"/>
          <w:right w:w="0" w:type="dxa"/>
        </w:tblCellMar>
      </w:tblPr>
      <w:tr>
        <w:trPr>
          <w:trHeight w:val="751"/>
        </w:trPr>
        <w:tc>
          <w:tcPr>
            <w:tcW w:w="320" w:type="dxa"/>
            <w:vAlign w:val="bottom"/>
            <w:textDirection w:val="btLr"/>
          </w:tcPr>
          <w:p>
            <w:pPr>
              <w:ind w:left="17"/>
              <w:spacing w:after="0"/>
              <w:rPr>
                <w:sz w:val="20"/>
                <w:szCs w:val="20"/>
                <w:color w:val="auto"/>
              </w:rPr>
            </w:pPr>
            <w:r>
              <w:rPr>
                <w:rFonts w:ascii="Arial" w:cs="Arial" w:eastAsia="Arial" w:hAnsi="Arial"/>
                <w:sz w:val="13"/>
                <w:szCs w:val="13"/>
                <w:b w:val="1"/>
                <w:bCs w:val="1"/>
                <w:color w:val="F0533D"/>
              </w:rPr>
              <w:t>Caruso</w:t>
            </w:r>
          </w:p>
        </w:tc>
        <w:tc>
          <w:tcPr>
            <w:tcW w:w="500" w:type="dxa"/>
            <w:vAlign w:val="bottom"/>
            <w:textDirection w:val="btLr"/>
          </w:tcPr>
          <w:p>
            <w:pPr>
              <w:ind w:left="210"/>
              <w:spacing w:after="0"/>
              <w:rPr>
                <w:sz w:val="20"/>
                <w:szCs w:val="20"/>
                <w:color w:val="auto"/>
              </w:rPr>
            </w:pPr>
            <w:r>
              <w:rPr>
                <w:rFonts w:ascii="Arial" w:cs="Arial" w:eastAsia="Arial" w:hAnsi="Arial"/>
                <w:sz w:val="13"/>
                <w:szCs w:val="13"/>
                <w:b w:val="1"/>
                <w:bCs w:val="1"/>
                <w:color w:val="F0533D"/>
              </w:rPr>
              <w:t>Harris</w:t>
            </w:r>
          </w:p>
        </w:tc>
        <w:tc>
          <w:tcPr>
            <w:tcW w:w="560" w:type="dxa"/>
            <w:vAlign w:val="bottom"/>
            <w:textDirection w:val="btLr"/>
          </w:tcPr>
          <w:p>
            <w:pPr>
              <w:ind w:left="229"/>
              <w:spacing w:after="0"/>
              <w:rPr>
                <w:sz w:val="20"/>
                <w:szCs w:val="20"/>
                <w:color w:val="auto"/>
              </w:rPr>
            </w:pPr>
            <w:r>
              <w:rPr>
                <w:rFonts w:ascii="Arial" w:cs="Arial" w:eastAsia="Arial" w:hAnsi="Arial"/>
                <w:sz w:val="13"/>
                <w:szCs w:val="13"/>
                <w:b w:val="1"/>
                <w:bCs w:val="1"/>
                <w:color w:val="F0533D"/>
              </w:rPr>
              <w:t>Hester</w:t>
            </w:r>
          </w:p>
        </w:tc>
        <w:tc>
          <w:tcPr>
            <w:tcW w:w="600" w:type="dxa"/>
            <w:vAlign w:val="bottom"/>
            <w:textDirection w:val="btLr"/>
          </w:tcPr>
          <w:p>
            <w:pPr>
              <w:ind w:left="270"/>
              <w:spacing w:after="0"/>
              <w:rPr>
                <w:sz w:val="20"/>
                <w:szCs w:val="20"/>
                <w:color w:val="auto"/>
              </w:rPr>
            </w:pPr>
            <w:r>
              <w:rPr>
                <w:rFonts w:ascii="Arial" w:cs="Arial" w:eastAsia="Arial" w:hAnsi="Arial"/>
                <w:sz w:val="13"/>
                <w:szCs w:val="13"/>
                <w:b w:val="1"/>
                <w:bCs w:val="1"/>
                <w:color w:val="F0533D"/>
              </w:rPr>
              <w:t>Jackson</w:t>
            </w:r>
          </w:p>
        </w:tc>
        <w:tc>
          <w:tcPr>
            <w:tcW w:w="560" w:type="dxa"/>
            <w:vAlign w:val="bottom"/>
            <w:textDirection w:val="btLr"/>
          </w:tcPr>
          <w:p>
            <w:pPr>
              <w:ind w:left="244"/>
              <w:spacing w:after="0"/>
              <w:rPr>
                <w:sz w:val="20"/>
                <w:szCs w:val="20"/>
                <w:color w:val="auto"/>
              </w:rPr>
            </w:pPr>
            <w:r>
              <w:rPr>
                <w:rFonts w:ascii="Arial" w:cs="Arial" w:eastAsia="Arial" w:hAnsi="Arial"/>
                <w:sz w:val="13"/>
                <w:szCs w:val="13"/>
                <w:b w:val="1"/>
                <w:bCs w:val="1"/>
                <w:color w:val="F0533D"/>
              </w:rPr>
              <w:t>Kugel</w:t>
            </w:r>
          </w:p>
        </w:tc>
        <w:tc>
          <w:tcPr>
            <w:tcW w:w="640" w:type="dxa"/>
            <w:vAlign w:val="bottom"/>
            <w:textDirection w:val="btLr"/>
          </w:tcPr>
          <w:p>
            <w:pPr>
              <w:ind w:left="258"/>
              <w:spacing w:after="0"/>
              <w:rPr>
                <w:sz w:val="20"/>
                <w:szCs w:val="20"/>
                <w:color w:val="auto"/>
              </w:rPr>
            </w:pPr>
            <w:r>
              <w:rPr>
                <w:rFonts w:ascii="Arial" w:cs="Arial" w:eastAsia="Arial" w:hAnsi="Arial"/>
                <w:sz w:val="13"/>
                <w:szCs w:val="13"/>
                <w:b w:val="1"/>
                <w:bCs w:val="1"/>
                <w:color w:val="F0533D"/>
              </w:rPr>
              <w:t>Machuel</w:t>
            </w:r>
          </w:p>
        </w:tc>
        <w:tc>
          <w:tcPr>
            <w:tcW w:w="720" w:type="dxa"/>
            <w:vAlign w:val="bottom"/>
            <w:textDirection w:val="btLr"/>
          </w:tcPr>
          <w:p>
            <w:pPr>
              <w:ind w:left="306"/>
              <w:spacing w:after="0"/>
              <w:rPr>
                <w:sz w:val="20"/>
                <w:szCs w:val="20"/>
                <w:color w:val="auto"/>
              </w:rPr>
            </w:pPr>
            <w:r>
              <w:rPr>
                <w:rFonts w:ascii="Arial" w:cs="Arial" w:eastAsia="Arial" w:hAnsi="Arial"/>
                <w:sz w:val="13"/>
                <w:szCs w:val="13"/>
                <w:b w:val="1"/>
                <w:bCs w:val="1"/>
                <w:color w:val="F0533D"/>
              </w:rPr>
              <w:t>Merchant</w:t>
            </w:r>
          </w:p>
        </w:tc>
        <w:tc>
          <w:tcPr>
            <w:tcW w:w="760" w:type="dxa"/>
            <w:vAlign w:val="bottom"/>
            <w:textDirection w:val="btLr"/>
          </w:tcPr>
          <w:p>
            <w:pPr>
              <w:ind w:left="335"/>
              <w:spacing w:after="0"/>
              <w:rPr>
                <w:sz w:val="20"/>
                <w:szCs w:val="20"/>
                <w:color w:val="auto"/>
              </w:rPr>
            </w:pPr>
            <w:r>
              <w:rPr>
                <w:rFonts w:ascii="Arial" w:cs="Arial" w:eastAsia="Arial" w:hAnsi="Arial"/>
                <w:sz w:val="13"/>
                <w:szCs w:val="13"/>
                <w:b w:val="1"/>
                <w:bCs w:val="1"/>
                <w:color w:val="F0533D"/>
              </w:rPr>
              <w:t>Schreuder</w:t>
            </w:r>
          </w:p>
        </w:tc>
        <w:tc>
          <w:tcPr>
            <w:tcW w:w="780" w:type="dxa"/>
            <w:vAlign w:val="bottom"/>
            <w:textDirection w:val="btLr"/>
          </w:tcPr>
          <w:p>
            <w:pPr>
              <w:ind w:left="338"/>
              <w:spacing w:after="0"/>
              <w:rPr>
                <w:sz w:val="20"/>
                <w:szCs w:val="20"/>
                <w:color w:val="auto"/>
              </w:rPr>
            </w:pPr>
            <w:r>
              <w:rPr>
                <w:rFonts w:ascii="Arial" w:cs="Arial" w:eastAsia="Arial" w:hAnsi="Arial"/>
                <w:sz w:val="13"/>
                <w:szCs w:val="13"/>
                <w:b w:val="1"/>
                <w:bCs w:val="1"/>
                <w:color w:val="F0533D"/>
              </w:rPr>
              <w:t>Schroeter</w:t>
            </w:r>
          </w:p>
        </w:tc>
        <w:tc>
          <w:tcPr>
            <w:tcW w:w="460" w:type="dxa"/>
            <w:vAlign w:val="bottom"/>
            <w:textDirection w:val="btLr"/>
          </w:tcPr>
          <w:p>
            <w:pPr>
              <w:ind w:left="311"/>
              <w:spacing w:after="0"/>
              <w:rPr>
                <w:sz w:val="20"/>
                <w:szCs w:val="20"/>
                <w:color w:val="auto"/>
              </w:rPr>
            </w:pPr>
            <w:r>
              <w:rPr>
                <w:rFonts w:ascii="Arial" w:cs="Arial" w:eastAsia="Arial" w:hAnsi="Arial"/>
                <w:sz w:val="13"/>
                <w:szCs w:val="13"/>
                <w:b w:val="1"/>
                <w:bCs w:val="1"/>
                <w:color w:val="F0533D"/>
              </w:rPr>
              <w:t>Ungerleider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29845</wp:posOffset>
            </wp:positionV>
            <wp:extent cx="562356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23560" cy="179705"/>
                    </a:xfrm>
                    <a:prstGeom prst="rect">
                      <a:avLst/>
                    </a:prstGeom>
                    <a:noFill/>
                  </pic:spPr>
                </pic:pic>
              </a:graphicData>
            </a:graphic>
          </wp:anchor>
        </w:drawing>
      </w:r>
    </w:p>
    <w:p>
      <w:pPr>
        <w:spacing w:after="0" w:line="4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Client Industry Experience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Technology, Cybersecurity</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and/or Innovation</w:t>
      </w:r>
    </w:p>
    <w:p>
      <w:pPr>
        <w:ind w:left="140" w:right="6959"/>
        <w:spacing w:after="0" w:line="246" w:lineRule="auto"/>
        <w:rPr>
          <w:sz w:val="20"/>
          <w:szCs w:val="20"/>
          <w:color w:val="auto"/>
        </w:rPr>
      </w:pPr>
      <w:r>
        <w:rPr>
          <w:rFonts w:ascii="Arial" w:cs="Arial" w:eastAsia="Arial" w:hAnsi="Arial"/>
          <w:sz w:val="13"/>
          <w:szCs w:val="13"/>
          <w:color w:val="auto"/>
        </w:rPr>
        <w:t>Experience in managing technological services and innovation, information security and/or cybersecurity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22860</wp:posOffset>
            </wp:positionV>
            <wp:extent cx="562356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-370840</wp:posOffset>
            </wp:positionV>
            <wp:extent cx="128905"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-370840</wp:posOffset>
            </wp:positionV>
            <wp:extent cx="128905"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-370840</wp:posOffset>
            </wp:positionV>
            <wp:extent cx="128270" cy="128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-370840</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-370840</wp:posOffset>
            </wp:positionV>
            <wp:extent cx="128905" cy="1289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-370840</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-370840</wp:posOffset>
            </wp:positionV>
            <wp:extent cx="128905" cy="1289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Organizational Leadership and</w:t>
      </w:r>
    </w:p>
    <w:p>
      <w:pPr>
        <w:spacing w:after="0" w:line="11"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Global Operations Management</w:t>
      </w:r>
    </w:p>
    <w:p>
      <w:pPr>
        <w:ind w:left="140" w:right="6819"/>
        <w:spacing w:after="0" w:line="244" w:lineRule="auto"/>
        <w:rPr>
          <w:sz w:val="20"/>
          <w:szCs w:val="20"/>
          <w:color w:val="auto"/>
        </w:rPr>
      </w:pPr>
      <w:r>
        <w:rPr>
          <w:rFonts w:ascii="Arial" w:cs="Arial" w:eastAsia="Arial" w:hAnsi="Arial"/>
          <w:sz w:val="13"/>
          <w:szCs w:val="13"/>
          <w:color w:val="auto"/>
        </w:rPr>
        <w:t>Leadership experience with multinational companies or in international markets, with insights gained leading entities’ business strategy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56235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-412750</wp:posOffset>
            </wp:positionV>
            <wp:extent cx="128905" cy="1289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-412750</wp:posOffset>
            </wp:positionV>
            <wp:extent cx="12890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-412750</wp:posOffset>
            </wp:positionV>
            <wp:extent cx="128905" cy="128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-412750</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-412750</wp:posOffset>
            </wp:positionV>
            <wp:extent cx="128270" cy="1289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-412750</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-412750</wp:posOffset>
            </wp:positionV>
            <wp:extent cx="128905" cy="1289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-412750</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-412750</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-412750</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Financial Experience/Expertise</w:t>
      </w:r>
    </w:p>
    <w:p>
      <w:pPr>
        <w:spacing w:after="0" w:line="10" w:lineRule="exact"/>
        <w:rPr>
          <w:sz w:val="20"/>
          <w:szCs w:val="20"/>
          <w:color w:val="auto"/>
        </w:rPr>
      </w:pPr>
    </w:p>
    <w:p>
      <w:pPr>
        <w:ind w:left="140" w:right="6639"/>
        <w:spacing w:after="0" w:line="244" w:lineRule="auto"/>
        <w:rPr>
          <w:sz w:val="20"/>
          <w:szCs w:val="20"/>
          <w:color w:val="auto"/>
        </w:rPr>
      </w:pPr>
      <w:r>
        <w:rPr>
          <w:rFonts w:ascii="Arial" w:cs="Arial" w:eastAsia="Arial" w:hAnsi="Arial"/>
          <w:sz w:val="13"/>
          <w:szCs w:val="13"/>
          <w:color w:val="auto"/>
        </w:rPr>
        <w:t>Significant expertise in corporate finance, financial accounting and/or financial reporting or a senior financial leadership role at a large public company or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56235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-361315</wp:posOffset>
            </wp:positionV>
            <wp:extent cx="12890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-361315</wp:posOffset>
            </wp:positionV>
            <wp:extent cx="12890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-361315</wp:posOffset>
            </wp:positionV>
            <wp:extent cx="12890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-361315</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-361315</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-361315</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-361315</wp:posOffset>
            </wp:positionV>
            <wp:extent cx="1289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-361315</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-361315</wp:posOffset>
            </wp:positionV>
            <wp:extent cx="12890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-18415</wp:posOffset>
            </wp:positionV>
            <wp:extent cx="12890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-18415</wp:posOffset>
            </wp:positionV>
            <wp:extent cx="128905"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-18415</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-18415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-18415</wp:posOffset>
            </wp:positionV>
            <wp:extent cx="128270"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-18415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-18415</wp:posOffset>
            </wp:positionV>
            <wp:extent cx="1289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-18415</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-18415</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-18415</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40" w:right="6639"/>
        <w:spacing w:after="0" w:line="261" w:lineRule="auto"/>
        <w:rPr>
          <w:sz w:val="20"/>
          <w:szCs w:val="20"/>
          <w:color w:val="auto"/>
        </w:rPr>
      </w:pPr>
      <w:r>
        <w:rPr>
          <w:rFonts w:ascii="Arial" w:cs="Arial" w:eastAsia="Arial" w:hAnsi="Arial"/>
          <w:sz w:val="13"/>
          <w:szCs w:val="13"/>
          <w:color w:val="auto"/>
        </w:rPr>
        <w:t>Experience identifying, mitigating and managing risks across an enterprise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17145</wp:posOffset>
            </wp:positionV>
            <wp:extent cx="56235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Academia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-18415</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-18415</wp:posOffset>
            </wp:positionV>
            <wp:extent cx="12827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3"/>
          <w:szCs w:val="13"/>
          <w:color w:val="auto"/>
        </w:rPr>
        <w:t>Experience serving in a leadership</w:t>
      </w:r>
    </w:p>
    <w:p>
      <w:pPr>
        <w:ind w:left="140"/>
        <w:spacing w:after="0"/>
        <w:rPr>
          <w:sz w:val="20"/>
          <w:szCs w:val="20"/>
          <w:color w:val="auto"/>
        </w:rPr>
      </w:pPr>
      <w:r>
        <w:rPr>
          <w:rFonts w:ascii="Arial" w:cs="Arial" w:eastAsia="Arial" w:hAnsi="Arial"/>
          <w:sz w:val="13"/>
          <w:szCs w:val="13"/>
          <w:color w:val="auto"/>
        </w:rPr>
        <w:t>role for an educational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34290</wp:posOffset>
            </wp:positionV>
            <wp:extent cx="56235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9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Government/Regulatory, or</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Business/Public Policy</w:t>
      </w:r>
    </w:p>
    <w:p>
      <w:pPr>
        <w:ind w:left="140"/>
        <w:spacing w:after="0" w:line="234" w:lineRule="auto"/>
        <w:rPr>
          <w:sz w:val="20"/>
          <w:szCs w:val="20"/>
          <w:color w:val="auto"/>
        </w:rPr>
      </w:pPr>
      <w:r>
        <w:rPr>
          <w:rFonts w:ascii="Arial" w:cs="Arial" w:eastAsia="Arial" w:hAnsi="Arial"/>
          <w:sz w:val="14"/>
          <w:szCs w:val="14"/>
          <w:b w:val="1"/>
          <w:bCs w:val="1"/>
          <w:color w:val="auto"/>
        </w:rPr>
        <w:t>Associations</w:t>
      </w:r>
    </w:p>
    <w:p>
      <w:pPr>
        <w:spacing w:after="0" w:line="1" w:lineRule="exact"/>
        <w:rPr>
          <w:sz w:val="20"/>
          <w:szCs w:val="20"/>
          <w:color w:val="auto"/>
        </w:rPr>
      </w:pPr>
    </w:p>
    <w:p>
      <w:pPr>
        <w:ind w:left="140" w:right="6619"/>
        <w:spacing w:after="0" w:line="243" w:lineRule="auto"/>
        <w:rPr>
          <w:sz w:val="20"/>
          <w:szCs w:val="20"/>
          <w:color w:val="auto"/>
        </w:rPr>
      </w:pPr>
      <w:r>
        <w:rPr>
          <w:rFonts w:ascii="Arial" w:cs="Arial" w:eastAsia="Arial" w:hAnsi="Arial"/>
          <w:sz w:val="13"/>
          <w:szCs w:val="13"/>
          <w:color w:val="auto"/>
        </w:rPr>
        <w:t>Experience in a government or regulatory role and/or experience with regulatory and policy-making organizations relating to business, government, technology or public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23495</wp:posOffset>
            </wp:positionV>
            <wp:extent cx="56235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-515620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-515620</wp:posOffset>
            </wp:positionV>
            <wp:extent cx="128905"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-515620</wp:posOffset>
            </wp:positionV>
            <wp:extent cx="128905"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-515620</wp:posOffset>
            </wp:positionV>
            <wp:extent cx="128905" cy="1289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-515620</wp:posOffset>
            </wp:positionV>
            <wp:extent cx="128270"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-515620</wp:posOffset>
            </wp:positionV>
            <wp:extent cx="128905" cy="1289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-515620</wp:posOffset>
            </wp:positionV>
            <wp:extent cx="128905"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-515620</wp:posOffset>
            </wp:positionV>
            <wp:extent cx="128905"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-515620</wp:posOffset>
            </wp:positionV>
            <wp:extent cx="128905" cy="1289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-515620</wp:posOffset>
            </wp:positionV>
            <wp:extent cx="128905"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Public Board</w:t>
      </w:r>
    </w:p>
    <w:p>
      <w:pPr>
        <w:spacing w:after="0" w:line="10" w:lineRule="exact"/>
        <w:rPr>
          <w:sz w:val="20"/>
          <w:szCs w:val="20"/>
          <w:color w:val="auto"/>
        </w:rPr>
      </w:pPr>
    </w:p>
    <w:p>
      <w:pPr>
        <w:ind w:left="140" w:right="6619"/>
        <w:spacing w:after="0" w:line="250" w:lineRule="auto"/>
        <w:rPr>
          <w:sz w:val="20"/>
          <w:szCs w:val="20"/>
          <w:color w:val="auto"/>
        </w:rPr>
      </w:pPr>
      <w:r>
        <w:rPr>
          <w:rFonts w:ascii="Arial" w:cs="Arial" w:eastAsia="Arial" w:hAnsi="Arial"/>
          <w:sz w:val="13"/>
          <w:szCs w:val="13"/>
          <w:color w:val="auto"/>
        </w:rPr>
        <w:t>Governance and oversight experience gained through service on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20955</wp:posOffset>
            </wp:positionV>
            <wp:extent cx="56235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-269875</wp:posOffset>
            </wp:positionV>
            <wp:extent cx="128905" cy="1289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-269875</wp:posOffset>
            </wp:positionV>
            <wp:extent cx="128905" cy="1289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-269875</wp:posOffset>
            </wp:positionV>
            <wp:extent cx="128905"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-269875</wp:posOffset>
            </wp:positionV>
            <wp:extent cx="128905" cy="1289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-269875</wp:posOffset>
            </wp:positionV>
            <wp:extent cx="12827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-269875</wp:posOffset>
            </wp:positionV>
            <wp:extent cx="128905"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-269875</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-269875</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63500</wp:posOffset>
            </wp:positionV>
            <wp:extent cx="128905" cy="1289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2705735</wp:posOffset>
            </wp:positionH>
            <wp:positionV relativeFrom="paragraph">
              <wp:posOffset>63500</wp:posOffset>
            </wp:positionV>
            <wp:extent cx="128905" cy="1289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63500</wp:posOffset>
            </wp:positionV>
            <wp:extent cx="128270" cy="1289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63500</wp:posOffset>
            </wp:positionV>
            <wp:extent cx="128905" cy="1289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63500</wp:posOffset>
            </wp:positionV>
            <wp:extent cx="128905" cy="12890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1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Gender/Racial/Ethnic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57785</wp:posOffset>
            </wp:positionV>
            <wp:extent cx="56235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25" w:lineRule="exact"/>
        <w:rPr>
          <w:sz w:val="20"/>
          <w:szCs w:val="20"/>
          <w:color w:val="auto"/>
        </w:rPr>
      </w:pPr>
    </w:p>
    <w:tbl>
      <w:tblPr>
        <w:tblLayout w:type="fixed"/>
        <w:tblInd w:w="80" w:type="dxa"/>
        <w:tblCellMar>
          <w:top w:w="0" w:type="dxa"/>
          <w:left w:w="0" w:type="dxa"/>
          <w:bottom w:w="0" w:type="dxa"/>
          <w:right w:w="0" w:type="dxa"/>
        </w:tblCellMar>
      </w:tblPr>
      <w:tr>
        <w:trPr>
          <w:trHeight w:val="243"/>
        </w:trPr>
        <w:tc>
          <w:tcPr>
            <w:tcW w:w="2040" w:type="dxa"/>
            <w:vAlign w:val="bottom"/>
          </w:tcPr>
          <w:p>
            <w:pPr>
              <w:spacing w:after="0"/>
              <w:rPr>
                <w:sz w:val="20"/>
                <w:szCs w:val="20"/>
                <w:color w:val="auto"/>
              </w:rPr>
            </w:pPr>
            <w:r>
              <w:rPr>
                <w:rFonts w:ascii="Arial" w:cs="Arial" w:eastAsia="Arial" w:hAnsi="Arial"/>
                <w:sz w:val="17"/>
                <w:szCs w:val="17"/>
                <w:b w:val="1"/>
                <w:bCs w:val="1"/>
                <w:color w:val="auto"/>
              </w:rPr>
              <w:t>Industry Expertise</w:t>
            </w:r>
          </w:p>
        </w:tc>
        <w:tc>
          <w:tcPr>
            <w:tcW w:w="540" w:type="dxa"/>
            <w:vAlign w:val="bottom"/>
          </w:tcPr>
          <w:p>
            <w:pPr>
              <w:spacing w:after="0"/>
              <w:rPr>
                <w:sz w:val="21"/>
                <w:szCs w:val="21"/>
                <w:color w:val="auto"/>
              </w:rPr>
            </w:pPr>
          </w:p>
        </w:tc>
        <w:tc>
          <w:tcPr>
            <w:tcW w:w="420" w:type="dxa"/>
            <w:vAlign w:val="bottom"/>
          </w:tcPr>
          <w:p>
            <w:pPr>
              <w:ind w:left="220"/>
              <w:spacing w:after="0"/>
              <w:rPr>
                <w:sz w:val="20"/>
                <w:szCs w:val="20"/>
                <w:color w:val="auto"/>
              </w:rPr>
            </w:pPr>
            <w:r>
              <w:rPr>
                <w:rFonts w:ascii="Arial" w:cs="Arial" w:eastAsia="Arial" w:hAnsi="Arial"/>
                <w:sz w:val="17"/>
                <w:szCs w:val="17"/>
                <w:color w:val="auto"/>
              </w:rPr>
              <w:t> </w:t>
            </w:r>
          </w:p>
        </w:tc>
        <w:tc>
          <w:tcPr>
            <w:tcW w:w="5280" w:type="dxa"/>
            <w:vAlign w:val="bottom"/>
            <w:gridSpan w:val="4"/>
          </w:tcPr>
          <w:p>
            <w:pPr>
              <w:ind w:left="160"/>
              <w:spacing w:after="0"/>
              <w:rPr>
                <w:sz w:val="20"/>
                <w:szCs w:val="20"/>
                <w:color w:val="auto"/>
              </w:rPr>
            </w:pPr>
            <w:r>
              <w:rPr>
                <w:rFonts w:ascii="Arial" w:cs="Arial" w:eastAsia="Arial" w:hAnsi="Arial"/>
                <w:sz w:val="17"/>
                <w:szCs w:val="17"/>
                <w:b w:val="1"/>
                <w:bCs w:val="1"/>
                <w:color w:val="auto"/>
              </w:rPr>
              <w:t>Effective Board Leadership, Independent Oversight and Strong</w:t>
            </w:r>
          </w:p>
        </w:tc>
        <w:tc>
          <w:tcPr>
            <w:tcW w:w="0" w:type="dxa"/>
            <w:vAlign w:val="bottom"/>
          </w:tcPr>
          <w:p>
            <w:pPr>
              <w:spacing w:after="0"/>
              <w:rPr>
                <w:sz w:val="1"/>
                <w:szCs w:val="1"/>
                <w:color w:val="auto"/>
              </w:rPr>
            </w:pPr>
          </w:p>
        </w:tc>
      </w:tr>
      <w:tr>
        <w:trPr>
          <w:trHeight w:val="235"/>
        </w:trPr>
        <w:tc>
          <w:tcPr>
            <w:tcW w:w="2040" w:type="dxa"/>
            <w:vAlign w:val="bottom"/>
            <w:vMerge w:val="restart"/>
          </w:tcPr>
          <w:p>
            <w:pPr>
              <w:ind w:left="140"/>
              <w:spacing w:after="0"/>
              <w:rPr>
                <w:sz w:val="20"/>
                <w:szCs w:val="20"/>
                <w:color w:val="auto"/>
              </w:rPr>
            </w:pPr>
            <w:r>
              <w:rPr>
                <w:rFonts w:ascii="Arial" w:cs="Arial" w:eastAsia="Arial" w:hAnsi="Arial"/>
                <w:sz w:val="13"/>
                <w:szCs w:val="13"/>
                <w:color w:val="auto"/>
              </w:rPr>
              <w:t>Healthcare</w:t>
            </w: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7"/>
                <w:szCs w:val="17"/>
                <w:b w:val="1"/>
                <w:bCs w:val="1"/>
                <w:color w:val="auto"/>
              </w:rPr>
              <w:t>Corporate Governance</w:t>
            </w:r>
          </w:p>
        </w:tc>
        <w:tc>
          <w:tcPr>
            <w:tcW w:w="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20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40" w:type="dxa"/>
            <w:vAlign w:val="bottom"/>
            <w:tcBorders>
              <w:bottom w:val="single" w:sz="8" w:color="F0533D"/>
            </w:tcBorders>
          </w:tcPr>
          <w:p>
            <w:pPr>
              <w:spacing w:after="0"/>
              <w:rPr>
                <w:sz w:val="10"/>
                <w:szCs w:val="10"/>
                <w:color w:val="auto"/>
              </w:rPr>
            </w:pPr>
          </w:p>
        </w:tc>
        <w:tc>
          <w:tcPr>
            <w:tcW w:w="540" w:type="dxa"/>
            <w:vAlign w:val="bottom"/>
            <w:tcBorders>
              <w:bottom w:val="single" w:sz="8" w:color="F0533D"/>
            </w:tcBorders>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vMerge w:val="restart"/>
          </w:tcPr>
          <w:p>
            <w:pPr>
              <w:ind w:left="460"/>
              <w:spacing w:after="0"/>
              <w:rPr>
                <w:sz w:val="20"/>
                <w:szCs w:val="20"/>
                <w:color w:val="auto"/>
              </w:rPr>
            </w:pPr>
            <w:r>
              <w:rPr>
                <w:rFonts w:ascii="Arial" w:cs="Arial" w:eastAsia="Arial" w:hAnsi="Arial"/>
                <w:sz w:val="14"/>
                <w:szCs w:val="14"/>
                <w:color w:val="auto"/>
                <w:w w:val="71"/>
              </w:rPr>
              <w:t> </w:t>
            </w:r>
          </w:p>
        </w:tc>
        <w:tc>
          <w:tcPr>
            <w:tcW w:w="2140" w:type="dxa"/>
            <w:vAlign w:val="bottom"/>
            <w:vMerge w:val="restart"/>
          </w:tcPr>
          <w:p>
            <w:pPr>
              <w:ind w:left="60"/>
              <w:spacing w:after="0"/>
              <w:rPr>
                <w:sz w:val="20"/>
                <w:szCs w:val="20"/>
                <w:color w:val="auto"/>
              </w:rPr>
            </w:pPr>
            <w:r>
              <w:rPr>
                <w:rFonts w:ascii="Arial" w:cs="Arial" w:eastAsia="Arial" w:hAnsi="Arial"/>
                <w:sz w:val="24"/>
                <w:szCs w:val="24"/>
                <w:color w:val="auto"/>
              </w:rPr>
              <w:t xml:space="preserve">100% </w:t>
            </w:r>
            <w:r>
              <w:rPr>
                <w:rFonts w:ascii="Arial" w:cs="Arial" w:eastAsia="Arial" w:hAnsi="Arial"/>
                <w:sz w:val="17"/>
                <w:szCs w:val="17"/>
                <w:color w:val="auto"/>
              </w:rPr>
              <w:t>of Committee</w:t>
            </w:r>
          </w:p>
        </w:tc>
        <w:tc>
          <w:tcPr>
            <w:tcW w:w="520" w:type="dxa"/>
            <w:vAlign w:val="bottom"/>
            <w:vMerge w:val="restart"/>
          </w:tcPr>
          <w:p>
            <w:pPr>
              <w:ind w:left="400"/>
              <w:spacing w:after="0"/>
              <w:rPr>
                <w:sz w:val="20"/>
                <w:szCs w:val="20"/>
                <w:color w:val="auto"/>
              </w:rPr>
            </w:pPr>
            <w:r>
              <w:rPr>
                <w:rFonts w:ascii="Arial" w:cs="Arial" w:eastAsia="Arial" w:hAnsi="Arial"/>
                <w:sz w:val="14"/>
                <w:szCs w:val="14"/>
                <w:color w:val="auto"/>
                <w:w w:val="71"/>
              </w:rPr>
              <w:t> </w:t>
            </w:r>
          </w:p>
        </w:tc>
        <w:tc>
          <w:tcPr>
            <w:tcW w:w="2040" w:type="dxa"/>
            <w:vAlign w:val="bottom"/>
            <w:vMerge w:val="restart"/>
          </w:tcPr>
          <w:p>
            <w:pPr>
              <w:ind w:left="60"/>
              <w:spacing w:after="0"/>
              <w:rPr>
                <w:sz w:val="20"/>
                <w:szCs w:val="20"/>
                <w:color w:val="auto"/>
              </w:rPr>
            </w:pPr>
            <w:r>
              <w:rPr>
                <w:rFonts w:ascii="Arial" w:cs="Arial" w:eastAsia="Arial" w:hAnsi="Arial"/>
                <w:sz w:val="24"/>
                <w:szCs w:val="24"/>
                <w:color w:val="auto"/>
              </w:rPr>
              <w:t xml:space="preserve">100% </w:t>
            </w:r>
            <w:r>
              <w:rPr>
                <w:rFonts w:ascii="Arial" w:cs="Arial" w:eastAsia="Arial" w:hAnsi="Arial"/>
                <w:sz w:val="17"/>
                <w:szCs w:val="17"/>
                <w:color w:val="auto"/>
              </w:rPr>
              <w:t>of directors</w:t>
            </w:r>
          </w:p>
        </w:tc>
        <w:tc>
          <w:tcPr>
            <w:tcW w:w="0" w:type="dxa"/>
            <w:vAlign w:val="bottom"/>
          </w:tcPr>
          <w:p>
            <w:pPr>
              <w:spacing w:after="0"/>
              <w:rPr>
                <w:sz w:val="1"/>
                <w:szCs w:val="1"/>
                <w:color w:val="auto"/>
              </w:rPr>
            </w:pPr>
          </w:p>
        </w:tc>
      </w:tr>
      <w:tr>
        <w:trPr>
          <w:trHeight w:val="250"/>
        </w:trPr>
        <w:tc>
          <w:tcPr>
            <w:tcW w:w="2040" w:type="dxa"/>
            <w:vAlign w:val="bottom"/>
            <w:vMerge w:val="restart"/>
          </w:tcPr>
          <w:p>
            <w:pPr>
              <w:ind w:left="140"/>
              <w:spacing w:after="0"/>
              <w:rPr>
                <w:sz w:val="20"/>
                <w:szCs w:val="20"/>
                <w:color w:val="auto"/>
              </w:rPr>
            </w:pPr>
            <w:r>
              <w:rPr>
                <w:rFonts w:ascii="Arial" w:cs="Arial" w:eastAsia="Arial" w:hAnsi="Arial"/>
                <w:sz w:val="13"/>
                <w:szCs w:val="13"/>
                <w:color w:val="auto"/>
              </w:rPr>
              <w:t>Services and Facilities Mgmt.</w:t>
            </w:r>
          </w:p>
        </w:tc>
        <w:tc>
          <w:tcPr>
            <w:tcW w:w="5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2140" w:type="dxa"/>
            <w:vAlign w:val="bottom"/>
            <w:vMerge w:val="continue"/>
          </w:tcPr>
          <w:p>
            <w:pPr>
              <w:spacing w:after="0"/>
              <w:rPr>
                <w:sz w:val="21"/>
                <w:szCs w:val="21"/>
                <w:color w:val="auto"/>
              </w:rPr>
            </w:pPr>
          </w:p>
        </w:tc>
        <w:tc>
          <w:tcPr>
            <w:tcW w:w="520" w:type="dxa"/>
            <w:vAlign w:val="bottom"/>
            <w:vMerge w:val="continue"/>
          </w:tcPr>
          <w:p>
            <w:pPr>
              <w:spacing w:after="0"/>
              <w:rPr>
                <w:sz w:val="21"/>
                <w:szCs w:val="21"/>
                <w:color w:val="auto"/>
              </w:rPr>
            </w:pPr>
          </w:p>
        </w:tc>
        <w:tc>
          <w:tcPr>
            <w:tcW w:w="2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2"/>
        </w:trPr>
        <w:tc>
          <w:tcPr>
            <w:tcW w:w="20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40" w:type="dxa"/>
            <w:vAlign w:val="bottom"/>
            <w:tcBorders>
              <w:bottom w:val="single" w:sz="8" w:color="F0533D"/>
            </w:tcBorders>
          </w:tcPr>
          <w:p>
            <w:pPr>
              <w:spacing w:after="0"/>
              <w:rPr>
                <w:sz w:val="10"/>
                <w:szCs w:val="10"/>
                <w:color w:val="auto"/>
              </w:rPr>
            </w:pPr>
          </w:p>
        </w:tc>
        <w:tc>
          <w:tcPr>
            <w:tcW w:w="540" w:type="dxa"/>
            <w:vAlign w:val="bottom"/>
            <w:tcBorders>
              <w:bottom w:val="single" w:sz="8" w:color="F0533D"/>
            </w:tcBorders>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40" w:type="dxa"/>
            <w:vAlign w:val="bottom"/>
            <w:vMerge w:val="restart"/>
          </w:tcPr>
          <w:p>
            <w:pPr>
              <w:ind w:left="60"/>
              <w:spacing w:after="0"/>
              <w:rPr>
                <w:sz w:val="20"/>
                <w:szCs w:val="20"/>
                <w:color w:val="auto"/>
              </w:rPr>
            </w:pPr>
            <w:r>
              <w:rPr>
                <w:rFonts w:ascii="Arial" w:cs="Arial" w:eastAsia="Arial" w:hAnsi="Arial"/>
                <w:sz w:val="17"/>
                <w:szCs w:val="17"/>
                <w:color w:val="auto"/>
              </w:rPr>
              <w:t>members are</w:t>
            </w:r>
          </w:p>
        </w:tc>
        <w:tc>
          <w:tcPr>
            <w:tcW w:w="520" w:type="dxa"/>
            <w:vAlign w:val="bottom"/>
          </w:tcPr>
          <w:p>
            <w:pPr>
              <w:spacing w:after="0"/>
              <w:rPr>
                <w:sz w:val="10"/>
                <w:szCs w:val="10"/>
                <w:color w:val="auto"/>
              </w:rPr>
            </w:pPr>
          </w:p>
        </w:tc>
        <w:tc>
          <w:tcPr>
            <w:tcW w:w="2040" w:type="dxa"/>
            <w:vAlign w:val="bottom"/>
            <w:vMerge w:val="restart"/>
          </w:tcPr>
          <w:p>
            <w:pPr>
              <w:ind w:left="60"/>
              <w:spacing w:after="0"/>
              <w:rPr>
                <w:sz w:val="20"/>
                <w:szCs w:val="20"/>
                <w:color w:val="auto"/>
              </w:rPr>
            </w:pPr>
            <w:r>
              <w:rPr>
                <w:rFonts w:ascii="Arial" w:cs="Arial" w:eastAsia="Arial" w:hAnsi="Arial"/>
                <w:sz w:val="17"/>
                <w:szCs w:val="17"/>
                <w:color w:val="auto"/>
              </w:rPr>
              <w:t>attended our 2025 Annual</w:t>
            </w:r>
          </w:p>
        </w:tc>
        <w:tc>
          <w:tcPr>
            <w:tcW w:w="0" w:type="dxa"/>
            <w:vAlign w:val="bottom"/>
          </w:tcPr>
          <w:p>
            <w:pPr>
              <w:spacing w:after="0"/>
              <w:rPr>
                <w:sz w:val="1"/>
                <w:szCs w:val="1"/>
                <w:color w:val="auto"/>
              </w:rPr>
            </w:pPr>
          </w:p>
        </w:tc>
      </w:tr>
      <w:tr>
        <w:trPr>
          <w:trHeight w:val="133"/>
        </w:trPr>
        <w:tc>
          <w:tcPr>
            <w:tcW w:w="2040" w:type="dxa"/>
            <w:vAlign w:val="bottom"/>
            <w:vMerge w:val="restart"/>
          </w:tcPr>
          <w:p>
            <w:pPr>
              <w:ind w:left="140"/>
              <w:spacing w:after="0"/>
              <w:rPr>
                <w:sz w:val="20"/>
                <w:szCs w:val="20"/>
                <w:color w:val="auto"/>
              </w:rPr>
            </w:pPr>
            <w:r>
              <w:rPr>
                <w:rFonts w:ascii="Arial" w:cs="Arial" w:eastAsia="Arial" w:hAnsi="Arial"/>
                <w:sz w:val="13"/>
                <w:szCs w:val="13"/>
                <w:color w:val="auto"/>
              </w:rPr>
              <w:t>Financial Services &amp;</w:t>
            </w: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140" w:type="dxa"/>
            <w:vAlign w:val="bottom"/>
            <w:vMerge w:val="restart"/>
          </w:tcPr>
          <w:p>
            <w:pPr>
              <w:ind w:left="60"/>
              <w:spacing w:after="0"/>
              <w:rPr>
                <w:sz w:val="20"/>
                <w:szCs w:val="20"/>
                <w:color w:val="auto"/>
              </w:rPr>
            </w:pPr>
            <w:r>
              <w:rPr>
                <w:rFonts w:ascii="Arial" w:cs="Arial" w:eastAsia="Arial" w:hAnsi="Arial"/>
                <w:sz w:val="17"/>
                <w:szCs w:val="17"/>
                <w:color w:val="auto"/>
              </w:rPr>
              <w:t>independent</w:t>
            </w:r>
          </w:p>
        </w:tc>
        <w:tc>
          <w:tcPr>
            <w:tcW w:w="520" w:type="dxa"/>
            <w:vAlign w:val="bottom"/>
          </w:tcPr>
          <w:p>
            <w:pPr>
              <w:spacing w:after="0"/>
              <w:rPr>
                <w:sz w:val="6"/>
                <w:szCs w:val="6"/>
                <w:color w:val="auto"/>
              </w:rPr>
            </w:pPr>
          </w:p>
        </w:tc>
        <w:tc>
          <w:tcPr>
            <w:tcW w:w="2040" w:type="dxa"/>
            <w:vAlign w:val="bottom"/>
            <w:vMerge w:val="restart"/>
          </w:tcPr>
          <w:p>
            <w:pPr>
              <w:ind w:left="60"/>
              <w:spacing w:after="0"/>
              <w:rPr>
                <w:sz w:val="20"/>
                <w:szCs w:val="20"/>
                <w:color w:val="auto"/>
              </w:rPr>
            </w:pPr>
            <w:r>
              <w:rPr>
                <w:rFonts w:ascii="Arial" w:cs="Arial" w:eastAsia="Arial" w:hAnsi="Arial"/>
                <w:sz w:val="17"/>
                <w:szCs w:val="17"/>
                <w:color w:val="auto"/>
              </w:rPr>
              <w:t>Meeting of stockholders</w:t>
            </w:r>
          </w:p>
        </w:tc>
        <w:tc>
          <w:tcPr>
            <w:tcW w:w="0" w:type="dxa"/>
            <w:vAlign w:val="bottom"/>
          </w:tcPr>
          <w:p>
            <w:pPr>
              <w:spacing w:after="0"/>
              <w:rPr>
                <w:sz w:val="1"/>
                <w:szCs w:val="1"/>
                <w:color w:val="auto"/>
              </w:rPr>
            </w:pPr>
          </w:p>
        </w:tc>
      </w:tr>
      <w:tr>
        <w:trPr>
          <w:trHeight w:val="176"/>
        </w:trPr>
        <w:tc>
          <w:tcPr>
            <w:tcW w:w="2040" w:type="dxa"/>
            <w:vAlign w:val="bottom"/>
          </w:tcPr>
          <w:p>
            <w:pPr>
              <w:ind w:left="140"/>
              <w:spacing w:after="0"/>
              <w:rPr>
                <w:sz w:val="20"/>
                <w:szCs w:val="20"/>
                <w:color w:val="auto"/>
              </w:rPr>
            </w:pPr>
            <w:r>
              <w:rPr>
                <w:rFonts w:ascii="Arial" w:cs="Arial" w:eastAsia="Arial" w:hAnsi="Arial"/>
                <w:sz w:val="13"/>
                <w:szCs w:val="13"/>
                <w:color w:val="auto"/>
              </w:rPr>
              <w:t>Insurance</w:t>
            </w:r>
          </w:p>
        </w:tc>
        <w:tc>
          <w:tcPr>
            <w:tcW w:w="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40" w:type="dxa"/>
            <w:vAlign w:val="bottom"/>
            <w:tcBorders>
              <w:bottom w:val="single" w:sz="8" w:color="F0533D"/>
            </w:tcBorders>
          </w:tcPr>
          <w:p>
            <w:pPr>
              <w:spacing w:after="0"/>
              <w:rPr>
                <w:sz w:val="5"/>
                <w:szCs w:val="5"/>
                <w:color w:val="auto"/>
              </w:rPr>
            </w:pPr>
          </w:p>
        </w:tc>
        <w:tc>
          <w:tcPr>
            <w:tcW w:w="540" w:type="dxa"/>
            <w:vAlign w:val="bottom"/>
            <w:tcBorders>
              <w:bottom w:val="single" w:sz="8" w:color="F0533D"/>
            </w:tcBorders>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40" w:type="dxa"/>
            <w:vAlign w:val="bottom"/>
            <w:vMerge w:val="restart"/>
          </w:tcPr>
          <w:p>
            <w:pPr>
              <w:ind w:left="140"/>
              <w:spacing w:after="0"/>
              <w:rPr>
                <w:sz w:val="20"/>
                <w:szCs w:val="20"/>
                <w:color w:val="auto"/>
              </w:rPr>
            </w:pPr>
            <w:r>
              <w:rPr>
                <w:rFonts w:ascii="Arial" w:cs="Arial" w:eastAsia="Arial" w:hAnsi="Arial"/>
                <w:sz w:val="13"/>
                <w:szCs w:val="13"/>
                <w:color w:val="auto"/>
              </w:rPr>
              <w:t>Manufacturing</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 </w:t>
            </w:r>
          </w:p>
        </w:tc>
        <w:tc>
          <w:tcPr>
            <w:tcW w:w="580" w:type="dxa"/>
            <w:vAlign w:val="bottom"/>
            <w:vMerge w:val="restart"/>
          </w:tcPr>
          <w:p>
            <w:pPr>
              <w:ind w:left="460"/>
              <w:spacing w:after="0"/>
              <w:rPr>
                <w:sz w:val="20"/>
                <w:szCs w:val="20"/>
                <w:color w:val="auto"/>
              </w:rPr>
            </w:pPr>
            <w:r>
              <w:rPr>
                <w:rFonts w:ascii="Arial" w:cs="Arial" w:eastAsia="Arial" w:hAnsi="Arial"/>
                <w:sz w:val="14"/>
                <w:szCs w:val="14"/>
                <w:color w:val="auto"/>
                <w:w w:val="71"/>
              </w:rPr>
              <w:t> </w:t>
            </w:r>
          </w:p>
        </w:tc>
        <w:tc>
          <w:tcPr>
            <w:tcW w:w="2140" w:type="dxa"/>
            <w:vAlign w:val="bottom"/>
            <w:vMerge w:val="restart"/>
          </w:tcPr>
          <w:p>
            <w:pPr>
              <w:ind w:left="60"/>
              <w:spacing w:after="0"/>
              <w:rPr>
                <w:sz w:val="20"/>
                <w:szCs w:val="20"/>
                <w:color w:val="auto"/>
              </w:rPr>
            </w:pPr>
            <w:r>
              <w:rPr>
                <w:rFonts w:ascii="Arial" w:cs="Arial" w:eastAsia="Arial" w:hAnsi="Arial"/>
                <w:sz w:val="24"/>
                <w:szCs w:val="24"/>
                <w:color w:val="auto"/>
              </w:rPr>
              <w:t xml:space="preserve">30% </w:t>
            </w:r>
            <w:r>
              <w:rPr>
                <w:rFonts w:ascii="Arial" w:cs="Arial" w:eastAsia="Arial" w:hAnsi="Arial"/>
                <w:sz w:val="17"/>
                <w:szCs w:val="17"/>
                <w:color w:val="auto"/>
              </w:rPr>
              <w:t>of directors are</w:t>
            </w:r>
          </w:p>
        </w:tc>
        <w:tc>
          <w:tcPr>
            <w:tcW w:w="520" w:type="dxa"/>
            <w:vAlign w:val="bottom"/>
            <w:vMerge w:val="restart"/>
          </w:tcPr>
          <w:p>
            <w:pPr>
              <w:ind w:left="400"/>
              <w:spacing w:after="0"/>
              <w:rPr>
                <w:sz w:val="20"/>
                <w:szCs w:val="20"/>
                <w:color w:val="auto"/>
              </w:rPr>
            </w:pPr>
            <w:r>
              <w:rPr>
                <w:rFonts w:ascii="Arial" w:cs="Arial" w:eastAsia="Arial" w:hAnsi="Arial"/>
                <w:sz w:val="14"/>
                <w:szCs w:val="14"/>
                <w:color w:val="auto"/>
                <w:w w:val="71"/>
              </w:rPr>
              <w:t> </w:t>
            </w:r>
          </w:p>
        </w:tc>
        <w:tc>
          <w:tcPr>
            <w:tcW w:w="2040" w:type="dxa"/>
            <w:vAlign w:val="bottom"/>
            <w:vMerge w:val="restart"/>
          </w:tcPr>
          <w:p>
            <w:pPr>
              <w:ind w:left="60"/>
              <w:spacing w:after="0"/>
              <w:rPr>
                <w:sz w:val="20"/>
                <w:szCs w:val="20"/>
                <w:color w:val="auto"/>
              </w:rPr>
            </w:pPr>
            <w:r>
              <w:rPr>
                <w:rFonts w:ascii="Arial" w:cs="Arial" w:eastAsia="Arial" w:hAnsi="Arial"/>
                <w:sz w:val="24"/>
                <w:szCs w:val="24"/>
                <w:color w:val="auto"/>
              </w:rPr>
              <w:t xml:space="preserve">40% </w:t>
            </w:r>
            <w:r>
              <w:rPr>
                <w:rFonts w:ascii="Arial" w:cs="Arial" w:eastAsia="Arial" w:hAnsi="Arial"/>
                <w:sz w:val="17"/>
                <w:szCs w:val="17"/>
                <w:color w:val="auto"/>
              </w:rPr>
              <w:t>of directors are</w:t>
            </w:r>
          </w:p>
        </w:tc>
        <w:tc>
          <w:tcPr>
            <w:tcW w:w="0" w:type="dxa"/>
            <w:vAlign w:val="bottom"/>
          </w:tcPr>
          <w:p>
            <w:pPr>
              <w:spacing w:after="0"/>
              <w:rPr>
                <w:sz w:val="1"/>
                <w:szCs w:val="1"/>
                <w:color w:val="auto"/>
              </w:rPr>
            </w:pPr>
          </w:p>
        </w:tc>
      </w:tr>
      <w:tr>
        <w:trPr>
          <w:trHeight w:val="95"/>
        </w:trPr>
        <w:tc>
          <w:tcPr>
            <w:tcW w:w="20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21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40" w:type="dxa"/>
            <w:vAlign w:val="bottom"/>
            <w:tcBorders>
              <w:bottom w:val="single" w:sz="8" w:color="F0533D"/>
            </w:tcBorders>
          </w:tcPr>
          <w:p>
            <w:pPr>
              <w:spacing w:after="0"/>
              <w:rPr>
                <w:sz w:val="11"/>
                <w:szCs w:val="11"/>
                <w:color w:val="auto"/>
              </w:rPr>
            </w:pPr>
          </w:p>
        </w:tc>
        <w:tc>
          <w:tcPr>
            <w:tcW w:w="540" w:type="dxa"/>
            <w:vAlign w:val="bottom"/>
            <w:tcBorders>
              <w:bottom w:val="single" w:sz="8" w:color="F0533D"/>
            </w:tcBorders>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1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140" w:type="dxa"/>
            <w:vAlign w:val="bottom"/>
          </w:tcPr>
          <w:p>
            <w:pPr>
              <w:ind w:left="60"/>
              <w:spacing w:after="0" w:line="114" w:lineRule="exact"/>
              <w:rPr>
                <w:sz w:val="20"/>
                <w:szCs w:val="20"/>
                <w:color w:val="auto"/>
              </w:rPr>
            </w:pPr>
            <w:r>
              <w:rPr>
                <w:rFonts w:ascii="Arial" w:cs="Arial" w:eastAsia="Arial" w:hAnsi="Arial"/>
                <w:sz w:val="13"/>
                <w:szCs w:val="13"/>
                <w:color w:val="auto"/>
              </w:rPr>
              <w:t>gender diverse</w:t>
            </w:r>
          </w:p>
        </w:tc>
        <w:tc>
          <w:tcPr>
            <w:tcW w:w="520" w:type="dxa"/>
            <w:vAlign w:val="bottom"/>
          </w:tcPr>
          <w:p>
            <w:pPr>
              <w:spacing w:after="0"/>
              <w:rPr>
                <w:sz w:val="9"/>
                <w:szCs w:val="9"/>
                <w:color w:val="auto"/>
              </w:rPr>
            </w:pPr>
          </w:p>
        </w:tc>
        <w:tc>
          <w:tcPr>
            <w:tcW w:w="2040" w:type="dxa"/>
            <w:vAlign w:val="bottom"/>
          </w:tcPr>
          <w:p>
            <w:pPr>
              <w:ind w:left="60"/>
              <w:spacing w:after="0" w:line="114" w:lineRule="exact"/>
              <w:rPr>
                <w:sz w:val="20"/>
                <w:szCs w:val="20"/>
                <w:color w:val="auto"/>
              </w:rPr>
            </w:pPr>
            <w:r>
              <w:rPr>
                <w:rFonts w:ascii="Arial" w:cs="Arial" w:eastAsia="Arial" w:hAnsi="Arial"/>
                <w:sz w:val="13"/>
                <w:szCs w:val="13"/>
                <w:color w:val="auto"/>
              </w:rPr>
              <w:t>racially/ethnically diverse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-1164590</wp:posOffset>
            </wp:positionV>
            <wp:extent cx="180340" cy="1631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80340" cy="16319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-890270</wp:posOffset>
            </wp:positionV>
            <wp:extent cx="162560" cy="1625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-598805</wp:posOffset>
            </wp:positionV>
            <wp:extent cx="146050" cy="146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-316230</wp:posOffset>
            </wp:positionV>
            <wp:extent cx="111125" cy="1625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16256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-24765</wp:posOffset>
            </wp:positionV>
            <wp:extent cx="14605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-864870</wp:posOffset>
            </wp:positionV>
            <wp:extent cx="145415" cy="11112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5415" cy="11112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-255905</wp:posOffset>
            </wp:positionV>
            <wp:extent cx="145415" cy="1117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45415" cy="111760"/>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-864870</wp:posOffset>
            </wp:positionV>
            <wp:extent cx="146050" cy="1111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46050" cy="11112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-255905</wp:posOffset>
            </wp:positionV>
            <wp:extent cx="146050" cy="1117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6050" cy="1117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3"/>
          <w:szCs w:val="13"/>
          <w:color w:val="auto"/>
        </w:rPr>
        <w:t>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76835</wp:posOffset>
            </wp:positionV>
            <wp:extent cx="16459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137160</wp:posOffset>
            </wp:positionV>
            <wp:extent cx="162560" cy="162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62560" cy="162560"/>
                    </a:xfrm>
                    <a:prstGeom prst="rect">
                      <a:avLst/>
                    </a:prstGeom>
                    <a:noFill/>
                  </pic:spPr>
                </pic:pic>
              </a:graphicData>
            </a:graphic>
          </wp:anchor>
        </w:drawing>
      </w:r>
    </w:p>
    <w:p>
      <w:pPr>
        <w:spacing w:after="0" w:line="237"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Aerospace &amp; Defense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93345</wp:posOffset>
            </wp:positionV>
            <wp:extent cx="16459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153035</wp:posOffset>
            </wp:positionV>
            <wp:extent cx="128905" cy="1631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8905" cy="163195"/>
                    </a:xfrm>
                    <a:prstGeom prst="rect">
                      <a:avLst/>
                    </a:prstGeom>
                    <a:noFill/>
                  </pic:spPr>
                </pic:pic>
              </a:graphicData>
            </a:graphic>
          </wp:anchor>
        </w:drawing>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Research &amp;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93345</wp:posOffset>
            </wp:positionV>
            <wp:extent cx="16459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153035</wp:posOffset>
            </wp:positionV>
            <wp:extent cx="180340" cy="1625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80340" cy="162560"/>
                    </a:xfrm>
                    <a:prstGeom prst="rect">
                      <a:avLst/>
                    </a:prstGeom>
                    <a:noFill/>
                  </pic:spPr>
                </pic:pic>
              </a:graphicData>
            </a:graphic>
          </wp:anchor>
        </w:drawing>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3"/>
          <w:szCs w:val="13"/>
          <w:color w:val="auto"/>
        </w:rPr>
        <w:t>Chemicals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41910</wp:posOffset>
            </wp:positionV>
            <wp:extent cx="16459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ectPr>
          <w:pgSz w:w="11900" w:h="16838" w:orient="portrait"/>
          <w:cols w:equalWidth="0" w:num="1">
            <w:col w:w="9019"/>
          </w:cols>
          <w:pgMar w:left="1440" w:top="114" w:right="1440" w:bottom="1099" w:gutter="0" w:footer="0" w:header="0"/>
        </w:sect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099" w:gutter="0" w:footer="0" w:header="0"/>
          <w:type w:val="continuous"/>
        </w:sectPr>
      </w:pPr>
    </w:p>
    <w:bookmarkStart w:id="22" w:name="page23"/>
    <w:bookmarkEnd w:id="2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Director Nomination Process</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119"/>
        <w:spacing w:after="0" w:line="244" w:lineRule="auto"/>
        <w:rPr>
          <w:sz w:val="20"/>
          <w:szCs w:val="20"/>
          <w:color w:val="auto"/>
        </w:rPr>
      </w:pPr>
      <w:r>
        <w:rPr>
          <w:rFonts w:ascii="Arial" w:cs="Arial" w:eastAsia="Arial" w:hAnsi="Arial"/>
          <w:sz w:val="17"/>
          <w:szCs w:val="17"/>
          <w:color w:val="auto"/>
        </w:rPr>
        <w:t>Our Nominating and Governance Committee is responsible for recommending qualified candidates for election to the Board, consistent with the criteria approved by the Board and set forth in our Board Corporate Governance Guidelines and Nominating and Governance Committee Charter. The Board is responsible for selecting nominees for election.</w:t>
      </w:r>
    </w:p>
    <w:p>
      <w:pPr>
        <w:spacing w:after="0" w:line="123" w:lineRule="exact"/>
        <w:rPr>
          <w:sz w:val="20"/>
          <w:szCs w:val="20"/>
          <w:color w:val="auto"/>
        </w:rPr>
      </w:pPr>
    </w:p>
    <w:p>
      <w:pPr>
        <w:ind w:left="80" w:right="139"/>
        <w:spacing w:after="0" w:line="237" w:lineRule="auto"/>
        <w:rPr>
          <w:sz w:val="20"/>
          <w:szCs w:val="20"/>
          <w:color w:val="auto"/>
        </w:rPr>
      </w:pPr>
      <w:r>
        <w:rPr>
          <w:rFonts w:ascii="Arial" w:cs="Arial" w:eastAsia="Arial" w:hAnsi="Arial"/>
          <w:sz w:val="17"/>
          <w:szCs w:val="17"/>
          <w:color w:val="auto"/>
        </w:rPr>
        <w:t>Our Nominating and Governance Committee and the Board seek to ensure that the Board, as a whole, possesses the expertise, qualifications, attributes, experience, and skills to carry out its oversight responsibilities effectively and to align with our long-term strategies. Accordingly, our Board Corporate Governance Guidelines provide that individuals are nominated to join the Board based on all appropriate criteria, which may include strength of character, mature judgment, familiarity with our business and industry, independence of thought, ability to work collegially, existing commitments and engagements, potential conflicts of interest with other pursuits, legal considerations such as antitrust issues, business or professional experience, the diversity of their background and their array of talents and perspectives.</w:t>
      </w:r>
    </w:p>
    <w:p>
      <w:pPr>
        <w:spacing w:after="0" w:line="130" w:lineRule="exact"/>
        <w:rPr>
          <w:sz w:val="20"/>
          <w:szCs w:val="20"/>
          <w:color w:val="auto"/>
        </w:rPr>
      </w:pPr>
    </w:p>
    <w:p>
      <w:pPr>
        <w:ind w:left="80" w:right="79"/>
        <w:spacing w:after="0" w:line="236" w:lineRule="auto"/>
        <w:rPr>
          <w:sz w:val="20"/>
          <w:szCs w:val="20"/>
          <w:color w:val="auto"/>
        </w:rPr>
      </w:pPr>
      <w:r>
        <w:rPr>
          <w:rFonts w:ascii="Arial" w:cs="Arial" w:eastAsia="Arial" w:hAnsi="Arial"/>
          <w:sz w:val="17"/>
          <w:szCs w:val="17"/>
          <w:color w:val="auto"/>
        </w:rPr>
        <w:t>Our directors invest the time and effort necessary to understand the Company’s business and financial strategies and challenges, a policy reflected in our Board Corporate Governance Guidelines. Our directors’ commitment to their oversight responsibilities is reflected by the 100% attendance of directors at Board and Committee meetings in fiscal year 2026. Pursuant to its charter and the Board Corporate Governance Guidelines, before any nomination to the Board, the Nominating and Governance Committee reviews potential directors’ service on other boards, as well as other commitments and engagements, to ensure directors have sufficient time to devote to the Company. Since our inception as a public company, we do not believe that any one of our directors have served on more than four public company boards or have been otherwise “overboarded.” Further, our guidelines provide that no member of the Audit Committee will serve on more than three public company audit committees, including the Company’s, without prior approval of the Board or unless disclosed on our website or Proxy Statement.</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CANDIDATE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38100</wp:posOffset>
            </wp:positionV>
            <wp:extent cx="56235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62" w:lineRule="exact"/>
        <w:rPr>
          <w:sz w:val="20"/>
          <w:szCs w:val="20"/>
          <w:color w:val="auto"/>
        </w:rPr>
      </w:pPr>
    </w:p>
    <w:p>
      <w:pPr>
        <w:ind w:left="940"/>
        <w:spacing w:after="0" w:line="222" w:lineRule="auto"/>
        <w:rPr>
          <w:sz w:val="20"/>
          <w:szCs w:val="20"/>
          <w:color w:val="auto"/>
        </w:rPr>
      </w:pPr>
      <w:r>
        <w:rPr>
          <w:rFonts w:ascii="Arial" w:cs="Arial" w:eastAsia="Arial" w:hAnsi="Arial"/>
          <w:sz w:val="15"/>
          <w:szCs w:val="15"/>
          <w:b w:val="1"/>
          <w:bCs w:val="1"/>
          <w:color w:val="F0533D"/>
        </w:rPr>
        <w:t xml:space="preserve">Business or Professional Experience </w:t>
      </w:r>
      <w:r>
        <w:rPr>
          <w:rFonts w:ascii="Arial" w:cs="Arial" w:eastAsia="Arial" w:hAnsi="Arial"/>
          <w:sz w:val="15"/>
          <w:szCs w:val="15"/>
          <w:color w:val="000000"/>
        </w:rPr>
        <w:t>Industry and/or other relevant business or professional experience, including corporate governance background, financial and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-392430</wp:posOffset>
            </wp:positionV>
            <wp:extent cx="342900" cy="3683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0" cy="368300"/>
                    </a:xfrm>
                    <a:prstGeom prst="rect">
                      <a:avLst/>
                    </a:prstGeom>
                    <a:noFill/>
                  </pic:spPr>
                </pic:pic>
              </a:graphicData>
            </a:graphic>
          </wp:anchor>
        </w:drawing>
      </w:r>
    </w:p>
    <w:p>
      <w:pPr>
        <w:ind w:left="940" w:right="380" w:hanging="859"/>
        <w:spacing w:after="0" w:line="180" w:lineRule="auto"/>
        <w:tabs>
          <w:tab w:leader="none" w:pos="920" w:val="left"/>
        </w:tabs>
        <w:rPr>
          <w:sz w:val="20"/>
          <w:szCs w:val="20"/>
          <w:color w:val="auto"/>
        </w:rPr>
      </w:pPr>
      <w:r>
        <w:rPr>
          <w:rFonts w:ascii="Arial" w:cs="Arial" w:eastAsia="Arial" w:hAnsi="Arial"/>
          <w:sz w:val="28"/>
          <w:szCs w:val="28"/>
          <w:color w:val="auto"/>
          <w:vertAlign w:val="superscript"/>
        </w:rPr>
        <w:t> </w:t>
      </w:r>
      <w:r>
        <w:rPr>
          <w:sz w:val="20"/>
          <w:szCs w:val="20"/>
          <w:color w:val="auto"/>
        </w:rPr>
        <w:tab/>
      </w:r>
      <w:r>
        <w:rPr>
          <w:rFonts w:ascii="Arial" w:cs="Arial" w:eastAsia="Arial" w:hAnsi="Arial"/>
          <w:sz w:val="14"/>
          <w:szCs w:val="14"/>
          <w:color w:val="auto"/>
        </w:rPr>
        <w:t>background, compliance background and/or executive compensation background</w:t>
      </w:r>
    </w:p>
    <w:p>
      <w:pPr>
        <w:spacing w:after="0" w:line="118" w:lineRule="exact"/>
        <w:rPr>
          <w:sz w:val="20"/>
          <w:szCs w:val="20"/>
          <w:color w:val="auto"/>
        </w:rPr>
      </w:pPr>
    </w:p>
    <w:p>
      <w:pPr>
        <w:jc w:val="both"/>
        <w:ind w:left="940" w:right="300"/>
        <w:spacing w:after="0" w:line="232" w:lineRule="auto"/>
        <w:rPr>
          <w:sz w:val="20"/>
          <w:szCs w:val="20"/>
          <w:color w:val="auto"/>
        </w:rPr>
      </w:pPr>
      <w:r>
        <w:rPr>
          <w:rFonts w:ascii="Arial" w:cs="Arial" w:eastAsia="Arial" w:hAnsi="Arial"/>
          <w:sz w:val="15"/>
          <w:szCs w:val="15"/>
          <w:b w:val="1"/>
          <w:bCs w:val="1"/>
          <w:color w:val="F0533D"/>
        </w:rPr>
        <w:t xml:space="preserve">Technology or Cybersecurity Background </w:t>
      </w:r>
      <w:r>
        <w:rPr>
          <w:rFonts w:ascii="Arial" w:cs="Arial" w:eastAsia="Arial" w:hAnsi="Arial"/>
          <w:sz w:val="15"/>
          <w:szCs w:val="15"/>
          <w:color w:val="000000"/>
        </w:rPr>
        <w:t>Experience in managing technological and/or digital services, information security risks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-304800</wp:posOffset>
            </wp:positionV>
            <wp:extent cx="351155" cy="3346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51155" cy="334645"/>
                    </a:xfrm>
                    <a:prstGeom prst="rect">
                      <a:avLst/>
                    </a:prstGeom>
                    <a:noFill/>
                  </pic:spPr>
                </pic:pic>
              </a:graphicData>
            </a:graphic>
          </wp:anchor>
        </w:drawing>
      </w:r>
    </w:p>
    <w:p>
      <w:pPr>
        <w:ind w:left="940" w:right="180" w:hanging="859"/>
        <w:spacing w:after="0" w:line="244" w:lineRule="auto"/>
        <w:tabs>
          <w:tab w:leader="none" w:pos="920" w:val="left"/>
        </w:tabs>
        <w:rPr>
          <w:sz w:val="20"/>
          <w:szCs w:val="20"/>
          <w:color w:val="auto"/>
        </w:rPr>
      </w:pPr>
      <w:r>
        <w:rPr>
          <w:rFonts w:ascii="Arial" w:cs="Arial" w:eastAsia="Arial" w:hAnsi="Arial"/>
          <w:sz w:val="15"/>
          <w:szCs w:val="15"/>
          <w:color w:val="auto"/>
        </w:rPr>
        <w:t> </w:t>
      </w:r>
      <w:r>
        <w:rPr>
          <w:sz w:val="20"/>
          <w:szCs w:val="20"/>
          <w:color w:val="auto"/>
        </w:rPr>
        <w:tab/>
      </w:r>
      <w:r>
        <w:rPr>
          <w:rFonts w:ascii="Arial" w:cs="Arial" w:eastAsia="Arial" w:hAnsi="Arial"/>
          <w:sz w:val="15"/>
          <w:szCs w:val="15"/>
          <w:color w:val="auto"/>
        </w:rPr>
        <w:t>leadership experience in the technology and/or digital space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929"/>
        <w:spacing w:after="0"/>
        <w:rPr>
          <w:sz w:val="20"/>
          <w:szCs w:val="20"/>
          <w:color w:val="auto"/>
        </w:rPr>
      </w:pPr>
      <w:r>
        <w:rPr>
          <w:rFonts w:ascii="Arial" w:cs="Arial" w:eastAsia="Arial" w:hAnsi="Arial"/>
          <w:sz w:val="15"/>
          <w:szCs w:val="15"/>
          <w:b w:val="1"/>
          <w:bCs w:val="1"/>
          <w:color w:val="F0533D"/>
        </w:rPr>
        <w:t>Array of Talents and Perspectives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-96520</wp:posOffset>
            </wp:positionV>
            <wp:extent cx="351790" cy="3511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51790" cy="351155"/>
                    </a:xfrm>
                    <a:prstGeom prst="rect">
                      <a:avLst/>
                    </a:prstGeom>
                    <a:noFill/>
                  </pic:spPr>
                </pic:pic>
              </a:graphicData>
            </a:graphic>
          </wp:anchor>
        </w:drawing>
      </w:r>
    </w:p>
    <w:p>
      <w:pPr>
        <w:ind w:left="929" w:right="499"/>
        <w:spacing w:after="0" w:line="225" w:lineRule="auto"/>
        <w:rPr>
          <w:sz w:val="20"/>
          <w:szCs w:val="20"/>
          <w:color w:val="auto"/>
        </w:rPr>
      </w:pPr>
      <w:r>
        <w:rPr>
          <w:rFonts w:ascii="Arial" w:cs="Arial" w:eastAsia="Arial" w:hAnsi="Arial"/>
          <w:sz w:val="15"/>
          <w:szCs w:val="15"/>
          <w:color w:val="auto"/>
        </w:rPr>
        <w:t>The particular talents, areas of expertise and diverse perspectives, including international</w:t>
      </w:r>
    </w:p>
    <w:p>
      <w:pPr>
        <w:spacing w:after="0" w:line="1" w:lineRule="exact"/>
        <w:rPr>
          <w:sz w:val="20"/>
          <w:szCs w:val="20"/>
          <w:color w:val="auto"/>
        </w:rPr>
      </w:pPr>
    </w:p>
    <w:p>
      <w:pPr>
        <w:ind w:left="929" w:right="239" w:hanging="929"/>
        <w:spacing w:after="0" w:line="180" w:lineRule="auto"/>
        <w:tabs>
          <w:tab w:leader="none" w:pos="929" w:val="left"/>
        </w:tabs>
        <w:numPr>
          <w:ilvl w:val="0"/>
          <w:numId w:val="38"/>
        </w:numPr>
        <w:rPr>
          <w:rFonts w:ascii="Arial" w:cs="Arial" w:eastAsia="Arial" w:hAnsi="Arial"/>
          <w:sz w:val="29"/>
          <w:szCs w:val="29"/>
          <w:color w:val="auto"/>
          <w:vertAlign w:val="subscript"/>
        </w:rPr>
      </w:pPr>
      <w:r>
        <w:rPr>
          <w:rFonts w:ascii="Arial" w:cs="Arial" w:eastAsia="Arial" w:hAnsi="Arial"/>
          <w:sz w:val="15"/>
          <w:szCs w:val="15"/>
          <w:color w:val="auto"/>
        </w:rPr>
        <w:t>insights, relevant technical skills and/or pertinent business or government acumen they bring to the Board</w:t>
      </w:r>
    </w:p>
    <w:p>
      <w:pPr>
        <w:spacing w:after="0" w:line="109" w:lineRule="exact"/>
        <w:rPr>
          <w:rFonts w:ascii="Arial" w:cs="Arial" w:eastAsia="Arial" w:hAnsi="Arial"/>
          <w:sz w:val="29"/>
          <w:szCs w:val="29"/>
          <w:color w:val="auto"/>
          <w:vertAlign w:val="subscript"/>
        </w:rPr>
      </w:pPr>
    </w:p>
    <w:p>
      <w:pPr>
        <w:ind w:left="929"/>
        <w:spacing w:after="0"/>
        <w:rPr>
          <w:rFonts w:ascii="Arial" w:cs="Arial" w:eastAsia="Arial" w:hAnsi="Arial"/>
          <w:sz w:val="29"/>
          <w:szCs w:val="29"/>
          <w:color w:val="auto"/>
          <w:vertAlign w:val="subscript"/>
        </w:rPr>
      </w:pPr>
      <w:r>
        <w:rPr>
          <w:rFonts w:ascii="Arial" w:cs="Arial" w:eastAsia="Arial" w:hAnsi="Arial"/>
          <w:sz w:val="15"/>
          <w:szCs w:val="15"/>
          <w:b w:val="1"/>
          <w:bCs w:val="1"/>
          <w:color w:val="F0533D"/>
        </w:rPr>
        <w:t>Leadership Experience</w:t>
      </w:r>
    </w:p>
    <w:p>
      <w:pPr>
        <w:spacing w:after="0" w:line="5" w:lineRule="exact"/>
        <w:rPr>
          <w:rFonts w:ascii="Arial" w:cs="Arial" w:eastAsia="Arial" w:hAnsi="Arial"/>
          <w:sz w:val="29"/>
          <w:szCs w:val="29"/>
          <w:color w:val="auto"/>
          <w:vertAlign w:val="subscript"/>
        </w:rPr>
      </w:pPr>
    </w:p>
    <w:p>
      <w:pPr>
        <w:ind w:left="929"/>
        <w:spacing w:after="0" w:line="225" w:lineRule="auto"/>
        <w:rPr>
          <w:rFonts w:ascii="Arial" w:cs="Arial" w:eastAsia="Arial" w:hAnsi="Arial"/>
          <w:sz w:val="29"/>
          <w:szCs w:val="29"/>
          <w:color w:val="auto"/>
          <w:vertAlign w:val="subscript"/>
        </w:rPr>
      </w:pPr>
      <w:r>
        <w:rPr>
          <w:rFonts w:ascii="Arial" w:cs="Arial" w:eastAsia="Arial" w:hAnsi="Arial"/>
          <w:sz w:val="15"/>
          <w:szCs w:val="15"/>
          <w:color w:val="auto"/>
        </w:rPr>
        <w:t>Experience as a senior executive of a global</w:t>
      </w:r>
    </w:p>
    <w:p>
      <w:pPr>
        <w:ind w:left="929" w:right="239" w:hanging="929"/>
        <w:spacing w:after="0" w:line="196" w:lineRule="auto"/>
        <w:tabs>
          <w:tab w:leader="none" w:pos="929" w:val="left"/>
        </w:tabs>
        <w:numPr>
          <w:ilvl w:val="0"/>
          <w:numId w:val="38"/>
        </w:numPr>
        <w:rPr>
          <w:rFonts w:ascii="Arial" w:cs="Arial" w:eastAsia="Arial" w:hAnsi="Arial"/>
          <w:sz w:val="31"/>
          <w:szCs w:val="31"/>
          <w:color w:val="auto"/>
          <w:vertAlign w:val="subscript"/>
        </w:rPr>
      </w:pPr>
      <w:r>
        <w:rPr>
          <w:rFonts w:ascii="Arial" w:cs="Arial" w:eastAsia="Arial" w:hAnsi="Arial"/>
          <w:sz w:val="15"/>
          <w:szCs w:val="15"/>
          <w:color w:val="auto"/>
        </w:rPr>
        <w:t>public or private organization and/or academic institution, with skills and insights gained leading an entity’s business strategy and operations, including managing or overseeing and implementing corporate strategy and development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-2853690</wp:posOffset>
            </wp:positionH>
            <wp:positionV relativeFrom="paragraph">
              <wp:posOffset>21590</wp:posOffset>
            </wp:positionV>
            <wp:extent cx="56235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-835025</wp:posOffset>
            </wp:positionV>
            <wp:extent cx="445770" cy="2489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45770" cy="248920"/>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300" w:space="271"/>
            <w:col w:w="4448"/>
          </w:cols>
          <w:pgMar w:left="1440" w:top="114" w:right="1440" w:bottom="1440" w:gutter="0" w:footer="0" w:header="0"/>
          <w:type w:val="continuous"/>
        </w:sectPr>
      </w:pPr>
    </w:p>
    <w:p>
      <w:pPr>
        <w:ind w:left="80" w:right="219"/>
        <w:spacing w:after="0" w:line="241" w:lineRule="auto"/>
        <w:rPr>
          <w:sz w:val="20"/>
          <w:szCs w:val="20"/>
          <w:color w:val="auto"/>
        </w:rPr>
      </w:pPr>
      <w:r>
        <w:rPr>
          <w:rFonts w:ascii="Arial" w:cs="Arial" w:eastAsia="Arial" w:hAnsi="Arial"/>
          <w:sz w:val="17"/>
          <w:szCs w:val="17"/>
          <w:color w:val="auto"/>
        </w:rPr>
        <w:t>Because the evaluation of these criteria involves the exercise of careful business judgment, the Nominating and Governance Committee and the Board do not have specific minimum qualifications that are applicable to all director candidates. While there is no formal diversity policy, the Committee and the Board carefully consider work experiences along with a range of backgrounds and perspectives when evaluating whether the Board has the right mix of skills, experience and expertise to effectively oversee the management and governance of the Company.</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3" w:name="page24"/>
    <w:bookmarkEnd w:id="2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DIRECTOR CANDIDATE 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0" w:lineRule="exact"/>
        <w:rPr>
          <w:sz w:val="20"/>
          <w:szCs w:val="20"/>
          <w:color w:val="auto"/>
        </w:rPr>
      </w:pPr>
    </w:p>
    <w:p>
      <w:pPr>
        <w:ind w:left="80" w:right="859"/>
        <w:spacing w:after="0" w:line="267" w:lineRule="auto"/>
        <w:rPr>
          <w:sz w:val="20"/>
          <w:szCs w:val="20"/>
          <w:color w:val="auto"/>
        </w:rPr>
      </w:pPr>
      <w:r>
        <w:rPr>
          <w:rFonts w:ascii="Arial" w:cs="Arial" w:eastAsia="Arial" w:hAnsi="Arial"/>
          <w:sz w:val="17"/>
          <w:szCs w:val="17"/>
          <w:color w:val="auto"/>
        </w:rPr>
        <w:t>The Nominating and Governance Committee and the Board identify candidates through a variety of means,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63500</wp:posOffset>
            </wp:positionV>
            <wp:extent cx="283210" cy="2825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63500</wp:posOffset>
            </wp:positionV>
            <wp:extent cx="93980" cy="8312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3980" cy="83121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63500</wp:posOffset>
            </wp:positionV>
            <wp:extent cx="196850" cy="3003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6850" cy="30035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63500</wp:posOffset>
            </wp:positionV>
            <wp:extent cx="93980" cy="8312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3980" cy="83121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63500</wp:posOffset>
            </wp:positionV>
            <wp:extent cx="342900" cy="3003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42900" cy="3003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63500</wp:posOffset>
            </wp:positionV>
            <wp:extent cx="600075" cy="8312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00075" cy="83121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780" w:type="dxa"/>
            <w:vAlign w:val="bottom"/>
          </w:tcPr>
          <w:p>
            <w:pPr>
              <w:ind w:left="160"/>
              <w:spacing w:after="0"/>
              <w:rPr>
                <w:sz w:val="20"/>
                <w:szCs w:val="20"/>
                <w:color w:val="auto"/>
              </w:rPr>
            </w:pPr>
            <w:r>
              <w:rPr>
                <w:rFonts w:ascii="Arial" w:cs="Arial" w:eastAsia="Arial" w:hAnsi="Arial"/>
                <w:sz w:val="15"/>
                <w:szCs w:val="15"/>
                <w:color w:val="auto"/>
              </w:rPr>
              <w:t> </w:t>
            </w:r>
          </w:p>
        </w:tc>
        <w:tc>
          <w:tcPr>
            <w:tcW w:w="2380" w:type="dxa"/>
            <w:vAlign w:val="bottom"/>
          </w:tcPr>
          <w:p>
            <w:pPr>
              <w:ind w:left="600"/>
              <w:spacing w:after="0"/>
              <w:rPr>
                <w:sz w:val="20"/>
                <w:szCs w:val="20"/>
                <w:color w:val="auto"/>
              </w:rPr>
            </w:pPr>
            <w:r>
              <w:rPr>
                <w:rFonts w:ascii="Arial" w:cs="Arial" w:eastAsia="Arial" w:hAnsi="Arial"/>
                <w:sz w:val="15"/>
                <w:szCs w:val="15"/>
                <w:color w:val="auto"/>
              </w:rPr>
              <w:t> </w:t>
            </w:r>
          </w:p>
        </w:tc>
        <w:tc>
          <w:tcPr>
            <w:tcW w:w="2160" w:type="dxa"/>
            <w:vAlign w:val="bottom"/>
          </w:tcPr>
          <w:p>
            <w:pPr>
              <w:ind w:left="580"/>
              <w:spacing w:after="0"/>
              <w:rPr>
                <w:sz w:val="20"/>
                <w:szCs w:val="20"/>
                <w:color w:val="auto"/>
              </w:rPr>
            </w:pPr>
            <w:r>
              <w:rPr>
                <w:rFonts w:ascii="Arial" w:cs="Arial" w:eastAsia="Arial" w:hAnsi="Arial"/>
                <w:sz w:val="15"/>
                <w:szCs w:val="15"/>
                <w:color w:val="auto"/>
              </w:rPr>
              <w:t> </w:t>
            </w:r>
          </w:p>
        </w:tc>
        <w:tc>
          <w:tcPr>
            <w:tcW w:w="2480" w:type="dxa"/>
            <w:vAlign w:val="bottom"/>
          </w:tcPr>
          <w:p>
            <w:pPr>
              <w:ind w:left="800"/>
              <w:spacing w:after="0"/>
              <w:rPr>
                <w:sz w:val="20"/>
                <w:szCs w:val="20"/>
                <w:color w:val="auto"/>
              </w:rPr>
            </w:pPr>
            <w:r>
              <w:rPr>
                <w:rFonts w:ascii="Arial" w:cs="Arial" w:eastAsia="Arial" w:hAnsi="Arial"/>
                <w:sz w:val="15"/>
                <w:szCs w:val="15"/>
                <w:color w:val="auto"/>
              </w:rPr>
              <w:t> </w:t>
            </w:r>
          </w:p>
        </w:tc>
      </w:tr>
      <w:tr>
        <w:trPr>
          <w:trHeight w:val="168"/>
        </w:trPr>
        <w:tc>
          <w:tcPr>
            <w:tcW w:w="1780" w:type="dxa"/>
            <w:vAlign w:val="bottom"/>
          </w:tcPr>
          <w:p>
            <w:pPr>
              <w:spacing w:after="0" w:line="168" w:lineRule="exact"/>
              <w:rPr>
                <w:sz w:val="20"/>
                <w:szCs w:val="20"/>
                <w:color w:val="auto"/>
              </w:rPr>
            </w:pPr>
            <w:r>
              <w:rPr>
                <w:rFonts w:ascii="Arial" w:cs="Arial" w:eastAsia="Arial" w:hAnsi="Arial"/>
                <w:sz w:val="15"/>
                <w:szCs w:val="15"/>
                <w:color w:val="auto"/>
              </w:rPr>
              <w:t>Recommendations from</w:t>
            </w:r>
          </w:p>
        </w:tc>
        <w:tc>
          <w:tcPr>
            <w:tcW w:w="2380" w:type="dxa"/>
            <w:vAlign w:val="bottom"/>
          </w:tcPr>
          <w:p>
            <w:pPr>
              <w:ind w:left="600"/>
              <w:spacing w:after="0" w:line="168" w:lineRule="exact"/>
              <w:rPr>
                <w:sz w:val="20"/>
                <w:szCs w:val="20"/>
                <w:color w:val="auto"/>
              </w:rPr>
            </w:pPr>
            <w:r>
              <w:rPr>
                <w:rFonts w:ascii="Arial" w:cs="Arial" w:eastAsia="Arial" w:hAnsi="Arial"/>
                <w:sz w:val="15"/>
                <w:szCs w:val="15"/>
                <w:color w:val="auto"/>
              </w:rPr>
              <w:t>Recommendations from</w:t>
            </w:r>
          </w:p>
        </w:tc>
        <w:tc>
          <w:tcPr>
            <w:tcW w:w="2160" w:type="dxa"/>
            <w:vAlign w:val="bottom"/>
          </w:tcPr>
          <w:p>
            <w:pPr>
              <w:ind w:left="580"/>
              <w:spacing w:after="0" w:line="168" w:lineRule="exact"/>
              <w:rPr>
                <w:sz w:val="20"/>
                <w:szCs w:val="20"/>
                <w:color w:val="auto"/>
              </w:rPr>
            </w:pPr>
            <w:r>
              <w:rPr>
                <w:rFonts w:ascii="Arial" w:cs="Arial" w:eastAsia="Arial" w:hAnsi="Arial"/>
                <w:sz w:val="15"/>
                <w:szCs w:val="15"/>
                <w:color w:val="auto"/>
              </w:rPr>
              <w:t>Suggestions from</w:t>
            </w:r>
          </w:p>
        </w:tc>
        <w:tc>
          <w:tcPr>
            <w:tcW w:w="2480" w:type="dxa"/>
            <w:vAlign w:val="bottom"/>
          </w:tcPr>
          <w:p>
            <w:pPr>
              <w:ind w:left="800"/>
              <w:spacing w:after="0" w:line="168" w:lineRule="exact"/>
              <w:rPr>
                <w:sz w:val="20"/>
                <w:szCs w:val="20"/>
                <w:color w:val="auto"/>
              </w:rPr>
            </w:pPr>
            <w:r>
              <w:rPr>
                <w:rFonts w:ascii="Arial" w:cs="Arial" w:eastAsia="Arial" w:hAnsi="Arial"/>
                <w:sz w:val="15"/>
                <w:szCs w:val="15"/>
                <w:color w:val="auto"/>
              </w:rPr>
              <w:t>A third-party search firm,</w:t>
            </w:r>
          </w:p>
        </w:tc>
      </w:tr>
      <w:tr>
        <w:trPr>
          <w:trHeight w:val="172"/>
        </w:trPr>
        <w:tc>
          <w:tcPr>
            <w:tcW w:w="1780" w:type="dxa"/>
            <w:vAlign w:val="bottom"/>
          </w:tcPr>
          <w:p>
            <w:pPr>
              <w:spacing w:after="0"/>
              <w:rPr>
                <w:sz w:val="20"/>
                <w:szCs w:val="20"/>
                <w:color w:val="auto"/>
              </w:rPr>
            </w:pPr>
            <w:r>
              <w:rPr>
                <w:rFonts w:ascii="Arial" w:cs="Arial" w:eastAsia="Arial" w:hAnsi="Arial"/>
                <w:sz w:val="15"/>
                <w:szCs w:val="15"/>
                <w:color w:val="auto"/>
              </w:rPr>
              <w:t>the Committee and the</w:t>
            </w:r>
          </w:p>
        </w:tc>
        <w:tc>
          <w:tcPr>
            <w:tcW w:w="2380" w:type="dxa"/>
            <w:vAlign w:val="bottom"/>
          </w:tcPr>
          <w:p>
            <w:pPr>
              <w:ind w:left="600"/>
              <w:spacing w:after="0"/>
              <w:rPr>
                <w:sz w:val="20"/>
                <w:szCs w:val="20"/>
                <w:color w:val="auto"/>
              </w:rPr>
            </w:pPr>
            <w:r>
              <w:rPr>
                <w:rFonts w:ascii="Arial" w:cs="Arial" w:eastAsia="Arial" w:hAnsi="Arial"/>
                <w:sz w:val="15"/>
                <w:szCs w:val="15"/>
                <w:color w:val="auto"/>
              </w:rPr>
              <w:t>stockholders</w:t>
            </w:r>
          </w:p>
        </w:tc>
        <w:tc>
          <w:tcPr>
            <w:tcW w:w="2160" w:type="dxa"/>
            <w:vAlign w:val="bottom"/>
          </w:tcPr>
          <w:p>
            <w:pPr>
              <w:ind w:left="580"/>
              <w:spacing w:after="0"/>
              <w:rPr>
                <w:sz w:val="20"/>
                <w:szCs w:val="20"/>
                <w:color w:val="auto"/>
              </w:rPr>
            </w:pPr>
            <w:r>
              <w:rPr>
                <w:rFonts w:ascii="Arial" w:cs="Arial" w:eastAsia="Arial" w:hAnsi="Arial"/>
                <w:sz w:val="15"/>
                <w:szCs w:val="15"/>
                <w:color w:val="auto"/>
              </w:rPr>
              <w:t>management</w:t>
            </w:r>
          </w:p>
        </w:tc>
        <w:tc>
          <w:tcPr>
            <w:tcW w:w="2480" w:type="dxa"/>
            <w:vAlign w:val="bottom"/>
          </w:tcPr>
          <w:p>
            <w:pPr>
              <w:ind w:left="800"/>
              <w:spacing w:after="0"/>
              <w:rPr>
                <w:sz w:val="20"/>
                <w:szCs w:val="20"/>
                <w:color w:val="auto"/>
              </w:rPr>
            </w:pPr>
            <w:r>
              <w:rPr>
                <w:rFonts w:ascii="Arial" w:cs="Arial" w:eastAsia="Arial" w:hAnsi="Arial"/>
                <w:sz w:val="15"/>
                <w:szCs w:val="15"/>
                <w:color w:val="auto"/>
              </w:rPr>
              <w:t>periodically</w:t>
            </w:r>
          </w:p>
        </w:tc>
      </w:tr>
      <w:tr>
        <w:trPr>
          <w:trHeight w:val="200"/>
        </w:trPr>
        <w:tc>
          <w:tcPr>
            <w:tcW w:w="1780" w:type="dxa"/>
            <w:vAlign w:val="bottom"/>
          </w:tcPr>
          <w:p>
            <w:pPr>
              <w:spacing w:after="0"/>
              <w:rPr>
                <w:sz w:val="20"/>
                <w:szCs w:val="20"/>
                <w:color w:val="auto"/>
              </w:rPr>
            </w:pPr>
            <w:r>
              <w:rPr>
                <w:rFonts w:ascii="Arial" w:cs="Arial" w:eastAsia="Arial" w:hAnsi="Arial"/>
                <w:sz w:val="15"/>
                <w:szCs w:val="15"/>
                <w:color w:val="auto"/>
              </w:rPr>
              <w:t>full Board</w:t>
            </w:r>
          </w:p>
        </w:tc>
        <w:tc>
          <w:tcPr>
            <w:tcW w:w="2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97"/>
        </w:trPr>
        <w:tc>
          <w:tcPr>
            <w:tcW w:w="1780" w:type="dxa"/>
            <w:vAlign w:val="bottom"/>
          </w:tcPr>
          <w:p>
            <w:pPr>
              <w:spacing w:after="0"/>
              <w:rPr>
                <w:sz w:val="24"/>
                <w:szCs w:val="24"/>
                <w:color w:val="auto"/>
              </w:rPr>
            </w:pPr>
          </w:p>
        </w:tc>
        <w:tc>
          <w:tcPr>
            <w:tcW w:w="2380" w:type="dxa"/>
            <w:vAlign w:val="bottom"/>
          </w:tcPr>
          <w:p>
            <w:pPr>
              <w:ind w:left="160"/>
              <w:spacing w:after="0"/>
              <w:rPr>
                <w:sz w:val="20"/>
                <w:szCs w:val="20"/>
                <w:color w:val="auto"/>
              </w:rPr>
            </w:pPr>
            <w:r>
              <w:rPr>
                <w:rFonts w:ascii="Arial" w:cs="Arial" w:eastAsia="Arial" w:hAnsi="Arial"/>
                <w:sz w:val="15"/>
                <w:szCs w:val="15"/>
                <w:color w:val="auto"/>
              </w:rPr>
              <w:t> </w:t>
            </w:r>
          </w:p>
        </w:tc>
        <w:tc>
          <w:tcPr>
            <w:tcW w:w="2160" w:type="dxa"/>
            <w:vAlign w:val="bottom"/>
          </w:tcPr>
          <w:p>
            <w:pPr>
              <w:ind w:left="160"/>
              <w:spacing w:after="0"/>
              <w:rPr>
                <w:sz w:val="20"/>
                <w:szCs w:val="20"/>
                <w:color w:val="auto"/>
              </w:rPr>
            </w:pPr>
            <w:r>
              <w:rPr>
                <w:rFonts w:ascii="Arial" w:cs="Arial" w:eastAsia="Arial" w:hAnsi="Arial"/>
                <w:sz w:val="15"/>
                <w:szCs w:val="15"/>
                <w:color w:val="auto"/>
              </w:rPr>
              <w:t> </w:t>
            </w:r>
          </w:p>
        </w:tc>
        <w:tc>
          <w:tcPr>
            <w:tcW w:w="2480" w:type="dxa"/>
            <w:vAlign w:val="bottom"/>
          </w:tcPr>
          <w:p>
            <w:pPr>
              <w:ind w:left="380"/>
              <w:spacing w:after="0"/>
              <w:rPr>
                <w:sz w:val="20"/>
                <w:szCs w:val="20"/>
                <w:color w:val="auto"/>
              </w:rPr>
            </w:pPr>
            <w:r>
              <w:rPr>
                <w:rFonts w:ascii="Arial" w:cs="Arial" w:eastAsia="Arial" w:hAnsi="Arial"/>
                <w:sz w:val="15"/>
                <w:szCs w:val="15"/>
                <w:color w:val="auto"/>
              </w:rPr>
              <w:t> </w:t>
            </w:r>
          </w:p>
        </w:tc>
      </w:tr>
    </w:tbl>
    <w:p>
      <w:pPr>
        <w:spacing w:after="0" w:line="105" w:lineRule="exact"/>
        <w:rPr>
          <w:sz w:val="20"/>
          <w:szCs w:val="20"/>
          <w:color w:val="auto"/>
        </w:rPr>
      </w:pPr>
    </w:p>
    <w:p>
      <w:pPr>
        <w:ind w:left="80" w:right="179"/>
        <w:spacing w:after="0" w:line="241" w:lineRule="auto"/>
        <w:rPr>
          <w:sz w:val="20"/>
          <w:szCs w:val="20"/>
          <w:color w:val="auto"/>
        </w:rPr>
      </w:pPr>
      <w:r>
        <w:rPr>
          <w:rFonts w:ascii="Arial" w:cs="Arial" w:eastAsia="Arial" w:hAnsi="Arial"/>
          <w:sz w:val="17"/>
          <w:szCs w:val="17"/>
          <w:color w:val="auto"/>
        </w:rPr>
        <w:t>In identifying prospective director candidates, the Nominating and Governance Committee may seek referrals from other members of the Board, management, stockholders and other sources. The Nominating and Governance Committee also may, but is not required to, retain a third-party search firm to assist it in identifying qualified candidates. The Nominating and Governance Committee and the Board use the same criteria for evaluating director candidates regardless of the source of the referral.</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STOCKHOLDER RECOMMENDATIONS AND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26" w:lineRule="exact"/>
        <w:rPr>
          <w:sz w:val="20"/>
          <w:szCs w:val="20"/>
          <w:color w:val="auto"/>
        </w:rPr>
      </w:pPr>
    </w:p>
    <w:p>
      <w:pPr>
        <w:ind w:left="80" w:right="119"/>
        <w:spacing w:after="0" w:line="241" w:lineRule="auto"/>
        <w:rPr>
          <w:sz w:val="20"/>
          <w:szCs w:val="20"/>
          <w:color w:val="auto"/>
        </w:rPr>
      </w:pPr>
      <w:r>
        <w:rPr>
          <w:rFonts w:ascii="Arial" w:cs="Arial" w:eastAsia="Arial" w:hAnsi="Arial"/>
          <w:sz w:val="17"/>
          <w:szCs w:val="17"/>
          <w:color w:val="auto"/>
        </w:rPr>
        <w:t>The Nominating and Governance Committee will consider director candidates recommended by stockholders. Any recommendation submitted to the Secretary of the Company should be in writing and should include any supporting material the stockholder considers appropriate in support of that recommendation, and must include information that would be required under the rules of the SEC to be included in a Proxy Statement soliciting proxies for the election of such candidate and a written consent of the candidate to serve as one of our directors if elected.</w:t>
      </w:r>
    </w:p>
    <w:p>
      <w:pPr>
        <w:spacing w:after="0" w:line="126" w:lineRule="exact"/>
        <w:rPr>
          <w:sz w:val="20"/>
          <w:szCs w:val="20"/>
          <w:color w:val="auto"/>
        </w:rPr>
      </w:pPr>
    </w:p>
    <w:p>
      <w:pPr>
        <w:ind w:left="80" w:right="99"/>
        <w:spacing w:after="0" w:line="244" w:lineRule="auto"/>
        <w:rPr>
          <w:sz w:val="20"/>
          <w:szCs w:val="20"/>
          <w:color w:val="auto"/>
        </w:rPr>
      </w:pPr>
      <w:r>
        <w:rPr>
          <w:rFonts w:ascii="Arial" w:cs="Arial" w:eastAsia="Arial" w:hAnsi="Arial"/>
          <w:sz w:val="17"/>
          <w:szCs w:val="17"/>
          <w:color w:val="auto"/>
        </w:rPr>
        <w:t>All recommendations for nomination received by the Secretary that satisfy our Bylaw requirements relating to director nominations will be presented to the Nominating and Governance Committee for its consideration. Stockholders must also satisfy the notification, timeliness and information requirements set forth in our Bylaws. See “Frequently Asked Questions — 18. How do I submit an item of business for the 2027 Annual Meeting?”</w:t>
      </w:r>
    </w:p>
    <w:p>
      <w:pPr>
        <w:spacing w:after="0" w:line="123" w:lineRule="exact"/>
        <w:rPr>
          <w:sz w:val="20"/>
          <w:szCs w:val="20"/>
          <w:color w:val="auto"/>
        </w:rPr>
      </w:pPr>
    </w:p>
    <w:p>
      <w:pPr>
        <w:ind w:left="80" w:right="199"/>
        <w:spacing w:after="0" w:line="249" w:lineRule="auto"/>
        <w:rPr>
          <w:sz w:val="20"/>
          <w:szCs w:val="20"/>
          <w:color w:val="auto"/>
        </w:rPr>
      </w:pPr>
      <w:r>
        <w:rPr>
          <w:rFonts w:ascii="Arial" w:cs="Arial" w:eastAsia="Arial" w:hAnsi="Arial"/>
          <w:sz w:val="17"/>
          <w:szCs w:val="17"/>
          <w:color w:val="auto"/>
        </w:rPr>
        <w:t>Stockholders wishing to propose a candidate for consideration may do so by submitting the information described in this section to: Kyndryl Holdings, Inc., Attention: Corporate Secretary’s Office, One Vanderbilt Avenue, 15th Floor, New York, New York 10017.</w:t>
      </w:r>
    </w:p>
    <w:p>
      <w:pPr>
        <w:spacing w:after="0" w:line="121" w:lineRule="exact"/>
        <w:rPr>
          <w:sz w:val="20"/>
          <w:szCs w:val="20"/>
          <w:color w:val="auto"/>
        </w:rPr>
      </w:pPr>
    </w:p>
    <w:p>
      <w:pPr>
        <w:ind w:left="80" w:right="199"/>
        <w:spacing w:after="0" w:line="237" w:lineRule="auto"/>
        <w:rPr>
          <w:sz w:val="20"/>
          <w:szCs w:val="20"/>
          <w:color w:val="auto"/>
        </w:rPr>
      </w:pPr>
      <w:r>
        <w:rPr>
          <w:rFonts w:ascii="Arial" w:cs="Arial" w:eastAsia="Arial" w:hAnsi="Arial"/>
          <w:sz w:val="17"/>
          <w:szCs w:val="17"/>
          <w:color w:val="auto"/>
        </w:rPr>
        <w:t xml:space="preserve">In addition, our Bylaws permit a stockholder, or a group of up to 20 stockholders, that has continuously owned for three years at least 3% of the Company’s outstanding common stock, to nominate and include in the Company’s annual meeting proxy materials up to the greater of two directors or 20% of the number of directors to be elected at the annual meeting (“Proxy Access”), provided that the stockholder(s) and the nominee(s) satisfy the requirements specified in our Bylaws, which are posted on our Investor Relations website at </w:t>
      </w:r>
      <w:r>
        <w:rPr>
          <w:rFonts w:ascii="Arial" w:cs="Arial" w:eastAsia="Arial" w:hAnsi="Arial"/>
          <w:sz w:val="17"/>
          <w:szCs w:val="17"/>
          <w:b w:val="1"/>
          <w:bCs w:val="1"/>
          <w:i w:val="1"/>
          <w:iCs w:val="1"/>
          <w:color w:val="auto"/>
        </w:rPr>
        <w:t>investors.kyndryl.com</w:t>
      </w:r>
      <w:r>
        <w:rPr>
          <w:rFonts w:ascii="Arial" w:cs="Arial" w:eastAsia="Arial" w:hAnsi="Arial"/>
          <w:sz w:val="17"/>
          <w:szCs w:val="17"/>
          <w:color w:val="auto"/>
        </w:rPr>
        <w:t>. Stockholder requests to include stockholder-nominated directors in the Company’s proxy materials for our 2027 Annual Meeting of Stockholders pursuant to our Proxy Access bylaw must be received by the Company no earlier than January 17, 2027 and no later than February 16, 2027.</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Director Attendance</w:t>
      </w:r>
    </w:p>
    <w:p>
      <w:pPr>
        <w:spacing w:after="0" w:line="173" w:lineRule="exact"/>
        <w:rPr>
          <w:sz w:val="20"/>
          <w:szCs w:val="20"/>
          <w:color w:val="auto"/>
        </w:rPr>
      </w:pPr>
    </w:p>
    <w:p>
      <w:pPr>
        <w:ind w:left="80" w:right="199"/>
        <w:spacing w:after="0" w:line="249" w:lineRule="auto"/>
        <w:rPr>
          <w:sz w:val="20"/>
          <w:szCs w:val="20"/>
          <w:color w:val="auto"/>
        </w:rPr>
      </w:pPr>
      <w:r>
        <w:rPr>
          <w:rFonts w:ascii="Arial" w:cs="Arial" w:eastAsia="Arial" w:hAnsi="Arial"/>
          <w:sz w:val="17"/>
          <w:szCs w:val="17"/>
          <w:color w:val="auto"/>
        </w:rPr>
        <w:t>As reflected in our Board Corporate Governance Guidelines, all directors are responsible for making every effort to attend all meetings of the Board, meetings of the committees of which they are members and the Annual Meeting of Stockholders. This commitment is reflected in the Board’s attendance rate. In the Company’s 2026 fiscal year:</w:t>
      </w:r>
    </w:p>
    <w:p>
      <w:pPr>
        <w:spacing w:after="0" w:line="67" w:lineRule="exact"/>
        <w:rPr>
          <w:sz w:val="20"/>
          <w:szCs w:val="20"/>
          <w:color w:val="auto"/>
        </w:rPr>
      </w:pPr>
    </w:p>
    <w:p>
      <w:pPr>
        <w:ind w:left="900" w:hanging="356"/>
        <w:spacing w:after="0"/>
        <w:tabs>
          <w:tab w:leader="none" w:pos="900" w:val="left"/>
        </w:tabs>
        <w:numPr>
          <w:ilvl w:val="0"/>
          <w:numId w:val="39"/>
        </w:numPr>
        <w:rPr>
          <w:rFonts w:ascii="Arial" w:cs="Arial" w:eastAsia="Arial" w:hAnsi="Arial"/>
          <w:sz w:val="17"/>
          <w:szCs w:val="17"/>
          <w:color w:val="F0533D"/>
        </w:rPr>
      </w:pPr>
      <w:r>
        <w:rPr>
          <w:rFonts w:ascii="Arial" w:cs="Arial" w:eastAsia="Arial" w:hAnsi="Arial"/>
          <w:sz w:val="17"/>
          <w:szCs w:val="17"/>
          <w:color w:val="auto"/>
        </w:rPr>
        <w:t>The Board met 9 times and the committees collectively met 24 times;</w:t>
      </w:r>
    </w:p>
    <w:p>
      <w:pPr>
        <w:spacing w:after="0" w:line="101" w:lineRule="exact"/>
        <w:rPr>
          <w:rFonts w:ascii="Arial" w:cs="Arial" w:eastAsia="Arial" w:hAnsi="Arial"/>
          <w:sz w:val="17"/>
          <w:szCs w:val="17"/>
          <w:color w:val="F0533D"/>
        </w:rPr>
      </w:pPr>
    </w:p>
    <w:p>
      <w:pPr>
        <w:ind w:left="900" w:right="579" w:hanging="356"/>
        <w:spacing w:after="0" w:line="267" w:lineRule="auto"/>
        <w:tabs>
          <w:tab w:leader="none" w:pos="900" w:val="left"/>
        </w:tabs>
        <w:numPr>
          <w:ilvl w:val="0"/>
          <w:numId w:val="39"/>
        </w:numPr>
        <w:rPr>
          <w:rFonts w:ascii="Arial" w:cs="Arial" w:eastAsia="Arial" w:hAnsi="Arial"/>
          <w:sz w:val="17"/>
          <w:szCs w:val="17"/>
          <w:color w:val="F0533D"/>
        </w:rPr>
      </w:pPr>
      <w:r>
        <w:rPr>
          <w:rFonts w:ascii="Arial" w:cs="Arial" w:eastAsia="Arial" w:hAnsi="Arial"/>
          <w:sz w:val="17"/>
          <w:szCs w:val="17"/>
          <w:color w:val="auto"/>
        </w:rPr>
        <w:t>Each director attended 100% of the total number of meetings of the Board and of the committees on which each director served;</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39"/>
        </w:numPr>
        <w:rPr>
          <w:rFonts w:ascii="Arial" w:cs="Arial" w:eastAsia="Arial" w:hAnsi="Arial"/>
          <w:sz w:val="17"/>
          <w:szCs w:val="17"/>
          <w:color w:val="F0533D"/>
        </w:rPr>
      </w:pPr>
      <w:r>
        <w:rPr>
          <w:rFonts w:ascii="Arial" w:cs="Arial" w:eastAsia="Arial" w:hAnsi="Arial"/>
          <w:sz w:val="17"/>
          <w:szCs w:val="17"/>
          <w:color w:val="auto"/>
        </w:rPr>
        <w:t>All 10 of our directors attended the Company’s 2025 Annual Meeting of Stockholders.</w:t>
      </w:r>
    </w:p>
    <w:p>
      <w:pPr>
        <w:spacing w:after="0" w:line="23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Director Independence</w:t>
      </w:r>
    </w:p>
    <w:p>
      <w:pPr>
        <w:spacing w:after="0" w:line="173" w:lineRule="exact"/>
        <w:rPr>
          <w:sz w:val="20"/>
          <w:szCs w:val="20"/>
          <w:color w:val="auto"/>
        </w:rPr>
      </w:pPr>
    </w:p>
    <w:p>
      <w:pPr>
        <w:ind w:left="80" w:right="179"/>
        <w:spacing w:after="0" w:line="249" w:lineRule="auto"/>
        <w:rPr>
          <w:sz w:val="20"/>
          <w:szCs w:val="20"/>
          <w:color w:val="auto"/>
        </w:rPr>
      </w:pPr>
      <w:r>
        <w:rPr>
          <w:rFonts w:ascii="Arial" w:cs="Arial" w:eastAsia="Arial" w:hAnsi="Arial"/>
          <w:sz w:val="17"/>
          <w:szCs w:val="17"/>
          <w:color w:val="auto"/>
        </w:rPr>
        <w:t>Under our Board Corporate Governance Guidelines and NYSE rules, a director is not independent unless our Board affirmatively determines that he or she does not have a direct or indirect material relationship with us or any of our subsidiaries.</w:t>
      </w:r>
    </w:p>
    <w:p>
      <w:pPr>
        <w:spacing w:after="0" w:line="121"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Our Board Corporate Governance Guidelines define independence in accordance with current NYSE standards for listed companies and require that our Nominating and Governance Committee and our Board review the independence of all directors at least annually. The Board considers all relevant facts and circumstances, including information provided through directors’ annual questionnaires and information regarding commercial transactions and relationships between the Company and entities with which a director is affiliated.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16510</wp:posOffset>
            </wp:positionV>
            <wp:extent cx="2562860" cy="1423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62860" cy="1423035"/>
                    </a:xfrm>
                    <a:prstGeom prst="rect">
                      <a:avLst/>
                    </a:prstGeom>
                    <a:noFill/>
                  </pic:spPr>
                </pic:pic>
              </a:graphicData>
            </a:graphic>
          </wp:anchor>
        </w:drawing>
      </w:r>
    </w:p>
    <w:p>
      <w:pPr>
        <w:spacing w:after="0" w:line="133" w:lineRule="exact"/>
        <w:rPr>
          <w:sz w:val="20"/>
          <w:szCs w:val="20"/>
          <w:color w:val="auto"/>
        </w:rPr>
      </w:pPr>
    </w:p>
    <w:p>
      <w:pPr>
        <w:ind w:left="80"/>
        <w:spacing w:after="0"/>
        <w:rPr>
          <w:sz w:val="20"/>
          <w:szCs w:val="20"/>
          <w:color w:val="auto"/>
        </w:rPr>
      </w:pPr>
      <w:r>
        <w:rPr>
          <w:rFonts w:ascii="Arial" w:cs="Arial" w:eastAsia="Arial" w:hAnsi="Arial"/>
          <w:sz w:val="17"/>
          <w:szCs w:val="17"/>
          <w:color w:val="auto"/>
        </w:rPr>
        <w:t>After review of all relevant facts and circumstances, our</w:t>
      </w:r>
    </w:p>
    <w:p>
      <w:pPr>
        <w:spacing w:after="0" w:line="3" w:lineRule="exact"/>
        <w:rPr>
          <w:sz w:val="20"/>
          <w:szCs w:val="20"/>
          <w:color w:val="auto"/>
        </w:rPr>
      </w:pPr>
    </w:p>
    <w:p>
      <w:pPr>
        <w:ind w:left="80"/>
        <w:spacing w:after="0"/>
        <w:rPr>
          <w:sz w:val="20"/>
          <w:szCs w:val="20"/>
          <w:color w:val="auto"/>
        </w:rPr>
      </w:pPr>
      <w:r>
        <w:rPr>
          <w:rFonts w:ascii="Arial" w:cs="Arial" w:eastAsia="Arial" w:hAnsi="Arial"/>
          <w:sz w:val="17"/>
          <w:szCs w:val="17"/>
          <w:color w:val="auto"/>
        </w:rPr>
        <w:t>Board has affirmatively determined that each of Dominic J.</w:t>
      </w:r>
    </w:p>
    <w:p>
      <w:pPr>
        <w:ind w:left="80"/>
        <w:spacing w:after="0" w:line="232" w:lineRule="auto"/>
        <w:rPr>
          <w:sz w:val="20"/>
          <w:szCs w:val="20"/>
          <w:color w:val="auto"/>
        </w:rPr>
      </w:pPr>
      <w:r>
        <w:rPr>
          <w:rFonts w:ascii="Arial" w:cs="Arial" w:eastAsia="Arial" w:hAnsi="Arial"/>
          <w:sz w:val="17"/>
          <w:szCs w:val="17"/>
          <w:color w:val="auto"/>
        </w:rPr>
        <w:t>Caruso, John D. Harris II, Stephen A.M. Hester, Shirley Ann</w:t>
      </w:r>
    </w:p>
    <w:p>
      <w:pPr>
        <w:ind w:left="80"/>
        <w:spacing w:after="0" w:line="232" w:lineRule="auto"/>
        <w:rPr>
          <w:sz w:val="20"/>
          <w:szCs w:val="20"/>
          <w:color w:val="auto"/>
        </w:rPr>
      </w:pPr>
      <w:r>
        <w:rPr>
          <w:rFonts w:ascii="Arial" w:cs="Arial" w:eastAsia="Arial" w:hAnsi="Arial"/>
          <w:sz w:val="17"/>
          <w:szCs w:val="17"/>
          <w:color w:val="auto"/>
        </w:rPr>
        <w:t>Jackson, Janina Kugel, Denis Machuel, Rahul N. Merchant,</w:t>
      </w:r>
    </w:p>
    <w:p>
      <w:pPr>
        <w:ind w:left="80"/>
        <w:spacing w:after="0" w:line="232" w:lineRule="auto"/>
        <w:rPr>
          <w:sz w:val="20"/>
          <w:szCs w:val="20"/>
          <w:color w:val="auto"/>
        </w:rPr>
      </w:pPr>
      <w:r>
        <w:rPr>
          <w:rFonts w:ascii="Arial" w:cs="Arial" w:eastAsia="Arial" w:hAnsi="Arial"/>
          <w:sz w:val="17"/>
          <w:szCs w:val="17"/>
          <w:color w:val="auto"/>
        </w:rPr>
        <w:t>Jana Schreuder and Howard I. Ungerleider is independent</w:t>
      </w:r>
    </w:p>
    <w:p>
      <w:pPr>
        <w:ind w:left="80"/>
        <w:spacing w:after="0" w:line="232" w:lineRule="auto"/>
        <w:rPr>
          <w:sz w:val="20"/>
          <w:szCs w:val="20"/>
          <w:color w:val="auto"/>
        </w:rPr>
      </w:pPr>
      <w:r>
        <w:rPr>
          <w:rFonts w:ascii="Arial" w:cs="Arial" w:eastAsia="Arial" w:hAnsi="Arial"/>
          <w:sz w:val="17"/>
          <w:szCs w:val="17"/>
          <w:color w:val="auto"/>
        </w:rPr>
        <w:t>under the guidelines for director independence set forth in</w:t>
      </w:r>
    </w:p>
    <w:p>
      <w:pPr>
        <w:ind w:left="80"/>
        <w:spacing w:after="0" w:line="232" w:lineRule="auto"/>
        <w:rPr>
          <w:sz w:val="20"/>
          <w:szCs w:val="20"/>
          <w:color w:val="auto"/>
        </w:rPr>
      </w:pPr>
      <w:r>
        <w:rPr>
          <w:rFonts w:ascii="Arial" w:cs="Arial" w:eastAsia="Arial" w:hAnsi="Arial"/>
          <w:sz w:val="17"/>
          <w:szCs w:val="17"/>
          <w:color w:val="auto"/>
        </w:rPr>
        <w:t>the Board Corporate Governance Guidelines and under all</w:t>
      </w:r>
    </w:p>
    <w:p>
      <w:pPr>
        <w:ind w:left="80"/>
        <w:spacing w:after="0" w:line="232" w:lineRule="auto"/>
        <w:rPr>
          <w:sz w:val="20"/>
          <w:szCs w:val="20"/>
          <w:color w:val="auto"/>
        </w:rPr>
      </w:pPr>
      <w:r>
        <w:rPr>
          <w:rFonts w:ascii="Arial" w:cs="Arial" w:eastAsia="Arial" w:hAnsi="Arial"/>
          <w:sz w:val="17"/>
          <w:szCs w:val="17"/>
          <w:color w:val="auto"/>
        </w:rPr>
        <w:t>applicable NYSE rules, including with respect to committee</w:t>
      </w:r>
    </w:p>
    <w:p>
      <w:pPr>
        <w:ind w:left="80"/>
        <w:spacing w:after="0" w:line="232" w:lineRule="auto"/>
        <w:rPr>
          <w:sz w:val="20"/>
          <w:szCs w:val="20"/>
          <w:color w:val="auto"/>
        </w:rPr>
      </w:pPr>
      <w:r>
        <w:rPr>
          <w:rFonts w:ascii="Arial" w:cs="Arial" w:eastAsia="Arial" w:hAnsi="Arial"/>
          <w:sz w:val="17"/>
          <w:szCs w:val="17"/>
          <w:color w:val="auto"/>
        </w:rPr>
        <w:t>membership.</w:t>
      </w:r>
    </w:p>
    <w:p>
      <w:pPr>
        <w:ind w:left="80"/>
        <w:spacing w:after="0"/>
        <w:rPr>
          <w:sz w:val="20"/>
          <w:szCs w:val="20"/>
          <w:color w:val="auto"/>
        </w:rPr>
      </w:pPr>
      <w:r>
        <w:rPr>
          <w:rFonts w:ascii="Arial" w:cs="Arial" w:eastAsia="Arial" w:hAnsi="Arial"/>
          <w:sz w:val="17"/>
          <w:szCs w:val="17"/>
          <w:color w:val="auto"/>
        </w:rPr>
        <w:t> </w:t>
      </w:r>
    </w:p>
    <w:p>
      <w:pPr>
        <w:spacing w:after="0" w:line="45"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Board determined that no transactions between the</w:t>
      </w:r>
    </w:p>
    <w:p>
      <w:pPr>
        <w:spacing w:after="0" w:line="75" w:lineRule="exact"/>
        <w:rPr>
          <w:sz w:val="20"/>
          <w:szCs w:val="20"/>
          <w:color w:val="auto"/>
        </w:rPr>
      </w:pPr>
    </w:p>
    <w:p>
      <w:pPr>
        <w:ind w:left="80" w:right="139"/>
        <w:spacing w:after="0" w:line="241" w:lineRule="auto"/>
        <w:rPr>
          <w:sz w:val="20"/>
          <w:szCs w:val="20"/>
          <w:color w:val="auto"/>
        </w:rPr>
      </w:pPr>
      <w:r>
        <w:rPr>
          <w:rFonts w:ascii="Arial" w:cs="Arial" w:eastAsia="Arial" w:hAnsi="Arial"/>
          <w:sz w:val="17"/>
          <w:szCs w:val="17"/>
          <w:color w:val="auto"/>
        </w:rPr>
        <w:t>Company and a director-affiliated entity were either material or affected the independence of any of our non-employee directors under either our Board Corporate Governance Guidelines or the applicable NYSE rules. In addition, the Board also determined that each member of the Audit Committee and Compensation and Human Capital Committee satisfy the independence requirements applicable to serve on those committees under NYSE and SEC regulations.</w:t>
      </w:r>
    </w:p>
    <w:p>
      <w:pPr>
        <w:spacing w:after="0" w:line="284"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132715</wp:posOffset>
            </wp:positionV>
            <wp:extent cx="942975" cy="9429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42975" cy="94297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132715</wp:posOffset>
            </wp:positionV>
            <wp:extent cx="942975" cy="9429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720" w:type="dxa"/>
        <w:tblCellMar>
          <w:top w:w="0" w:type="dxa"/>
          <w:left w:w="0" w:type="dxa"/>
          <w:bottom w:w="0" w:type="dxa"/>
          <w:right w:w="0" w:type="dxa"/>
        </w:tblCellMar>
      </w:tblPr>
      <w:tr>
        <w:trPr>
          <w:trHeight w:val="200"/>
        </w:trPr>
        <w:tc>
          <w:tcPr>
            <w:tcW w:w="3560" w:type="dxa"/>
            <w:vAlign w:val="bottom"/>
          </w:tcPr>
          <w:p>
            <w:pPr>
              <w:spacing w:after="0"/>
              <w:rPr>
                <w:sz w:val="20"/>
                <w:szCs w:val="20"/>
                <w:color w:val="auto"/>
              </w:rPr>
            </w:pPr>
            <w:r>
              <w:rPr>
                <w:rFonts w:ascii="Arial" w:cs="Arial" w:eastAsia="Arial" w:hAnsi="Arial"/>
                <w:sz w:val="15"/>
                <w:szCs w:val="15"/>
                <w:color w:val="auto"/>
              </w:rPr>
              <w:t> </w:t>
            </w:r>
          </w:p>
        </w:tc>
        <w:tc>
          <w:tcPr>
            <w:tcW w:w="440" w:type="dxa"/>
            <w:vAlign w:val="bottom"/>
          </w:tcPr>
          <w:p>
            <w:pPr>
              <w:spacing w:after="0"/>
              <w:rPr>
                <w:sz w:val="17"/>
                <w:szCs w:val="17"/>
                <w:color w:val="auto"/>
              </w:rPr>
            </w:pPr>
          </w:p>
        </w:tc>
        <w:tc>
          <w:tcPr>
            <w:tcW w:w="3560" w:type="dxa"/>
            <w:vAlign w:val="bottom"/>
          </w:tcPr>
          <w:p>
            <w:pPr>
              <w:ind w:left="100"/>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60" w:type="dxa"/>
            <w:vAlign w:val="bottom"/>
            <w:tcBorders>
              <w:bottom w:val="single" w:sz="8" w:color="F0533D"/>
            </w:tcBorders>
            <w:shd w:val="clear" w:color="auto" w:fill="F0533D"/>
          </w:tcPr>
          <w:p>
            <w:pPr>
              <w:jc w:val="center"/>
              <w:ind w:right="17"/>
              <w:spacing w:after="0"/>
              <w:rPr>
                <w:sz w:val="20"/>
                <w:szCs w:val="20"/>
                <w:color w:val="auto"/>
              </w:rPr>
            </w:pPr>
            <w:r>
              <w:rPr>
                <w:rFonts w:ascii="Arial" w:cs="Arial" w:eastAsia="Arial" w:hAnsi="Arial"/>
                <w:sz w:val="17"/>
                <w:szCs w:val="17"/>
                <w:color w:val="FFFFFF"/>
              </w:rPr>
              <w:t>MARTIN SCHROETER</w:t>
            </w:r>
          </w:p>
        </w:tc>
        <w:tc>
          <w:tcPr>
            <w:tcW w:w="440" w:type="dxa"/>
            <w:vAlign w:val="bottom"/>
          </w:tcPr>
          <w:p>
            <w:pPr>
              <w:spacing w:after="0"/>
              <w:rPr>
                <w:sz w:val="22"/>
                <w:szCs w:val="22"/>
                <w:color w:val="auto"/>
              </w:rPr>
            </w:pPr>
          </w:p>
        </w:tc>
        <w:tc>
          <w:tcPr>
            <w:tcW w:w="3560" w:type="dxa"/>
            <w:vAlign w:val="bottom"/>
            <w:tcBorders>
              <w:bottom w:val="single" w:sz="8" w:color="F0533D"/>
            </w:tcBorders>
            <w:shd w:val="clear" w:color="auto" w:fill="F0533D"/>
          </w:tcPr>
          <w:p>
            <w:pPr>
              <w:jc w:val="center"/>
              <w:ind w:left="18"/>
              <w:spacing w:after="0"/>
              <w:rPr>
                <w:sz w:val="20"/>
                <w:szCs w:val="20"/>
                <w:color w:val="auto"/>
              </w:rPr>
            </w:pPr>
            <w:r>
              <w:rPr>
                <w:rFonts w:ascii="Arial" w:cs="Arial" w:eastAsia="Arial" w:hAnsi="Arial"/>
                <w:sz w:val="17"/>
                <w:szCs w:val="17"/>
                <w:color w:val="FFFFFF"/>
              </w:rPr>
              <w:t>STEPHEN A.M. HESTER</w:t>
            </w:r>
          </w:p>
        </w:tc>
        <w:tc>
          <w:tcPr>
            <w:tcW w:w="0" w:type="dxa"/>
            <w:vAlign w:val="bottom"/>
          </w:tcPr>
          <w:p>
            <w:pPr>
              <w:spacing w:after="0"/>
              <w:rPr>
                <w:sz w:val="1"/>
                <w:szCs w:val="1"/>
                <w:color w:val="auto"/>
              </w:rPr>
            </w:pPr>
          </w:p>
        </w:tc>
      </w:tr>
      <w:tr>
        <w:trPr>
          <w:trHeight w:val="207"/>
        </w:trPr>
        <w:tc>
          <w:tcPr>
            <w:tcW w:w="3560" w:type="dxa"/>
            <w:vAlign w:val="bottom"/>
          </w:tcPr>
          <w:p>
            <w:pPr>
              <w:jc w:val="center"/>
              <w:ind w:right="57"/>
              <w:spacing w:after="0"/>
              <w:rPr>
                <w:sz w:val="20"/>
                <w:szCs w:val="20"/>
                <w:color w:val="auto"/>
              </w:rPr>
            </w:pPr>
            <w:r>
              <w:rPr>
                <w:rFonts w:ascii="Arial" w:cs="Arial" w:eastAsia="Arial" w:hAnsi="Arial"/>
                <w:sz w:val="17"/>
                <w:szCs w:val="17"/>
                <w:color w:val="auto"/>
              </w:rPr>
              <w:t>Chairman of the Board and</w:t>
            </w:r>
          </w:p>
        </w:tc>
        <w:tc>
          <w:tcPr>
            <w:tcW w:w="440" w:type="dxa"/>
            <w:vAlign w:val="bottom"/>
          </w:tcPr>
          <w:p>
            <w:pPr>
              <w:spacing w:after="0"/>
              <w:rPr>
                <w:sz w:val="18"/>
                <w:szCs w:val="18"/>
                <w:color w:val="auto"/>
              </w:rPr>
            </w:pPr>
          </w:p>
        </w:tc>
        <w:tc>
          <w:tcPr>
            <w:tcW w:w="3560" w:type="dxa"/>
            <w:vAlign w:val="bottom"/>
            <w:vMerge w:val="restart"/>
          </w:tcPr>
          <w:p>
            <w:pPr>
              <w:jc w:val="center"/>
              <w:ind w:left="18"/>
              <w:spacing w:after="0"/>
              <w:rPr>
                <w:sz w:val="20"/>
                <w:szCs w:val="20"/>
                <w:color w:val="auto"/>
              </w:rPr>
            </w:pPr>
            <w:r>
              <w:rPr>
                <w:rFonts w:ascii="Arial" w:cs="Arial" w:eastAsia="Arial" w:hAnsi="Arial"/>
                <w:sz w:val="17"/>
                <w:szCs w:val="17"/>
                <w:color w:val="auto"/>
              </w:rPr>
              <w:t>Lead Independent Director</w:t>
            </w:r>
          </w:p>
        </w:tc>
        <w:tc>
          <w:tcPr>
            <w:tcW w:w="0" w:type="dxa"/>
            <w:vAlign w:val="bottom"/>
          </w:tcPr>
          <w:p>
            <w:pPr>
              <w:spacing w:after="0"/>
              <w:rPr>
                <w:sz w:val="1"/>
                <w:szCs w:val="1"/>
                <w:color w:val="auto"/>
              </w:rPr>
            </w:pPr>
          </w:p>
        </w:tc>
      </w:tr>
      <w:tr>
        <w:trPr>
          <w:trHeight w:val="130"/>
        </w:trPr>
        <w:tc>
          <w:tcPr>
            <w:tcW w:w="3560" w:type="dxa"/>
            <w:vAlign w:val="bottom"/>
            <w:vMerge w:val="restart"/>
          </w:tcPr>
          <w:p>
            <w:pPr>
              <w:jc w:val="center"/>
              <w:ind w:right="17"/>
              <w:spacing w:after="0"/>
              <w:rPr>
                <w:sz w:val="20"/>
                <w:szCs w:val="20"/>
                <w:color w:val="auto"/>
              </w:rPr>
            </w:pPr>
            <w:r>
              <w:rPr>
                <w:rFonts w:ascii="Arial" w:cs="Arial" w:eastAsia="Arial" w:hAnsi="Arial"/>
                <w:sz w:val="17"/>
                <w:szCs w:val="17"/>
                <w:color w:val="auto"/>
              </w:rPr>
              <w:t>Chief Executive Officer</w:t>
            </w:r>
          </w:p>
        </w:tc>
        <w:tc>
          <w:tcPr>
            <w:tcW w:w="44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5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3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560" w:type="dxa"/>
            <w:vAlign w:val="bottom"/>
            <w:tcBorders>
              <w:bottom w:val="single" w:sz="8" w:color="F0533D"/>
            </w:tcBorders>
          </w:tcPr>
          <w:p>
            <w:pPr>
              <w:spacing w:after="0"/>
              <w:rPr>
                <w:sz w:val="2"/>
                <w:szCs w:val="2"/>
                <w:color w:val="auto"/>
              </w:rPr>
            </w:pPr>
          </w:p>
        </w:tc>
        <w:tc>
          <w:tcPr>
            <w:tcW w:w="440" w:type="dxa"/>
            <w:vAlign w:val="bottom"/>
          </w:tcPr>
          <w:p>
            <w:pPr>
              <w:spacing w:after="0"/>
              <w:rPr>
                <w:sz w:val="2"/>
                <w:szCs w:val="2"/>
                <w:color w:val="auto"/>
              </w:rPr>
            </w:pPr>
          </w:p>
        </w:tc>
        <w:tc>
          <w:tcPr>
            <w:tcW w:w="3560" w:type="dxa"/>
            <w:vAlign w:val="bottom"/>
            <w:tcBorders>
              <w:bottom w:val="single" w:sz="8" w:color="F0533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right="79"/>
        <w:spacing w:after="0" w:line="237" w:lineRule="auto"/>
        <w:rPr>
          <w:sz w:val="20"/>
          <w:szCs w:val="20"/>
          <w:color w:val="auto"/>
        </w:rPr>
      </w:pPr>
      <w:r>
        <w:rPr>
          <w:rFonts w:ascii="Arial" w:cs="Arial" w:eastAsia="Arial" w:hAnsi="Arial"/>
          <w:sz w:val="17"/>
          <w:szCs w:val="17"/>
          <w:color w:val="auto"/>
        </w:rPr>
        <w:t>Selecting a company’s leadership structure is one of the most important tasks of any board. There is not a one-size-fits-all model for board leadership, which is why our Bylaws provide that the Board has an annual duty to elect a Chairman of the Board from among its members. The Board believes that Kyndryl and its stockholders are best served by maintaining this flexibility and that a permanent leadership policy is not in the best interests of the Company. Therefore, our governing documents enable the Board to determine the appropriate Board leadership structure for the Company and allow the roles of Chairman of the Board and Chief Executive Officer to be filled by the same or different individuals. Additionally, our Board Corporate Governance Guidelines provide that the Company will have a Lead Independent Director whenever the Chairman of the Board is a non-independent director.</w:t>
      </w:r>
    </w:p>
    <w:p>
      <w:pPr>
        <w:spacing w:after="0" w:line="130" w:lineRule="exact"/>
        <w:rPr>
          <w:sz w:val="20"/>
          <w:szCs w:val="20"/>
          <w:color w:val="auto"/>
        </w:rPr>
      </w:pPr>
    </w:p>
    <w:p>
      <w:pPr>
        <w:ind w:left="80" w:right="199"/>
        <w:spacing w:after="0" w:line="241" w:lineRule="auto"/>
        <w:rPr>
          <w:sz w:val="20"/>
          <w:szCs w:val="20"/>
          <w:color w:val="auto"/>
        </w:rPr>
      </w:pPr>
      <w:r>
        <w:rPr>
          <w:rFonts w:ascii="Arial" w:cs="Arial" w:eastAsia="Arial" w:hAnsi="Arial"/>
          <w:sz w:val="17"/>
          <w:szCs w:val="17"/>
          <w:color w:val="auto"/>
        </w:rPr>
        <w:t>Currently, Mr. Schroeter serves as Chairman of the Board and Chief Executive Officer. Combining the role of Chairman and Chief Executive Officer at this time ensures that the Chairman has significant experience in the technology services business and ongoing executive responsibility for the Company. In the Board’s view, this approach enables the Board to better understand the Company and work with management to enhance stockholder value. In addition, the Board believes that this structure enables it to better fulfill its risk oversight responsibilities.</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319"/>
        <w:spacing w:after="0" w:line="267" w:lineRule="auto"/>
        <w:rPr>
          <w:sz w:val="20"/>
          <w:szCs w:val="20"/>
          <w:color w:val="auto"/>
        </w:rPr>
      </w:pPr>
      <w:r>
        <w:rPr>
          <w:rFonts w:ascii="Arial" w:cs="Arial" w:eastAsia="Arial" w:hAnsi="Arial"/>
          <w:sz w:val="17"/>
          <w:szCs w:val="17"/>
          <w:color w:val="auto"/>
        </w:rPr>
        <w:t>This also allows the Chief Executive Officer to more effectively communicate the Board’s view to management and facilitates robust communications between all of management and the Board.</w:t>
      </w:r>
    </w:p>
    <w:p>
      <w:pPr>
        <w:spacing w:after="0" w:line="105" w:lineRule="exact"/>
        <w:rPr>
          <w:sz w:val="20"/>
          <w:szCs w:val="20"/>
          <w:color w:val="auto"/>
        </w:rPr>
      </w:pPr>
    </w:p>
    <w:p>
      <w:pPr>
        <w:ind w:left="80" w:right="99"/>
        <w:spacing w:after="0" w:line="237" w:lineRule="auto"/>
        <w:rPr>
          <w:sz w:val="20"/>
          <w:szCs w:val="20"/>
          <w:color w:val="auto"/>
        </w:rPr>
      </w:pPr>
      <w:r>
        <w:rPr>
          <w:rFonts w:ascii="Arial" w:cs="Arial" w:eastAsia="Arial" w:hAnsi="Arial"/>
          <w:sz w:val="17"/>
          <w:szCs w:val="17"/>
          <w:color w:val="auto"/>
        </w:rPr>
        <w:t>The Lead Independent Director position provides strong, independent leadership for the Board. It is the opinion of the Board that Sir Stephen Hester’s diverse, international executive leadership and corporate governance experience from serving in leadership positions on various public company boards make him exceptionally qualified to lead the independent members of the Board in their oversight of management. Sir Stephen Hester’s leadership experience includes roles as a chief executive officer, chief financial officer, and chief operating officer, as well as serving as chairman of the board for multiple international companies in diverse industries. Under our Board Corporate Governance Guidelines, Sir Stephen Hester, as the Lead Independent Director, has significant and robust duties and responsibilities, including:</w:t>
      </w:r>
    </w:p>
    <w:p>
      <w:pPr>
        <w:spacing w:after="0" w:line="49" w:lineRule="exact"/>
        <w:rPr>
          <w:sz w:val="20"/>
          <w:szCs w:val="20"/>
          <w:color w:val="auto"/>
        </w:rPr>
      </w:pPr>
    </w:p>
    <w:p>
      <w:pPr>
        <w:ind w:left="900" w:right="379" w:hanging="356"/>
        <w:spacing w:after="0" w:line="267" w:lineRule="auto"/>
        <w:tabs>
          <w:tab w:leader="none" w:pos="900" w:val="left"/>
        </w:tabs>
        <w:numPr>
          <w:ilvl w:val="0"/>
          <w:numId w:val="40"/>
        </w:numPr>
        <w:rPr>
          <w:rFonts w:ascii="Arial" w:cs="Arial" w:eastAsia="Arial" w:hAnsi="Arial"/>
          <w:sz w:val="17"/>
          <w:szCs w:val="17"/>
          <w:color w:val="F0533D"/>
        </w:rPr>
      </w:pPr>
      <w:r>
        <w:rPr>
          <w:rFonts w:ascii="Arial" w:cs="Arial" w:eastAsia="Arial" w:hAnsi="Arial"/>
          <w:sz w:val="17"/>
          <w:szCs w:val="17"/>
          <w:color w:val="auto"/>
        </w:rPr>
        <w:t>presiding at all meetings of the Board at which the Chair is not present, including executive sessions of the independent directors;</w:t>
      </w:r>
    </w:p>
    <w:p>
      <w:pPr>
        <w:spacing w:after="0" w:line="37" w:lineRule="exact"/>
        <w:rPr>
          <w:rFonts w:ascii="Arial" w:cs="Arial" w:eastAsia="Arial" w:hAnsi="Arial"/>
          <w:sz w:val="17"/>
          <w:szCs w:val="17"/>
          <w:color w:val="F0533D"/>
        </w:rPr>
      </w:pPr>
    </w:p>
    <w:p>
      <w:pPr>
        <w:ind w:left="900" w:hanging="356"/>
        <w:spacing w:after="0"/>
        <w:tabs>
          <w:tab w:leader="none" w:pos="900" w:val="left"/>
        </w:tabs>
        <w:numPr>
          <w:ilvl w:val="0"/>
          <w:numId w:val="40"/>
        </w:numPr>
        <w:rPr>
          <w:rFonts w:ascii="Arial" w:cs="Arial" w:eastAsia="Arial" w:hAnsi="Arial"/>
          <w:sz w:val="17"/>
          <w:szCs w:val="17"/>
          <w:color w:val="F0533D"/>
        </w:rPr>
      </w:pPr>
      <w:r>
        <w:rPr>
          <w:rFonts w:ascii="Arial" w:cs="Arial" w:eastAsia="Arial" w:hAnsi="Arial"/>
          <w:sz w:val="17"/>
          <w:szCs w:val="17"/>
          <w:color w:val="auto"/>
        </w:rPr>
        <w:t>serving as liaison between the Chair and the independent directors;</w:t>
      </w:r>
    </w:p>
    <w:p>
      <w:pPr>
        <w:spacing w:after="0" w:line="88" w:lineRule="exact"/>
        <w:rPr>
          <w:rFonts w:ascii="Arial" w:cs="Arial" w:eastAsia="Arial" w:hAnsi="Arial"/>
          <w:sz w:val="17"/>
          <w:szCs w:val="17"/>
          <w:color w:val="F0533D"/>
        </w:rPr>
      </w:pPr>
    </w:p>
    <w:p>
      <w:pPr>
        <w:ind w:left="900" w:hanging="356"/>
        <w:spacing w:after="0"/>
        <w:tabs>
          <w:tab w:leader="none" w:pos="900" w:val="left"/>
        </w:tabs>
        <w:numPr>
          <w:ilvl w:val="0"/>
          <w:numId w:val="40"/>
        </w:numPr>
        <w:rPr>
          <w:rFonts w:ascii="Arial" w:cs="Arial" w:eastAsia="Arial" w:hAnsi="Arial"/>
          <w:sz w:val="17"/>
          <w:szCs w:val="17"/>
          <w:color w:val="F0533D"/>
        </w:rPr>
      </w:pPr>
      <w:r>
        <w:rPr>
          <w:rFonts w:ascii="Arial" w:cs="Arial" w:eastAsia="Arial" w:hAnsi="Arial"/>
          <w:sz w:val="17"/>
          <w:szCs w:val="17"/>
          <w:color w:val="auto"/>
        </w:rPr>
        <w:t>approving information sent to the Board;</w:t>
      </w:r>
    </w:p>
    <w:p>
      <w:pPr>
        <w:spacing w:after="0" w:line="74" w:lineRule="exact"/>
        <w:rPr>
          <w:rFonts w:ascii="Arial" w:cs="Arial" w:eastAsia="Arial" w:hAnsi="Arial"/>
          <w:sz w:val="17"/>
          <w:szCs w:val="17"/>
          <w:color w:val="F0533D"/>
        </w:rPr>
      </w:pPr>
    </w:p>
    <w:p>
      <w:pPr>
        <w:ind w:left="900" w:hanging="356"/>
        <w:spacing w:after="0"/>
        <w:tabs>
          <w:tab w:leader="none" w:pos="900" w:val="left"/>
        </w:tabs>
        <w:numPr>
          <w:ilvl w:val="0"/>
          <w:numId w:val="40"/>
        </w:numPr>
        <w:rPr>
          <w:rFonts w:ascii="Arial" w:cs="Arial" w:eastAsia="Arial" w:hAnsi="Arial"/>
          <w:sz w:val="17"/>
          <w:szCs w:val="17"/>
          <w:color w:val="F0533D"/>
        </w:rPr>
      </w:pPr>
      <w:r>
        <w:rPr>
          <w:rFonts w:ascii="Arial" w:cs="Arial" w:eastAsia="Arial" w:hAnsi="Arial"/>
          <w:sz w:val="17"/>
          <w:szCs w:val="17"/>
          <w:color w:val="auto"/>
        </w:rPr>
        <w:t>approving meeting agendas for the Board;</w:t>
      </w:r>
    </w:p>
    <w:p>
      <w:pPr>
        <w:spacing w:after="0" w:line="88" w:lineRule="exact"/>
        <w:rPr>
          <w:rFonts w:ascii="Arial" w:cs="Arial" w:eastAsia="Arial" w:hAnsi="Arial"/>
          <w:sz w:val="17"/>
          <w:szCs w:val="17"/>
          <w:color w:val="F0533D"/>
        </w:rPr>
      </w:pPr>
    </w:p>
    <w:p>
      <w:pPr>
        <w:ind w:left="900" w:hanging="356"/>
        <w:spacing w:after="0"/>
        <w:tabs>
          <w:tab w:leader="none" w:pos="900" w:val="left"/>
        </w:tabs>
        <w:numPr>
          <w:ilvl w:val="0"/>
          <w:numId w:val="40"/>
        </w:numPr>
        <w:rPr>
          <w:rFonts w:ascii="Arial" w:cs="Arial" w:eastAsia="Arial" w:hAnsi="Arial"/>
          <w:sz w:val="17"/>
          <w:szCs w:val="17"/>
          <w:color w:val="F0533D"/>
        </w:rPr>
      </w:pPr>
      <w:r>
        <w:rPr>
          <w:rFonts w:ascii="Arial" w:cs="Arial" w:eastAsia="Arial" w:hAnsi="Arial"/>
          <w:sz w:val="17"/>
          <w:szCs w:val="17"/>
          <w:color w:val="auto"/>
        </w:rPr>
        <w:t>approving meeting schedules to assure that there is sufficient time for discussion of all agenda items;</w:t>
      </w:r>
    </w:p>
    <w:p>
      <w:pPr>
        <w:spacing w:after="0" w:line="88" w:lineRule="exact"/>
        <w:rPr>
          <w:rFonts w:ascii="Arial" w:cs="Arial" w:eastAsia="Arial" w:hAnsi="Arial"/>
          <w:sz w:val="17"/>
          <w:szCs w:val="17"/>
          <w:color w:val="F0533D"/>
        </w:rPr>
      </w:pPr>
    </w:p>
    <w:p>
      <w:pPr>
        <w:ind w:left="900" w:hanging="356"/>
        <w:spacing w:after="0"/>
        <w:tabs>
          <w:tab w:leader="none" w:pos="900" w:val="left"/>
        </w:tabs>
        <w:numPr>
          <w:ilvl w:val="0"/>
          <w:numId w:val="40"/>
        </w:numPr>
        <w:rPr>
          <w:rFonts w:ascii="Arial" w:cs="Arial" w:eastAsia="Arial" w:hAnsi="Arial"/>
          <w:sz w:val="17"/>
          <w:szCs w:val="17"/>
          <w:color w:val="F0533D"/>
        </w:rPr>
      </w:pPr>
      <w:r>
        <w:rPr>
          <w:rFonts w:ascii="Arial" w:cs="Arial" w:eastAsia="Arial" w:hAnsi="Arial"/>
          <w:sz w:val="17"/>
          <w:szCs w:val="17"/>
          <w:color w:val="auto"/>
        </w:rPr>
        <w:t>authority to call meetings of the independent directors; and</w:t>
      </w:r>
    </w:p>
    <w:p>
      <w:pPr>
        <w:spacing w:after="0" w:line="74" w:lineRule="exact"/>
        <w:rPr>
          <w:rFonts w:ascii="Arial" w:cs="Arial" w:eastAsia="Arial" w:hAnsi="Arial"/>
          <w:sz w:val="17"/>
          <w:szCs w:val="17"/>
          <w:color w:val="F0533D"/>
        </w:rPr>
      </w:pPr>
    </w:p>
    <w:p>
      <w:pPr>
        <w:ind w:left="900" w:right="259" w:hanging="356"/>
        <w:spacing w:after="0" w:line="267" w:lineRule="auto"/>
        <w:tabs>
          <w:tab w:leader="none" w:pos="900" w:val="left"/>
        </w:tabs>
        <w:numPr>
          <w:ilvl w:val="0"/>
          <w:numId w:val="40"/>
        </w:numPr>
        <w:rPr>
          <w:rFonts w:ascii="Arial" w:cs="Arial" w:eastAsia="Arial" w:hAnsi="Arial"/>
          <w:sz w:val="17"/>
          <w:szCs w:val="17"/>
          <w:color w:val="F0533D"/>
        </w:rPr>
      </w:pPr>
      <w:r>
        <w:rPr>
          <w:rFonts w:ascii="Arial" w:cs="Arial" w:eastAsia="Arial" w:hAnsi="Arial"/>
          <w:sz w:val="17"/>
          <w:szCs w:val="17"/>
          <w:color w:val="auto"/>
        </w:rPr>
        <w:t>if requested by major stockholders, ensuring that he is available, as necessary after discussions with the Chairman and Chief Executive Officer, for consultation and direct communication.</w:t>
      </w:r>
    </w:p>
    <w:p>
      <w:pPr>
        <w:spacing w:after="0" w:line="105" w:lineRule="exact"/>
        <w:rPr>
          <w:sz w:val="20"/>
          <w:szCs w:val="20"/>
          <w:color w:val="auto"/>
        </w:rPr>
      </w:pPr>
    </w:p>
    <w:p>
      <w:pPr>
        <w:ind w:left="80" w:right="279"/>
        <w:spacing w:after="0" w:line="244" w:lineRule="auto"/>
        <w:rPr>
          <w:sz w:val="20"/>
          <w:szCs w:val="20"/>
          <w:color w:val="auto"/>
        </w:rPr>
      </w:pPr>
      <w:r>
        <w:rPr>
          <w:rFonts w:ascii="Arial" w:cs="Arial" w:eastAsia="Arial" w:hAnsi="Arial"/>
          <w:sz w:val="17"/>
          <w:szCs w:val="17"/>
          <w:color w:val="auto"/>
        </w:rPr>
        <w:t>The Board considers its current leadership structure to be appropriate for the Company at this time. The Board believes that the responsibilities of the Lead Independent Director and the highly independent composition of the Board help to ensure appropriate oversight of the Company’s management by the Board and optimal functioning of the Board.</w:t>
      </w:r>
    </w:p>
    <w:p>
      <w:pPr>
        <w:spacing w:after="0" w:line="282"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Board Oversight of Strategy</w:t>
      </w:r>
    </w:p>
    <w:p>
      <w:pPr>
        <w:spacing w:after="0" w:line="173" w:lineRule="exact"/>
        <w:rPr>
          <w:sz w:val="20"/>
          <w:szCs w:val="20"/>
          <w:color w:val="auto"/>
        </w:rPr>
      </w:pPr>
    </w:p>
    <w:p>
      <w:pPr>
        <w:ind w:left="80" w:right="139"/>
        <w:spacing w:after="0" w:line="238" w:lineRule="auto"/>
        <w:rPr>
          <w:sz w:val="20"/>
          <w:szCs w:val="20"/>
          <w:color w:val="auto"/>
        </w:rPr>
      </w:pPr>
      <w:r>
        <w:rPr>
          <w:rFonts w:ascii="Arial" w:cs="Arial" w:eastAsia="Arial" w:hAnsi="Arial"/>
          <w:sz w:val="17"/>
          <w:szCs w:val="17"/>
          <w:color w:val="auto"/>
        </w:rPr>
        <w:t>The Board is responsible for the overall oversight of management in the execution of its responsibilities. In this oversight role, the Board regularly reviews the Company’s long-term business strategy and works with management to set the short-term and long-term strategic objectives of the Company and to monitor progress on those objectives. Strategy discussions are an integral part of each Board meeting, with discussions and presentations led by members of senior management, as well as specific subject-matter experts. In addition, on an annual basis, the Company devotes significant time in a separate session dedicated to a full strategic review with senior management and subject matter experts.</w:t>
      </w:r>
    </w:p>
    <w:p>
      <w:pPr>
        <w:spacing w:after="0" w:line="260"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Board and Committee Oversight of Risk Management</w:t>
      </w:r>
    </w:p>
    <w:p>
      <w:pPr>
        <w:spacing w:after="0" w:line="173" w:lineRule="exact"/>
        <w:rPr>
          <w:sz w:val="20"/>
          <w:szCs w:val="20"/>
          <w:color w:val="auto"/>
        </w:rPr>
      </w:pPr>
    </w:p>
    <w:p>
      <w:pPr>
        <w:ind w:left="80" w:right="159"/>
        <w:spacing w:after="0" w:line="237" w:lineRule="auto"/>
        <w:rPr>
          <w:sz w:val="20"/>
          <w:szCs w:val="20"/>
          <w:color w:val="auto"/>
        </w:rPr>
      </w:pPr>
      <w:r>
        <w:rPr>
          <w:rFonts w:ascii="Arial" w:cs="Arial" w:eastAsia="Arial" w:hAnsi="Arial"/>
          <w:sz w:val="17"/>
          <w:szCs w:val="17"/>
          <w:color w:val="auto"/>
        </w:rPr>
        <w:t>One of the most significant oversight responsibilities for our Board is with respect to risk management. The Board executes this oversight with a multi-tiered approach through oversight by the entire Board, as well as through its committees, each of which assists the Board in overseeing a part of our overall risk management and regularly reports to the Board, as discussed below. In that way, risk oversight responsibilities are shared by all committees of the Board, with each committee responsible for oversight of matters most aligned with the responsibilities set forth in its charter. We believe that allocating responsibility to a committee with relevant knowledge and experience provides a more focused and deeper oversight of risk. This allows for a multi-tiered approach to risk oversight, with the full Board retaining overall oversight responsibility.</w:t>
      </w:r>
    </w:p>
    <w:p>
      <w:pPr>
        <w:spacing w:after="0" w:line="130" w:lineRule="exact"/>
        <w:rPr>
          <w:sz w:val="20"/>
          <w:szCs w:val="20"/>
          <w:color w:val="auto"/>
        </w:rPr>
      </w:pPr>
    </w:p>
    <w:p>
      <w:pPr>
        <w:ind w:left="80" w:right="99"/>
        <w:spacing w:after="0" w:line="237" w:lineRule="auto"/>
        <w:rPr>
          <w:sz w:val="20"/>
          <w:szCs w:val="20"/>
          <w:color w:val="auto"/>
        </w:rPr>
      </w:pPr>
      <w:r>
        <w:rPr>
          <w:rFonts w:ascii="Arial" w:cs="Arial" w:eastAsia="Arial" w:hAnsi="Arial"/>
          <w:sz w:val="17"/>
          <w:szCs w:val="17"/>
          <w:color w:val="auto"/>
        </w:rPr>
        <w:t>Our senior leadership team is responsible for managing our enterprise risk management program under the oversight of the Audit Committee, which periodically reviews the Company’s enterprise risks and related enterprise risk management framework and processes. Responsibility for managing each of our highest priority risks is assigned to one or more members of our senior leadership team. Line management under the leadership of key senior leaders perform the daily processes, controls and practices of our risk management program. Our enterprise risk management program is designed to identify, assess and manage our risk exposures, and management regularly reports to the Board and its committees on our material operational, strategic and financial risks (over the short-, intermediate- and long-term) and plans to monitor, manage and mitigate these risks, as described below.</w:t>
      </w:r>
    </w:p>
    <w:p>
      <w:pPr>
        <w:spacing w:after="0" w:line="205"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99"/>
        <w:spacing w:after="0" w:line="267" w:lineRule="auto"/>
        <w:rPr>
          <w:sz w:val="20"/>
          <w:szCs w:val="20"/>
          <w:color w:val="auto"/>
        </w:rPr>
      </w:pPr>
      <w:r>
        <w:rPr>
          <w:rFonts w:ascii="Arial" w:cs="Arial" w:eastAsia="Arial" w:hAnsi="Arial"/>
          <w:sz w:val="17"/>
          <w:szCs w:val="17"/>
          <w:color w:val="auto"/>
        </w:rPr>
        <w:t>Each committee also, when desired by the applicable committee, meets with outside advisors (including consultants and experts) in executing its risk oversight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175260</wp:posOffset>
            </wp:positionV>
            <wp:extent cx="5597525" cy="18942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5975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0" w:right="119"/>
        <w:spacing w:after="0" w:line="26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is responsible for the overall oversight of our enterprise risk management program and receives regular updates from management on our material operational, strategic and financial risks (over the short-, intermediate-and long-term) and plans to monitor, manage and mitigate these risks, including those related to the development and use of emerging technologies such as artificial intelligence (“AI”). With respect to operational and strategic risks, the Board receives periodic updates from: our Chief Information Security Officer, Chief Information Officer and other senior leaders with respect to cybersecurity, data privacy and AI-related matters; our Chief Human Resources Officer on compensation and human capital matters; and our Global Head of Corporate Affairs and Senior Vice President, Global Citizenship &amp; Sustainability with respect to environmental and corporate responsibility matters. The Board considers the foregoing matters so critical to our business that it maintains concurrent oversight over them with its committees.</w:t>
      </w:r>
    </w:p>
    <w:p>
      <w:pPr>
        <w:spacing w:after="0" w:line="137" w:lineRule="exact"/>
        <w:rPr>
          <w:sz w:val="20"/>
          <w:szCs w:val="20"/>
          <w:color w:val="auto"/>
        </w:rPr>
      </w:pPr>
    </w:p>
    <w:p>
      <w:pPr>
        <w:ind w:left="80" w:right="119"/>
        <w:spacing w:after="0" w:line="262"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Audit Committee</w:t>
      </w:r>
      <w:r>
        <w:rPr>
          <w:rFonts w:ascii="Arial" w:cs="Arial" w:eastAsia="Arial" w:hAnsi="Arial"/>
          <w:sz w:val="17"/>
          <w:szCs w:val="17"/>
          <w:color w:val="auto"/>
        </w:rPr>
        <w:t xml:space="preserve"> periodically reviews our accounting, reporting and financial practices and risk exposures, including with respect to the integrity of our financial statements, our financial reporting, our administrative, financial and disclosure controls, our enterprise risk management program, compliance with legal and regulatory requirements, our engagement with Kyndryl’s independent auditor and our cybersecurity and data privacy controls. Through its regular meetings with management, including the finance, legal, internal audit and information security functions, and Kyndryl’s independent registered public accounting firm, the Audit Committee reviews and discusses all significant areas of our business and related risks and summarizes for the Board areas of risk, including cyber risk, and any mitigating factors. With respect to compliance matters, the Audit Committee receives regular updates from our Chief Compliance Officer, who reports to our General Counsel. With respect to enterprise risk management, the Audit Committee receives regular updates from our Senior Vice President &amp; General Auditor. With respect to cybersecurity-related matters, the Audit Committee receives periodic updates from our Chief Information Security Officer about the Company’s cybersecurity policies and practices, cybersecurity developments, trends, risks, notable incidents, mitigation strategies, maturity initiatives and other developments, as well as periodic updates from our Chief Information Officer and other senior leaders on cybersecurity-related matters.</w:t>
      </w:r>
    </w:p>
    <w:p>
      <w:pPr>
        <w:spacing w:after="0" w:line="145" w:lineRule="exact"/>
        <w:rPr>
          <w:sz w:val="20"/>
          <w:szCs w:val="20"/>
          <w:color w:val="auto"/>
        </w:rPr>
      </w:pPr>
    </w:p>
    <w:p>
      <w:pPr>
        <w:ind w:left="80" w:right="179"/>
        <w:spacing w:after="0" w:line="265"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Compensation and Human Capital Committee</w:t>
      </w:r>
      <w:r>
        <w:rPr>
          <w:rFonts w:ascii="Arial" w:cs="Arial" w:eastAsia="Arial" w:hAnsi="Arial"/>
          <w:sz w:val="17"/>
          <w:szCs w:val="17"/>
          <w:color w:val="auto"/>
        </w:rPr>
        <w:t xml:space="preserve"> considers, and discusses with management and its independent compensation consultant whether certain risks, including arising from our compensation structure, human capital practices and other policies and programs for our employees, are reasonably likely to have a material adverse effect on us. The Compensation and Human Capital Committee oversees management succession planning, human capital management and our employee engagement and assesses the ability of our compensation programs to attract and retain high-performing talent.</w:t>
      </w:r>
    </w:p>
    <w:p>
      <w:pPr>
        <w:spacing w:after="0" w:line="136" w:lineRule="exact"/>
        <w:rPr>
          <w:sz w:val="20"/>
          <w:szCs w:val="20"/>
          <w:color w:val="auto"/>
        </w:rPr>
      </w:pPr>
    </w:p>
    <w:p>
      <w:pPr>
        <w:ind w:left="80" w:right="159"/>
        <w:spacing w:after="0" w:line="271"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Nominating and Governance Committee</w:t>
      </w:r>
      <w:r>
        <w:rPr>
          <w:rFonts w:ascii="Arial" w:cs="Arial" w:eastAsia="Arial" w:hAnsi="Arial"/>
          <w:sz w:val="17"/>
          <w:szCs w:val="17"/>
          <w:color w:val="auto"/>
        </w:rPr>
        <w:t xml:space="preserve"> oversees and evaluates programs and risks associated with Board organization, membership and structure and corporate governance, including director independence and related person transactions. The Nominating and Governance Committee also oversees and assesses risks associated with our corporate responsibility initiatives, including our environmental and sustainability goals and initiatives.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Management Succession Planning</w:t>
      </w:r>
    </w:p>
    <w:p>
      <w:pPr>
        <w:spacing w:after="0" w:line="173" w:lineRule="exact"/>
        <w:rPr>
          <w:sz w:val="20"/>
          <w:szCs w:val="20"/>
          <w:color w:val="auto"/>
        </w:rPr>
      </w:pPr>
    </w:p>
    <w:p>
      <w:pPr>
        <w:ind w:left="80" w:right="139"/>
        <w:spacing w:after="0" w:line="236" w:lineRule="auto"/>
        <w:rPr>
          <w:sz w:val="20"/>
          <w:szCs w:val="20"/>
          <w:color w:val="auto"/>
        </w:rPr>
      </w:pPr>
      <w:r>
        <w:rPr>
          <w:rFonts w:ascii="Arial" w:cs="Arial" w:eastAsia="Arial" w:hAnsi="Arial"/>
          <w:sz w:val="17"/>
          <w:szCs w:val="17"/>
          <w:color w:val="auto"/>
        </w:rPr>
        <w:t>Succession planning is a key component of our talent strategy and is designed to promote continuity in leadership roles, reflect the Company's commitment to effective long-term organizational planning and identify talent with the necessary skills and experience to assume these roles. The Board and the Compensation and Human Capital Committee provide active oversight of management’s succession planning process through robust discussions and periodic reviews, including annually with the CEO and Chief Human Resources Officer. The Board regularly interacts with key leaders, which allows for important exposure opportunities with strong candidates for succession for various senior roles. The Compensation and Human Capital Committee oversees the management continuity planning process, is responsible for reviewing and evaluating the succession plans relating to all executive officer positions and for making recommendations to the Board on individuals to occupy these positions. Following the announced retirement of the Chief Human Resources Officer, the Board and Management implemented a planned transition that resulted in the appointment of a highly qualified internal successor.</w:t>
      </w:r>
    </w:p>
    <w:p>
      <w:pPr>
        <w:spacing w:after="0" w:line="127" w:lineRule="exact"/>
        <w:rPr>
          <w:sz w:val="20"/>
          <w:szCs w:val="20"/>
          <w:color w:val="auto"/>
        </w:rPr>
      </w:pPr>
    </w:p>
    <w:p>
      <w:pPr>
        <w:ind w:left="80" w:right="119"/>
        <w:spacing w:after="0" w:line="239" w:lineRule="auto"/>
        <w:rPr>
          <w:sz w:val="20"/>
          <w:szCs w:val="20"/>
          <w:color w:val="auto"/>
        </w:rPr>
      </w:pPr>
      <w:r>
        <w:rPr>
          <w:rFonts w:ascii="Arial" w:cs="Arial" w:eastAsia="Arial" w:hAnsi="Arial"/>
          <w:sz w:val="17"/>
          <w:szCs w:val="17"/>
          <w:color w:val="auto"/>
        </w:rPr>
        <w:t>As previously disclosed, earlier this year, the Company underwent changes within its executive leadership team, including the departure of the Chief Financial Officer, and General Counsel and a transition involving the Global Controller to another role within the organization. Interim executives have been appointed to ensure continuity across these functions. With Board input, management is conducting a comprehensive search process, supported by a global executive search firm, for candidates with the experience and leadership capabilities to step into these roles on a permanent basis. The Company is concurrently working to further strengthen its finance and legal functions.</w:t>
      </w:r>
    </w:p>
    <w:p>
      <w:pPr>
        <w:spacing w:after="0" w:line="273"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Communications with the Board</w:t>
      </w:r>
    </w:p>
    <w:p>
      <w:pPr>
        <w:spacing w:after="0" w:line="173" w:lineRule="exact"/>
        <w:rPr>
          <w:sz w:val="20"/>
          <w:szCs w:val="20"/>
          <w:color w:val="auto"/>
        </w:rPr>
      </w:pPr>
    </w:p>
    <w:p>
      <w:pPr>
        <w:ind w:left="80" w:right="179"/>
        <w:spacing w:after="0" w:line="244" w:lineRule="auto"/>
        <w:rPr>
          <w:sz w:val="20"/>
          <w:szCs w:val="20"/>
          <w:color w:val="auto"/>
        </w:rPr>
      </w:pPr>
      <w:r>
        <w:rPr>
          <w:rFonts w:ascii="Arial" w:cs="Arial" w:eastAsia="Arial" w:hAnsi="Arial"/>
          <w:sz w:val="17"/>
          <w:szCs w:val="17"/>
          <w:color w:val="auto"/>
        </w:rPr>
        <w:t xml:space="preserve">The method by which stockholders and other interested parties may communicate with the Board, individual directors, including the Lead Independent Director, the non-management directors as a group, or with the Chair, can be found on our Investor Relations website at </w:t>
      </w:r>
      <w:r>
        <w:rPr>
          <w:rFonts w:ascii="Arial" w:cs="Arial" w:eastAsia="Arial" w:hAnsi="Arial"/>
          <w:sz w:val="17"/>
          <w:szCs w:val="17"/>
          <w:b w:val="1"/>
          <w:bCs w:val="1"/>
          <w:i w:val="1"/>
          <w:iCs w:val="1"/>
          <w:color w:val="auto"/>
        </w:rPr>
        <w:t>investors.kyndryl.com</w:t>
      </w:r>
      <w:r>
        <w:rPr>
          <w:rFonts w:ascii="Arial" w:cs="Arial" w:eastAsia="Arial" w:hAnsi="Arial"/>
          <w:sz w:val="17"/>
          <w:szCs w:val="17"/>
          <w:color w:val="auto"/>
        </w:rPr>
        <w:t xml:space="preserve"> under Corporate Responsibility: Governance: Board of Directors: Contact the Board.</w:t>
      </w:r>
    </w:p>
    <w:p>
      <w:pPr>
        <w:spacing w:after="0" w:line="199"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1080"/>
        <w:spacing w:after="0"/>
        <w:rPr>
          <w:sz w:val="20"/>
          <w:szCs w:val="20"/>
          <w:color w:val="auto"/>
        </w:rPr>
      </w:pPr>
      <w:r>
        <w:rPr>
          <w:rFonts w:ascii="Arial" w:cs="Arial" w:eastAsia="Arial" w:hAnsi="Arial"/>
          <w:sz w:val="31"/>
          <w:szCs w:val="31"/>
          <w:b w:val="1"/>
          <w:bCs w:val="1"/>
          <w:color w:val="auto"/>
        </w:rPr>
        <w:t>Board and Committee Self-Evaluation Process</w:t>
      </w:r>
    </w:p>
    <w:p>
      <w:pPr>
        <w:spacing w:after="0" w:line="200" w:lineRule="exact"/>
        <w:rPr>
          <w:sz w:val="20"/>
          <w:szCs w:val="20"/>
          <w:color w:val="auto"/>
        </w:rPr>
      </w:pPr>
    </w:p>
    <w:p>
      <w:pPr>
        <w:ind w:left="1080" w:right="1120"/>
        <w:spacing w:after="0" w:line="237" w:lineRule="auto"/>
        <w:rPr>
          <w:sz w:val="20"/>
          <w:szCs w:val="20"/>
          <w:color w:val="auto"/>
        </w:rPr>
      </w:pPr>
      <w:r>
        <w:rPr>
          <w:rFonts w:ascii="Arial" w:cs="Arial" w:eastAsia="Arial" w:hAnsi="Arial"/>
          <w:sz w:val="17"/>
          <w:szCs w:val="17"/>
          <w:color w:val="auto"/>
        </w:rPr>
        <w:t>As part of its strong governance practices and policies, the Company has a robust board and committee self-evaluation process. Our multi-part process is designed to elicit honest and candid feedback from directors in multiple formats and at different times to ensure that the Board and its committees are operating effectively and that its processes reflect best practices. The form of assessment used to facilitate the evaluation is reviewed each year to ensure it continues to be consistent with market practice and encompasses a broad array of topics. The Nominating and Governance Committee annually reviews the form for the Board and committee self-evaluations. The steps below outline the formal evaluation process; however, the totality of the evaluation process is dynamic and ongoing with feedback discussed among Board members throughout the year.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1080" w:type="dxa"/>
            <w:vAlign w:val="bottom"/>
          </w:tcPr>
          <w:p>
            <w:pPr>
              <w:spacing w:after="0"/>
              <w:rPr>
                <w:sz w:val="24"/>
                <w:szCs w:val="24"/>
                <w:color w:val="auto"/>
              </w:rPr>
            </w:pPr>
          </w:p>
        </w:tc>
        <w:tc>
          <w:tcPr>
            <w:tcW w:w="100" w:type="dxa"/>
            <w:vAlign w:val="bottom"/>
            <w:shd w:val="clear" w:color="auto" w:fill="939598"/>
          </w:tcPr>
          <w:p>
            <w:pPr>
              <w:spacing w:after="0"/>
              <w:rPr>
                <w:sz w:val="24"/>
                <w:szCs w:val="24"/>
                <w:color w:val="auto"/>
              </w:rPr>
            </w:pPr>
          </w:p>
        </w:tc>
        <w:tc>
          <w:tcPr>
            <w:tcW w:w="1900" w:type="dxa"/>
            <w:vAlign w:val="bottom"/>
            <w:gridSpan w:val="2"/>
            <w:shd w:val="clear" w:color="auto" w:fill="939598"/>
          </w:tcPr>
          <w:p>
            <w:pPr>
              <w:ind w:left="40"/>
              <w:spacing w:after="0"/>
              <w:rPr>
                <w:sz w:val="20"/>
                <w:szCs w:val="20"/>
                <w:color w:val="auto"/>
              </w:rPr>
            </w:pPr>
            <w:r>
              <w:rPr>
                <w:rFonts w:ascii="Arial" w:cs="Arial" w:eastAsia="Arial" w:hAnsi="Arial"/>
                <w:sz w:val="14"/>
                <w:szCs w:val="14"/>
                <w:b w:val="1"/>
                <w:bCs w:val="1"/>
                <w:color w:val="FFFFFF"/>
              </w:rPr>
              <w:t>Process</w:t>
            </w:r>
          </w:p>
        </w:tc>
        <w:tc>
          <w:tcPr>
            <w:tcW w:w="100" w:type="dxa"/>
            <w:vAlign w:val="bottom"/>
            <w:shd w:val="clear" w:color="auto" w:fill="F0533D"/>
          </w:tcPr>
          <w:p>
            <w:pPr>
              <w:spacing w:after="0"/>
              <w:rPr>
                <w:sz w:val="24"/>
                <w:szCs w:val="24"/>
                <w:color w:val="auto"/>
              </w:rPr>
            </w:pPr>
          </w:p>
        </w:tc>
        <w:tc>
          <w:tcPr>
            <w:tcW w:w="2100" w:type="dxa"/>
            <w:vAlign w:val="bottom"/>
            <w:shd w:val="clear" w:color="auto" w:fill="F0533D"/>
          </w:tcPr>
          <w:p>
            <w:pPr>
              <w:spacing w:after="0"/>
              <w:rPr>
                <w:sz w:val="20"/>
                <w:szCs w:val="20"/>
                <w:color w:val="auto"/>
              </w:rPr>
            </w:pPr>
            <w:r>
              <w:rPr>
                <w:rFonts w:ascii="Arial" w:cs="Arial" w:eastAsia="Arial" w:hAnsi="Arial"/>
                <w:sz w:val="14"/>
                <w:szCs w:val="14"/>
                <w:b w:val="1"/>
                <w:bCs w:val="1"/>
                <w:color w:val="FFFFFF"/>
              </w:rPr>
              <w:t>Kyndryl Leadership</w:t>
            </w:r>
          </w:p>
        </w:tc>
        <w:tc>
          <w:tcPr>
            <w:tcW w:w="4660" w:type="dxa"/>
            <w:vAlign w:val="bottom"/>
            <w:gridSpan w:val="2"/>
            <w:shd w:val="clear" w:color="auto" w:fill="E6E6E6"/>
          </w:tcPr>
          <w:p>
            <w:pPr>
              <w:ind w:left="100"/>
              <w:spacing w:after="0"/>
              <w:rPr>
                <w:sz w:val="20"/>
                <w:szCs w:val="20"/>
                <w:color w:val="auto"/>
              </w:rPr>
            </w:pPr>
            <w:r>
              <w:rPr>
                <w:rFonts w:ascii="Arial" w:cs="Arial" w:eastAsia="Arial" w:hAnsi="Arial"/>
                <w:sz w:val="14"/>
                <w:szCs w:val="14"/>
                <w:b w:val="1"/>
                <w:bCs w:val="1"/>
                <w:color w:val="F0533D"/>
              </w:rPr>
              <w:t>Key Events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100" w:type="dxa"/>
            <w:vAlign w:val="bottom"/>
            <w:tcBorders>
              <w:bottom w:val="single" w:sz="8" w:color="F0533D"/>
            </w:tcBorders>
            <w:shd w:val="clear" w:color="auto" w:fill="939598"/>
          </w:tcPr>
          <w:p>
            <w:pPr>
              <w:spacing w:after="0"/>
              <w:rPr>
                <w:sz w:val="14"/>
                <w:szCs w:val="14"/>
                <w:color w:val="auto"/>
              </w:rPr>
            </w:pPr>
          </w:p>
        </w:tc>
        <w:tc>
          <w:tcPr>
            <w:tcW w:w="1900" w:type="dxa"/>
            <w:vAlign w:val="bottom"/>
            <w:tcBorders>
              <w:bottom w:val="single" w:sz="8" w:color="F0533D"/>
            </w:tcBorders>
            <w:gridSpan w:val="2"/>
            <w:shd w:val="clear" w:color="auto" w:fill="939598"/>
          </w:tcPr>
          <w:p>
            <w:pPr>
              <w:spacing w:after="0"/>
              <w:rPr>
                <w:sz w:val="14"/>
                <w:szCs w:val="14"/>
                <w:color w:val="auto"/>
              </w:rPr>
            </w:pPr>
          </w:p>
        </w:tc>
        <w:tc>
          <w:tcPr>
            <w:tcW w:w="100" w:type="dxa"/>
            <w:vAlign w:val="bottom"/>
            <w:tcBorders>
              <w:bottom w:val="single" w:sz="8" w:color="F0533D"/>
            </w:tcBorders>
            <w:shd w:val="clear" w:color="auto" w:fill="F0533D"/>
          </w:tcPr>
          <w:p>
            <w:pPr>
              <w:spacing w:after="0"/>
              <w:rPr>
                <w:sz w:val="14"/>
                <w:szCs w:val="14"/>
                <w:color w:val="auto"/>
              </w:rPr>
            </w:pPr>
          </w:p>
        </w:tc>
        <w:tc>
          <w:tcPr>
            <w:tcW w:w="2100" w:type="dxa"/>
            <w:vAlign w:val="bottom"/>
            <w:tcBorders>
              <w:bottom w:val="single" w:sz="8" w:color="F0533D"/>
            </w:tcBorders>
            <w:shd w:val="clear" w:color="auto" w:fill="F0533D"/>
          </w:tcPr>
          <w:p>
            <w:pPr>
              <w:spacing w:after="0"/>
              <w:rPr>
                <w:sz w:val="14"/>
                <w:szCs w:val="14"/>
                <w:color w:val="auto"/>
              </w:rPr>
            </w:pPr>
          </w:p>
        </w:tc>
        <w:tc>
          <w:tcPr>
            <w:tcW w:w="4660" w:type="dxa"/>
            <w:vAlign w:val="bottom"/>
            <w:tcBorders>
              <w:bottom w:val="single" w:sz="8" w:color="F0533D"/>
            </w:tcBorders>
            <w:gridSpan w:val="2"/>
            <w:shd w:val="clear" w:color="auto" w:fill="E6E6E6"/>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0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900" w:type="dxa"/>
            <w:vAlign w:val="bottom"/>
            <w:gridSpan w:val="2"/>
            <w:shd w:val="clear" w:color="auto" w:fill="E6E6E6"/>
          </w:tcPr>
          <w:p>
            <w:pPr>
              <w:ind w:left="40"/>
              <w:spacing w:after="0"/>
              <w:rPr>
                <w:sz w:val="20"/>
                <w:szCs w:val="20"/>
                <w:color w:val="auto"/>
              </w:rPr>
            </w:pPr>
            <w:r>
              <w:rPr>
                <w:rFonts w:ascii="Arial" w:cs="Arial" w:eastAsia="Arial" w:hAnsi="Arial"/>
                <w:sz w:val="16"/>
                <w:szCs w:val="16"/>
                <w:b w:val="1"/>
                <w:bCs w:val="1"/>
                <w:color w:val="F0533D"/>
              </w:rPr>
              <w:t xml:space="preserve">1  </w:t>
            </w:r>
            <w:r>
              <w:rPr>
                <w:rFonts w:ascii="Arial" w:cs="Arial" w:eastAsia="Arial" w:hAnsi="Arial"/>
                <w:sz w:val="16"/>
                <w:szCs w:val="16"/>
                <w:b w:val="1"/>
                <w:bCs w:val="1"/>
                <w:color w:val="000000"/>
              </w:rPr>
              <w:t>One-on-one</w:t>
            </w: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0"/>
                <w:szCs w:val="20"/>
                <w:color w:val="auto"/>
              </w:rPr>
            </w:pPr>
            <w:r>
              <w:rPr>
                <w:rFonts w:ascii="Arial" w:cs="Arial" w:eastAsia="Arial" w:hAnsi="Arial"/>
                <w:sz w:val="16"/>
                <w:szCs w:val="16"/>
                <w:b w:val="1"/>
                <w:bCs w:val="1"/>
                <w:color w:val="auto"/>
              </w:rPr>
              <w:t>Chairman of the Board</w:t>
            </w:r>
          </w:p>
        </w:tc>
        <w:tc>
          <w:tcPr>
            <w:tcW w:w="4660" w:type="dxa"/>
            <w:vAlign w:val="bottom"/>
            <w:gridSpan w:val="2"/>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Chairman solicits feedback from individual directors in 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Interviews</w:t>
            </w:r>
          </w:p>
        </w:tc>
        <w:tc>
          <w:tcPr>
            <w:tcW w:w="100" w:type="dxa"/>
            <w:vAlign w:val="bottom"/>
            <w:shd w:val="clear" w:color="auto" w:fill="F1F2F2"/>
          </w:tcPr>
          <w:p>
            <w:pPr>
              <w:spacing w:after="0"/>
              <w:rPr>
                <w:sz w:val="19"/>
                <w:szCs w:val="19"/>
                <w:color w:val="auto"/>
              </w:rPr>
            </w:pPr>
          </w:p>
        </w:tc>
        <w:tc>
          <w:tcPr>
            <w:tcW w:w="2100" w:type="dxa"/>
            <w:vAlign w:val="bottom"/>
            <w:shd w:val="clear" w:color="auto" w:fill="F1F2F2"/>
          </w:tcPr>
          <w:p>
            <w:pPr>
              <w:spacing w:after="0"/>
              <w:rPr>
                <w:sz w:val="19"/>
                <w:szCs w:val="19"/>
                <w:color w:val="auto"/>
              </w:rPr>
            </w:pPr>
          </w:p>
        </w:tc>
        <w:tc>
          <w:tcPr>
            <w:tcW w:w="200" w:type="dxa"/>
            <w:vAlign w:val="bottom"/>
          </w:tcPr>
          <w:p>
            <w:pPr>
              <w:spacing w:after="0"/>
              <w:rPr>
                <w:sz w:val="19"/>
                <w:szCs w:val="19"/>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one-on-one formal annual self-evaluation</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0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4"/>
                <w:szCs w:val="24"/>
                <w:color w:val="auto"/>
              </w:rPr>
            </w:pPr>
          </w:p>
        </w:tc>
        <w:tc>
          <w:tcPr>
            <w:tcW w:w="4660" w:type="dxa"/>
            <w:vAlign w:val="bottom"/>
            <w:gridSpan w:val="2"/>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A one-on-one format enables directors to speak openly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700" w:type="dxa"/>
            <w:vAlign w:val="bottom"/>
            <w:shd w:val="clear" w:color="auto" w:fill="E6E6E6"/>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2100" w:type="dxa"/>
            <w:vAlign w:val="bottom"/>
            <w:shd w:val="clear" w:color="auto" w:fill="F1F2F2"/>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about their views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100" w:type="dxa"/>
            <w:vAlign w:val="bottom"/>
            <w:tcBorders>
              <w:bottom w:val="single" w:sz="8" w:color="F0533D"/>
            </w:tcBorders>
            <w:shd w:val="clear" w:color="auto" w:fill="E6E6E6"/>
          </w:tcPr>
          <w:p>
            <w:pPr>
              <w:spacing w:after="0"/>
              <w:rPr>
                <w:sz w:val="11"/>
                <w:szCs w:val="11"/>
                <w:color w:val="auto"/>
              </w:rPr>
            </w:pPr>
          </w:p>
        </w:tc>
        <w:tc>
          <w:tcPr>
            <w:tcW w:w="200" w:type="dxa"/>
            <w:vAlign w:val="bottom"/>
            <w:tcBorders>
              <w:bottom w:val="single" w:sz="8" w:color="F0533D"/>
            </w:tcBorders>
            <w:shd w:val="clear" w:color="auto" w:fill="E6E6E6"/>
          </w:tcPr>
          <w:p>
            <w:pPr>
              <w:spacing w:after="0"/>
              <w:rPr>
                <w:sz w:val="11"/>
                <w:szCs w:val="11"/>
                <w:color w:val="auto"/>
              </w:rPr>
            </w:pPr>
          </w:p>
        </w:tc>
        <w:tc>
          <w:tcPr>
            <w:tcW w:w="1700" w:type="dxa"/>
            <w:vAlign w:val="bottom"/>
            <w:tcBorders>
              <w:bottom w:val="single" w:sz="8" w:color="F0533D"/>
            </w:tcBorders>
            <w:shd w:val="clear" w:color="auto" w:fill="E6E6E6"/>
          </w:tcPr>
          <w:p>
            <w:pPr>
              <w:spacing w:after="0"/>
              <w:rPr>
                <w:sz w:val="11"/>
                <w:szCs w:val="11"/>
                <w:color w:val="auto"/>
              </w:rPr>
            </w:pPr>
          </w:p>
        </w:tc>
        <w:tc>
          <w:tcPr>
            <w:tcW w:w="100" w:type="dxa"/>
            <w:vAlign w:val="bottom"/>
            <w:tcBorders>
              <w:bottom w:val="single" w:sz="8" w:color="F0533D"/>
            </w:tcBorders>
            <w:shd w:val="clear" w:color="auto" w:fill="F1F2F2"/>
          </w:tcPr>
          <w:p>
            <w:pPr>
              <w:spacing w:after="0"/>
              <w:rPr>
                <w:sz w:val="11"/>
                <w:szCs w:val="11"/>
                <w:color w:val="auto"/>
              </w:rPr>
            </w:pPr>
          </w:p>
        </w:tc>
        <w:tc>
          <w:tcPr>
            <w:tcW w:w="2100" w:type="dxa"/>
            <w:vAlign w:val="bottom"/>
            <w:tcBorders>
              <w:bottom w:val="single" w:sz="8" w:color="F0533D"/>
            </w:tcBorders>
            <w:shd w:val="clear" w:color="auto" w:fill="F1F2F2"/>
          </w:tcPr>
          <w:p>
            <w:pPr>
              <w:spacing w:after="0"/>
              <w:rPr>
                <w:sz w:val="11"/>
                <w:szCs w:val="11"/>
                <w:color w:val="auto"/>
              </w:rPr>
            </w:pPr>
          </w:p>
        </w:tc>
        <w:tc>
          <w:tcPr>
            <w:tcW w:w="4660" w:type="dxa"/>
            <w:vAlign w:val="bottom"/>
            <w:tcBorders>
              <w:bottom w:val="single" w:sz="8" w:color="F0533D"/>
            </w:tcBorders>
            <w:gridSpan w:val="2"/>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080" w:type="dxa"/>
            <w:vAlign w:val="bottom"/>
          </w:tcPr>
          <w:p>
            <w:pPr>
              <w:spacing w:after="0"/>
              <w:rPr>
                <w:sz w:val="21"/>
                <w:szCs w:val="21"/>
                <w:color w:val="auto"/>
              </w:rPr>
            </w:pPr>
          </w:p>
        </w:tc>
        <w:tc>
          <w:tcPr>
            <w:tcW w:w="300" w:type="dxa"/>
            <w:vAlign w:val="bottom"/>
            <w:gridSpan w:val="2"/>
            <w:vMerge w:val="restart"/>
            <w:shd w:val="clear" w:color="auto" w:fill="E6E6E6"/>
          </w:tcPr>
          <w:p>
            <w:pPr>
              <w:ind w:left="140"/>
              <w:spacing w:after="0"/>
              <w:rPr>
                <w:sz w:val="20"/>
                <w:szCs w:val="20"/>
                <w:color w:val="auto"/>
              </w:rPr>
            </w:pPr>
            <w:r>
              <w:rPr>
                <w:rFonts w:ascii="Arial" w:cs="Arial" w:eastAsia="Arial" w:hAnsi="Arial"/>
                <w:sz w:val="16"/>
                <w:szCs w:val="16"/>
                <w:b w:val="1"/>
                <w:bCs w:val="1"/>
                <w:color w:val="F0533D"/>
              </w:rPr>
              <w:t>2</w:t>
            </w:r>
          </w:p>
        </w:tc>
        <w:tc>
          <w:tcPr>
            <w:tcW w:w="1700" w:type="dxa"/>
            <w:vAlign w:val="bottom"/>
            <w:vMerge w:val="restart"/>
            <w:shd w:val="clear" w:color="auto" w:fill="E6E6E6"/>
          </w:tcPr>
          <w:p>
            <w:pPr>
              <w:ind w:left="80"/>
              <w:spacing w:after="0"/>
              <w:rPr>
                <w:sz w:val="20"/>
                <w:szCs w:val="20"/>
                <w:color w:val="auto"/>
              </w:rPr>
            </w:pPr>
            <w:r>
              <w:rPr>
                <w:rFonts w:ascii="Arial" w:cs="Arial" w:eastAsia="Arial" w:hAnsi="Arial"/>
                <w:sz w:val="16"/>
                <w:szCs w:val="16"/>
                <w:b w:val="1"/>
                <w:bCs w:val="1"/>
                <w:color w:val="auto"/>
              </w:rPr>
              <w:t>Each Individual</w:t>
            </w:r>
          </w:p>
        </w:tc>
        <w:tc>
          <w:tcPr>
            <w:tcW w:w="100" w:type="dxa"/>
            <w:vAlign w:val="bottom"/>
            <w:shd w:val="clear" w:color="auto" w:fill="F1F2F2"/>
          </w:tcPr>
          <w:p>
            <w:pPr>
              <w:spacing w:after="0"/>
              <w:rPr>
                <w:sz w:val="21"/>
                <w:szCs w:val="21"/>
                <w:color w:val="auto"/>
              </w:rPr>
            </w:pPr>
          </w:p>
        </w:tc>
        <w:tc>
          <w:tcPr>
            <w:tcW w:w="2100" w:type="dxa"/>
            <w:vAlign w:val="bottom"/>
            <w:vMerge w:val="restart"/>
            <w:shd w:val="clear" w:color="auto" w:fill="F1F2F2"/>
          </w:tcPr>
          <w:p>
            <w:pPr>
              <w:spacing w:after="0"/>
              <w:rPr>
                <w:sz w:val="20"/>
                <w:szCs w:val="20"/>
                <w:color w:val="auto"/>
              </w:rPr>
            </w:pPr>
            <w:r>
              <w:rPr>
                <w:rFonts w:ascii="Arial" w:cs="Arial" w:eastAsia="Arial" w:hAnsi="Arial"/>
                <w:sz w:val="16"/>
                <w:szCs w:val="16"/>
                <w:b w:val="1"/>
                <w:bCs w:val="1"/>
                <w:color w:val="auto"/>
              </w:rPr>
              <w:t>Committee Chairs</w:t>
            </w:r>
          </w:p>
        </w:tc>
        <w:tc>
          <w:tcPr>
            <w:tcW w:w="4660" w:type="dxa"/>
            <w:vAlign w:val="bottom"/>
            <w:gridSpan w:val="2"/>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Committee Chairs lead their committee in an annual self-</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00" w:type="dxa"/>
            <w:vAlign w:val="bottom"/>
            <w:gridSpan w:val="2"/>
            <w:vMerge w:val="continue"/>
            <w:shd w:val="clear" w:color="auto" w:fill="E6E6E6"/>
          </w:tcPr>
          <w:p>
            <w:pPr>
              <w:spacing w:after="0"/>
              <w:rPr>
                <w:sz w:val="4"/>
                <w:szCs w:val="4"/>
                <w:color w:val="auto"/>
              </w:rPr>
            </w:pPr>
          </w:p>
        </w:tc>
        <w:tc>
          <w:tcPr>
            <w:tcW w:w="1700" w:type="dxa"/>
            <w:vAlign w:val="bottom"/>
            <w:vMerge w:val="continue"/>
            <w:shd w:val="clear" w:color="auto" w:fill="E6E6E6"/>
          </w:tcPr>
          <w:p>
            <w:pPr>
              <w:spacing w:after="0"/>
              <w:rPr>
                <w:sz w:val="4"/>
                <w:szCs w:val="4"/>
                <w:color w:val="auto"/>
              </w:rPr>
            </w:pPr>
          </w:p>
        </w:tc>
        <w:tc>
          <w:tcPr>
            <w:tcW w:w="100" w:type="dxa"/>
            <w:vAlign w:val="bottom"/>
            <w:shd w:val="clear" w:color="auto" w:fill="F1F2F2"/>
          </w:tcPr>
          <w:p>
            <w:pPr>
              <w:spacing w:after="0"/>
              <w:rPr>
                <w:sz w:val="4"/>
                <w:szCs w:val="4"/>
                <w:color w:val="auto"/>
              </w:rPr>
            </w:pPr>
          </w:p>
        </w:tc>
        <w:tc>
          <w:tcPr>
            <w:tcW w:w="2100" w:type="dxa"/>
            <w:vAlign w:val="bottom"/>
            <w:vMerge w:val="continue"/>
            <w:shd w:val="clear" w:color="auto" w:fill="F1F2F2"/>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vMerge w:val="restart"/>
          </w:tcPr>
          <w:p>
            <w:pPr>
              <w:ind w:left="80"/>
              <w:spacing w:after="0"/>
              <w:rPr>
                <w:sz w:val="20"/>
                <w:szCs w:val="20"/>
                <w:color w:val="auto"/>
              </w:rPr>
            </w:pPr>
            <w:r>
              <w:rPr>
                <w:rFonts w:ascii="Arial" w:cs="Arial" w:eastAsia="Arial" w:hAnsi="Arial"/>
                <w:sz w:val="16"/>
                <w:szCs w:val="16"/>
                <w:color w:val="auto"/>
              </w:rPr>
              <w:t>evaluation in executive session</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Committee</w:t>
            </w:r>
          </w:p>
        </w:tc>
        <w:tc>
          <w:tcPr>
            <w:tcW w:w="100" w:type="dxa"/>
            <w:vAlign w:val="bottom"/>
            <w:shd w:val="clear" w:color="auto" w:fill="F1F2F2"/>
          </w:tcPr>
          <w:p>
            <w:pPr>
              <w:spacing w:after="0"/>
              <w:rPr>
                <w:sz w:val="16"/>
                <w:szCs w:val="16"/>
                <w:color w:val="auto"/>
              </w:rPr>
            </w:pPr>
          </w:p>
        </w:tc>
        <w:tc>
          <w:tcPr>
            <w:tcW w:w="2100" w:type="dxa"/>
            <w:vAlign w:val="bottom"/>
            <w:shd w:val="clear" w:color="auto" w:fill="F1F2F2"/>
          </w:tcPr>
          <w:p>
            <w:pPr>
              <w:spacing w:after="0"/>
              <w:rPr>
                <w:sz w:val="16"/>
                <w:szCs w:val="16"/>
                <w:color w:val="auto"/>
              </w:rPr>
            </w:pPr>
          </w:p>
        </w:tc>
        <w:tc>
          <w:tcPr>
            <w:tcW w:w="20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Conducts</w:t>
            </w:r>
          </w:p>
        </w:tc>
        <w:tc>
          <w:tcPr>
            <w:tcW w:w="100" w:type="dxa"/>
            <w:vAlign w:val="bottom"/>
            <w:shd w:val="clear" w:color="auto" w:fill="F1F2F2"/>
          </w:tcPr>
          <w:p>
            <w:pPr>
              <w:spacing w:after="0"/>
              <w:rPr>
                <w:sz w:val="16"/>
                <w:szCs w:val="16"/>
                <w:color w:val="auto"/>
              </w:rPr>
            </w:pPr>
          </w:p>
        </w:tc>
        <w:tc>
          <w:tcPr>
            <w:tcW w:w="2100" w:type="dxa"/>
            <w:vAlign w:val="bottom"/>
            <w:shd w:val="clear" w:color="auto" w:fill="F1F2F2"/>
          </w:tcPr>
          <w:p>
            <w:pPr>
              <w:spacing w:after="0"/>
              <w:rPr>
                <w:sz w:val="16"/>
                <w:szCs w:val="16"/>
                <w:color w:val="auto"/>
              </w:rPr>
            </w:pPr>
          </w:p>
        </w:tc>
        <w:tc>
          <w:tcPr>
            <w:tcW w:w="4660" w:type="dxa"/>
            <w:vAlign w:val="bottom"/>
            <w:gridSpan w:val="2"/>
            <w:vMerge w:val="restart"/>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Committee self-evaluations promote candid discussion in</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200" w:type="dxa"/>
            <w:vAlign w:val="bottom"/>
            <w:shd w:val="clear" w:color="auto" w:fill="E6E6E6"/>
          </w:tcPr>
          <w:p>
            <w:pPr>
              <w:spacing w:after="0"/>
              <w:rPr>
                <w:sz w:val="9"/>
                <w:szCs w:val="9"/>
                <w:color w:val="auto"/>
              </w:rPr>
            </w:pPr>
          </w:p>
        </w:tc>
        <w:tc>
          <w:tcPr>
            <w:tcW w:w="1700" w:type="dxa"/>
            <w:vAlign w:val="bottom"/>
            <w:vMerge w:val="restart"/>
            <w:shd w:val="clear" w:color="auto" w:fill="E6E6E6"/>
          </w:tcPr>
          <w:p>
            <w:pPr>
              <w:ind w:left="80"/>
              <w:spacing w:after="0"/>
              <w:rPr>
                <w:sz w:val="20"/>
                <w:szCs w:val="20"/>
                <w:color w:val="auto"/>
              </w:rPr>
            </w:pPr>
            <w:r>
              <w:rPr>
                <w:rFonts w:ascii="Arial" w:cs="Arial" w:eastAsia="Arial" w:hAnsi="Arial"/>
                <w:sz w:val="16"/>
                <w:szCs w:val="16"/>
                <w:b w:val="1"/>
                <w:bCs w:val="1"/>
                <w:color w:val="auto"/>
              </w:rPr>
              <w:t>Annual Self-</w:t>
            </w:r>
          </w:p>
        </w:tc>
        <w:tc>
          <w:tcPr>
            <w:tcW w:w="100" w:type="dxa"/>
            <w:vAlign w:val="bottom"/>
            <w:shd w:val="clear" w:color="auto" w:fill="F1F2F2"/>
          </w:tcPr>
          <w:p>
            <w:pPr>
              <w:spacing w:after="0"/>
              <w:rPr>
                <w:sz w:val="9"/>
                <w:szCs w:val="9"/>
                <w:color w:val="auto"/>
              </w:rPr>
            </w:pPr>
          </w:p>
        </w:tc>
        <w:tc>
          <w:tcPr>
            <w:tcW w:w="2100" w:type="dxa"/>
            <w:vAlign w:val="bottom"/>
            <w:shd w:val="clear" w:color="auto" w:fill="F1F2F2"/>
          </w:tcPr>
          <w:p>
            <w:pPr>
              <w:spacing w:after="0"/>
              <w:rPr>
                <w:sz w:val="9"/>
                <w:szCs w:val="9"/>
                <w:color w:val="auto"/>
              </w:rPr>
            </w:pPr>
          </w:p>
        </w:tc>
        <w:tc>
          <w:tcPr>
            <w:tcW w:w="466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00" w:type="dxa"/>
            <w:vAlign w:val="bottom"/>
            <w:shd w:val="clear" w:color="auto" w:fill="E6E6E6"/>
          </w:tcPr>
          <w:p>
            <w:pPr>
              <w:spacing w:after="0"/>
              <w:rPr>
                <w:sz w:val="7"/>
                <w:szCs w:val="7"/>
                <w:color w:val="auto"/>
              </w:rPr>
            </w:pPr>
          </w:p>
        </w:tc>
        <w:tc>
          <w:tcPr>
            <w:tcW w:w="200" w:type="dxa"/>
            <w:vAlign w:val="bottom"/>
            <w:shd w:val="clear" w:color="auto" w:fill="E6E6E6"/>
          </w:tcPr>
          <w:p>
            <w:pPr>
              <w:spacing w:after="0"/>
              <w:rPr>
                <w:sz w:val="7"/>
                <w:szCs w:val="7"/>
                <w:color w:val="auto"/>
              </w:rPr>
            </w:pPr>
          </w:p>
        </w:tc>
        <w:tc>
          <w:tcPr>
            <w:tcW w:w="1700" w:type="dxa"/>
            <w:vAlign w:val="bottom"/>
            <w:vMerge w:val="continue"/>
            <w:shd w:val="clear" w:color="auto" w:fill="E6E6E6"/>
          </w:tcPr>
          <w:p>
            <w:pPr>
              <w:spacing w:after="0"/>
              <w:rPr>
                <w:sz w:val="7"/>
                <w:szCs w:val="7"/>
                <w:color w:val="auto"/>
              </w:rPr>
            </w:pPr>
          </w:p>
        </w:tc>
        <w:tc>
          <w:tcPr>
            <w:tcW w:w="100" w:type="dxa"/>
            <w:vAlign w:val="bottom"/>
            <w:shd w:val="clear" w:color="auto" w:fill="F1F2F2"/>
          </w:tcPr>
          <w:p>
            <w:pPr>
              <w:spacing w:after="0"/>
              <w:rPr>
                <w:sz w:val="7"/>
                <w:szCs w:val="7"/>
                <w:color w:val="auto"/>
              </w:rPr>
            </w:pPr>
          </w:p>
        </w:tc>
        <w:tc>
          <w:tcPr>
            <w:tcW w:w="2100" w:type="dxa"/>
            <w:vAlign w:val="bottom"/>
            <w:shd w:val="clear" w:color="auto" w:fill="F1F2F2"/>
          </w:tcPr>
          <w:p>
            <w:pPr>
              <w:spacing w:after="0"/>
              <w:rPr>
                <w:sz w:val="7"/>
                <w:szCs w:val="7"/>
                <w:color w:val="auto"/>
              </w:rPr>
            </w:pPr>
          </w:p>
        </w:tc>
        <w:tc>
          <w:tcPr>
            <w:tcW w:w="200" w:type="dxa"/>
            <w:vAlign w:val="bottom"/>
          </w:tcPr>
          <w:p>
            <w:pPr>
              <w:spacing w:after="0"/>
              <w:rPr>
                <w:sz w:val="7"/>
                <w:szCs w:val="7"/>
                <w:color w:val="auto"/>
              </w:rPr>
            </w:pPr>
          </w:p>
        </w:tc>
        <w:tc>
          <w:tcPr>
            <w:tcW w:w="4460" w:type="dxa"/>
            <w:vAlign w:val="bottom"/>
            <w:vMerge w:val="restart"/>
          </w:tcPr>
          <w:p>
            <w:pPr>
              <w:ind w:left="80"/>
              <w:spacing w:after="0"/>
              <w:rPr>
                <w:sz w:val="20"/>
                <w:szCs w:val="20"/>
                <w:color w:val="auto"/>
              </w:rPr>
            </w:pPr>
            <w:r>
              <w:rPr>
                <w:rFonts w:ascii="Arial" w:cs="Arial" w:eastAsia="Arial" w:hAnsi="Arial"/>
                <w:sz w:val="16"/>
                <w:szCs w:val="16"/>
                <w:color w:val="auto"/>
              </w:rPr>
              <w:t>a smaller setting of matters that are specific to each</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80" w:type="dxa"/>
            <w:vAlign w:val="bottom"/>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200" w:type="dxa"/>
            <w:vAlign w:val="bottom"/>
            <w:shd w:val="clear" w:color="auto" w:fill="E6E6E6"/>
          </w:tcPr>
          <w:p>
            <w:pPr>
              <w:spacing w:after="0"/>
              <w:rPr>
                <w:sz w:val="9"/>
                <w:szCs w:val="9"/>
                <w:color w:val="auto"/>
              </w:rPr>
            </w:pPr>
          </w:p>
        </w:tc>
        <w:tc>
          <w:tcPr>
            <w:tcW w:w="1700" w:type="dxa"/>
            <w:vAlign w:val="bottom"/>
            <w:vMerge w:val="restart"/>
            <w:shd w:val="clear" w:color="auto" w:fill="E6E6E6"/>
          </w:tcPr>
          <w:p>
            <w:pPr>
              <w:ind w:left="80"/>
              <w:spacing w:after="0"/>
              <w:rPr>
                <w:sz w:val="20"/>
                <w:szCs w:val="20"/>
                <w:color w:val="auto"/>
              </w:rPr>
            </w:pPr>
            <w:r>
              <w:rPr>
                <w:rFonts w:ascii="Arial" w:cs="Arial" w:eastAsia="Arial" w:hAnsi="Arial"/>
                <w:sz w:val="16"/>
                <w:szCs w:val="16"/>
                <w:b w:val="1"/>
                <w:bCs w:val="1"/>
                <w:color w:val="auto"/>
              </w:rPr>
              <w:t>Evaluation</w:t>
            </w:r>
          </w:p>
        </w:tc>
        <w:tc>
          <w:tcPr>
            <w:tcW w:w="100" w:type="dxa"/>
            <w:vAlign w:val="bottom"/>
            <w:shd w:val="clear" w:color="auto" w:fill="F1F2F2"/>
          </w:tcPr>
          <w:p>
            <w:pPr>
              <w:spacing w:after="0"/>
              <w:rPr>
                <w:sz w:val="9"/>
                <w:szCs w:val="9"/>
                <w:color w:val="auto"/>
              </w:rPr>
            </w:pPr>
          </w:p>
        </w:tc>
        <w:tc>
          <w:tcPr>
            <w:tcW w:w="2100" w:type="dxa"/>
            <w:vAlign w:val="bottom"/>
            <w:shd w:val="clear" w:color="auto" w:fill="F1F2F2"/>
          </w:tcPr>
          <w:p>
            <w:pPr>
              <w:spacing w:after="0"/>
              <w:rPr>
                <w:sz w:val="9"/>
                <w:szCs w:val="9"/>
                <w:color w:val="auto"/>
              </w:rPr>
            </w:pPr>
          </w:p>
        </w:tc>
        <w:tc>
          <w:tcPr>
            <w:tcW w:w="200" w:type="dxa"/>
            <w:vAlign w:val="bottom"/>
          </w:tcPr>
          <w:p>
            <w:pPr>
              <w:spacing w:after="0"/>
              <w:rPr>
                <w:sz w:val="9"/>
                <w:szCs w:val="9"/>
                <w:color w:val="auto"/>
              </w:rPr>
            </w:pPr>
          </w:p>
        </w:tc>
        <w:tc>
          <w:tcPr>
            <w:tcW w:w="44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80" w:type="dxa"/>
            <w:vAlign w:val="bottom"/>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200" w:type="dxa"/>
            <w:vAlign w:val="bottom"/>
            <w:shd w:val="clear" w:color="auto" w:fill="E6E6E6"/>
          </w:tcPr>
          <w:p>
            <w:pPr>
              <w:spacing w:after="0"/>
              <w:rPr>
                <w:sz w:val="9"/>
                <w:szCs w:val="9"/>
                <w:color w:val="auto"/>
              </w:rPr>
            </w:pPr>
          </w:p>
        </w:tc>
        <w:tc>
          <w:tcPr>
            <w:tcW w:w="1700" w:type="dxa"/>
            <w:vAlign w:val="bottom"/>
            <w:vMerge w:val="continue"/>
            <w:shd w:val="clear" w:color="auto" w:fill="E6E6E6"/>
          </w:tcPr>
          <w:p>
            <w:pPr>
              <w:spacing w:after="0"/>
              <w:rPr>
                <w:sz w:val="9"/>
                <w:szCs w:val="9"/>
                <w:color w:val="auto"/>
              </w:rPr>
            </w:pPr>
          </w:p>
        </w:tc>
        <w:tc>
          <w:tcPr>
            <w:tcW w:w="100" w:type="dxa"/>
            <w:vAlign w:val="bottom"/>
            <w:shd w:val="clear" w:color="auto" w:fill="F1F2F2"/>
          </w:tcPr>
          <w:p>
            <w:pPr>
              <w:spacing w:after="0"/>
              <w:rPr>
                <w:sz w:val="9"/>
                <w:szCs w:val="9"/>
                <w:color w:val="auto"/>
              </w:rPr>
            </w:pPr>
          </w:p>
        </w:tc>
        <w:tc>
          <w:tcPr>
            <w:tcW w:w="2100" w:type="dxa"/>
            <w:vAlign w:val="bottom"/>
            <w:shd w:val="clear" w:color="auto" w:fill="F1F2F2"/>
          </w:tcPr>
          <w:p>
            <w:pPr>
              <w:spacing w:after="0"/>
              <w:rPr>
                <w:sz w:val="9"/>
                <w:szCs w:val="9"/>
                <w:color w:val="auto"/>
              </w:rPr>
            </w:pPr>
          </w:p>
        </w:tc>
        <w:tc>
          <w:tcPr>
            <w:tcW w:w="200" w:type="dxa"/>
            <w:vAlign w:val="bottom"/>
          </w:tcPr>
          <w:p>
            <w:pPr>
              <w:spacing w:after="0"/>
              <w:rPr>
                <w:sz w:val="9"/>
                <w:szCs w:val="9"/>
                <w:color w:val="auto"/>
              </w:rPr>
            </w:pPr>
          </w:p>
        </w:tc>
        <w:tc>
          <w:tcPr>
            <w:tcW w:w="4460" w:type="dxa"/>
            <w:vAlign w:val="bottom"/>
            <w:vMerge w:val="restart"/>
          </w:tcPr>
          <w:p>
            <w:pPr>
              <w:ind w:left="80"/>
              <w:spacing w:after="0"/>
              <w:rPr>
                <w:sz w:val="20"/>
                <w:szCs w:val="20"/>
                <w:color w:val="auto"/>
              </w:rPr>
            </w:pPr>
            <w:r>
              <w:rPr>
                <w:rFonts w:ascii="Arial" w:cs="Arial" w:eastAsia="Arial" w:hAnsi="Arial"/>
                <w:sz w:val="16"/>
                <w:szCs w:val="16"/>
                <w:color w:val="auto"/>
              </w:rPr>
              <w:t>committee</w:t>
            </w: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80" w:type="dxa"/>
            <w:vAlign w:val="bottom"/>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200" w:type="dxa"/>
            <w:vAlign w:val="bottom"/>
            <w:shd w:val="clear" w:color="auto" w:fill="E6E6E6"/>
          </w:tcPr>
          <w:p>
            <w:pPr>
              <w:spacing w:after="0"/>
              <w:rPr>
                <w:sz w:val="8"/>
                <w:szCs w:val="8"/>
                <w:color w:val="auto"/>
              </w:rPr>
            </w:pPr>
          </w:p>
        </w:tc>
        <w:tc>
          <w:tcPr>
            <w:tcW w:w="1700" w:type="dxa"/>
            <w:vAlign w:val="bottom"/>
            <w:shd w:val="clear" w:color="auto" w:fill="E6E6E6"/>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2100" w:type="dxa"/>
            <w:vAlign w:val="bottom"/>
            <w:shd w:val="clear" w:color="auto" w:fill="F1F2F2"/>
          </w:tcPr>
          <w:p>
            <w:pPr>
              <w:spacing w:after="0"/>
              <w:rPr>
                <w:sz w:val="8"/>
                <w:szCs w:val="8"/>
                <w:color w:val="auto"/>
              </w:rPr>
            </w:pPr>
          </w:p>
        </w:tc>
        <w:tc>
          <w:tcPr>
            <w:tcW w:w="200" w:type="dxa"/>
            <w:vAlign w:val="bottom"/>
          </w:tcPr>
          <w:p>
            <w:pPr>
              <w:spacing w:after="0"/>
              <w:rPr>
                <w:sz w:val="8"/>
                <w:szCs w:val="8"/>
                <w:color w:val="auto"/>
              </w:rPr>
            </w:pPr>
          </w:p>
        </w:tc>
        <w:tc>
          <w:tcPr>
            <w:tcW w:w="44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100" w:type="dxa"/>
            <w:vAlign w:val="bottom"/>
            <w:tcBorders>
              <w:bottom w:val="single" w:sz="8" w:color="F0533D"/>
            </w:tcBorders>
            <w:shd w:val="clear" w:color="auto" w:fill="E6E6E6"/>
          </w:tcPr>
          <w:p>
            <w:pPr>
              <w:spacing w:after="0"/>
              <w:rPr>
                <w:sz w:val="11"/>
                <w:szCs w:val="11"/>
                <w:color w:val="auto"/>
              </w:rPr>
            </w:pPr>
          </w:p>
        </w:tc>
        <w:tc>
          <w:tcPr>
            <w:tcW w:w="200" w:type="dxa"/>
            <w:vAlign w:val="bottom"/>
            <w:tcBorders>
              <w:bottom w:val="single" w:sz="8" w:color="F0533D"/>
            </w:tcBorders>
            <w:shd w:val="clear" w:color="auto" w:fill="E6E6E6"/>
          </w:tcPr>
          <w:p>
            <w:pPr>
              <w:spacing w:after="0"/>
              <w:rPr>
                <w:sz w:val="11"/>
                <w:szCs w:val="11"/>
                <w:color w:val="auto"/>
              </w:rPr>
            </w:pPr>
          </w:p>
        </w:tc>
        <w:tc>
          <w:tcPr>
            <w:tcW w:w="1700" w:type="dxa"/>
            <w:vAlign w:val="bottom"/>
            <w:tcBorders>
              <w:bottom w:val="single" w:sz="8" w:color="F0533D"/>
            </w:tcBorders>
            <w:shd w:val="clear" w:color="auto" w:fill="E6E6E6"/>
          </w:tcPr>
          <w:p>
            <w:pPr>
              <w:spacing w:after="0"/>
              <w:rPr>
                <w:sz w:val="11"/>
                <w:szCs w:val="11"/>
                <w:color w:val="auto"/>
              </w:rPr>
            </w:pPr>
          </w:p>
        </w:tc>
        <w:tc>
          <w:tcPr>
            <w:tcW w:w="100" w:type="dxa"/>
            <w:vAlign w:val="bottom"/>
            <w:tcBorders>
              <w:bottom w:val="single" w:sz="8" w:color="F0533D"/>
            </w:tcBorders>
            <w:shd w:val="clear" w:color="auto" w:fill="F1F2F2"/>
          </w:tcPr>
          <w:p>
            <w:pPr>
              <w:spacing w:after="0"/>
              <w:rPr>
                <w:sz w:val="11"/>
                <w:szCs w:val="11"/>
                <w:color w:val="auto"/>
              </w:rPr>
            </w:pPr>
          </w:p>
        </w:tc>
        <w:tc>
          <w:tcPr>
            <w:tcW w:w="2100" w:type="dxa"/>
            <w:vAlign w:val="bottom"/>
            <w:tcBorders>
              <w:bottom w:val="single" w:sz="8" w:color="F0533D"/>
            </w:tcBorders>
            <w:shd w:val="clear" w:color="auto" w:fill="F1F2F2"/>
          </w:tcPr>
          <w:p>
            <w:pPr>
              <w:spacing w:after="0"/>
              <w:rPr>
                <w:sz w:val="11"/>
                <w:szCs w:val="11"/>
                <w:color w:val="auto"/>
              </w:rPr>
            </w:pPr>
          </w:p>
        </w:tc>
        <w:tc>
          <w:tcPr>
            <w:tcW w:w="4660" w:type="dxa"/>
            <w:vAlign w:val="bottom"/>
            <w:tcBorders>
              <w:bottom w:val="single" w:sz="8" w:color="F0533D"/>
            </w:tcBorders>
            <w:gridSpan w:val="2"/>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080" w:type="dxa"/>
            <w:vAlign w:val="bottom"/>
          </w:tcPr>
          <w:p>
            <w:pPr>
              <w:spacing w:after="0"/>
              <w:rPr>
                <w:sz w:val="21"/>
                <w:szCs w:val="21"/>
                <w:color w:val="auto"/>
              </w:rPr>
            </w:pPr>
          </w:p>
        </w:tc>
        <w:tc>
          <w:tcPr>
            <w:tcW w:w="300" w:type="dxa"/>
            <w:vAlign w:val="bottom"/>
            <w:gridSpan w:val="2"/>
            <w:vMerge w:val="restart"/>
            <w:shd w:val="clear" w:color="auto" w:fill="E6E6E6"/>
          </w:tcPr>
          <w:p>
            <w:pPr>
              <w:ind w:left="140"/>
              <w:spacing w:after="0"/>
              <w:rPr>
                <w:sz w:val="20"/>
                <w:szCs w:val="20"/>
                <w:color w:val="auto"/>
              </w:rPr>
            </w:pPr>
            <w:r>
              <w:rPr>
                <w:rFonts w:ascii="Arial" w:cs="Arial" w:eastAsia="Arial" w:hAnsi="Arial"/>
                <w:sz w:val="16"/>
                <w:szCs w:val="16"/>
                <w:b w:val="1"/>
                <w:bCs w:val="1"/>
                <w:color w:val="F0533D"/>
              </w:rPr>
              <w:t>3</w:t>
            </w:r>
          </w:p>
        </w:tc>
        <w:tc>
          <w:tcPr>
            <w:tcW w:w="1700" w:type="dxa"/>
            <w:vAlign w:val="bottom"/>
            <w:vMerge w:val="restart"/>
            <w:shd w:val="clear" w:color="auto" w:fill="E6E6E6"/>
          </w:tcPr>
          <w:p>
            <w:pPr>
              <w:ind w:left="80"/>
              <w:spacing w:after="0"/>
              <w:rPr>
                <w:sz w:val="20"/>
                <w:szCs w:val="20"/>
                <w:color w:val="auto"/>
              </w:rPr>
            </w:pPr>
            <w:r>
              <w:rPr>
                <w:rFonts w:ascii="Arial" w:cs="Arial" w:eastAsia="Arial" w:hAnsi="Arial"/>
                <w:sz w:val="16"/>
                <w:szCs w:val="16"/>
                <w:b w:val="1"/>
                <w:bCs w:val="1"/>
                <w:color w:val="auto"/>
              </w:rPr>
              <w:t>Full Board</w:t>
            </w:r>
          </w:p>
        </w:tc>
        <w:tc>
          <w:tcPr>
            <w:tcW w:w="100" w:type="dxa"/>
            <w:vAlign w:val="bottom"/>
            <w:shd w:val="clear" w:color="auto" w:fill="F1F2F2"/>
          </w:tcPr>
          <w:p>
            <w:pPr>
              <w:spacing w:after="0"/>
              <w:rPr>
                <w:sz w:val="21"/>
                <w:szCs w:val="21"/>
                <w:color w:val="auto"/>
              </w:rPr>
            </w:pPr>
          </w:p>
        </w:tc>
        <w:tc>
          <w:tcPr>
            <w:tcW w:w="2100" w:type="dxa"/>
            <w:vAlign w:val="bottom"/>
            <w:vMerge w:val="restart"/>
            <w:shd w:val="clear" w:color="auto" w:fill="F1F2F2"/>
          </w:tcPr>
          <w:p>
            <w:pPr>
              <w:spacing w:after="0"/>
              <w:rPr>
                <w:sz w:val="20"/>
                <w:szCs w:val="20"/>
                <w:color w:val="auto"/>
              </w:rPr>
            </w:pPr>
            <w:r>
              <w:rPr>
                <w:rFonts w:ascii="Arial" w:cs="Arial" w:eastAsia="Arial" w:hAnsi="Arial"/>
                <w:sz w:val="16"/>
                <w:szCs w:val="16"/>
                <w:b w:val="1"/>
                <w:bCs w:val="1"/>
                <w:color w:val="auto"/>
              </w:rPr>
              <w:t>Lead Independent</w:t>
            </w:r>
          </w:p>
        </w:tc>
        <w:tc>
          <w:tcPr>
            <w:tcW w:w="4660" w:type="dxa"/>
            <w:vAlign w:val="bottom"/>
            <w:gridSpan w:val="2"/>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Lead Independent Director leads the entire Board in an</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00" w:type="dxa"/>
            <w:vAlign w:val="bottom"/>
            <w:gridSpan w:val="2"/>
            <w:vMerge w:val="continue"/>
            <w:shd w:val="clear" w:color="auto" w:fill="E6E6E6"/>
          </w:tcPr>
          <w:p>
            <w:pPr>
              <w:spacing w:after="0"/>
              <w:rPr>
                <w:sz w:val="4"/>
                <w:szCs w:val="4"/>
                <w:color w:val="auto"/>
              </w:rPr>
            </w:pPr>
          </w:p>
        </w:tc>
        <w:tc>
          <w:tcPr>
            <w:tcW w:w="1700" w:type="dxa"/>
            <w:vAlign w:val="bottom"/>
            <w:vMerge w:val="continue"/>
            <w:shd w:val="clear" w:color="auto" w:fill="E6E6E6"/>
          </w:tcPr>
          <w:p>
            <w:pPr>
              <w:spacing w:after="0"/>
              <w:rPr>
                <w:sz w:val="4"/>
                <w:szCs w:val="4"/>
                <w:color w:val="auto"/>
              </w:rPr>
            </w:pPr>
          </w:p>
        </w:tc>
        <w:tc>
          <w:tcPr>
            <w:tcW w:w="100" w:type="dxa"/>
            <w:vAlign w:val="bottom"/>
            <w:shd w:val="clear" w:color="auto" w:fill="F1F2F2"/>
          </w:tcPr>
          <w:p>
            <w:pPr>
              <w:spacing w:after="0"/>
              <w:rPr>
                <w:sz w:val="4"/>
                <w:szCs w:val="4"/>
                <w:color w:val="auto"/>
              </w:rPr>
            </w:pPr>
          </w:p>
        </w:tc>
        <w:tc>
          <w:tcPr>
            <w:tcW w:w="2100" w:type="dxa"/>
            <w:vAlign w:val="bottom"/>
            <w:vMerge w:val="continue"/>
            <w:shd w:val="clear" w:color="auto" w:fill="F1F2F2"/>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vMerge w:val="restart"/>
          </w:tcPr>
          <w:p>
            <w:pPr>
              <w:ind w:left="80"/>
              <w:spacing w:after="0"/>
              <w:rPr>
                <w:sz w:val="20"/>
                <w:szCs w:val="20"/>
                <w:color w:val="auto"/>
              </w:rPr>
            </w:pPr>
            <w:r>
              <w:rPr>
                <w:rFonts w:ascii="Arial" w:cs="Arial" w:eastAsia="Arial" w:hAnsi="Arial"/>
                <w:sz w:val="16"/>
                <w:szCs w:val="16"/>
                <w:color w:val="auto"/>
              </w:rPr>
              <w:t>annual self-evaluation to review the effectiveness of the</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00" w:type="dxa"/>
            <w:vAlign w:val="bottom"/>
            <w:shd w:val="clear" w:color="auto" w:fill="E6E6E6"/>
          </w:tcPr>
          <w:p>
            <w:pPr>
              <w:spacing w:after="0"/>
              <w:rPr>
                <w:sz w:val="11"/>
                <w:szCs w:val="11"/>
                <w:color w:val="auto"/>
              </w:rPr>
            </w:pPr>
          </w:p>
        </w:tc>
        <w:tc>
          <w:tcPr>
            <w:tcW w:w="200" w:type="dxa"/>
            <w:vAlign w:val="bottom"/>
            <w:shd w:val="clear" w:color="auto" w:fill="E6E6E6"/>
          </w:tcPr>
          <w:p>
            <w:pPr>
              <w:spacing w:after="0"/>
              <w:rPr>
                <w:sz w:val="11"/>
                <w:szCs w:val="11"/>
                <w:color w:val="auto"/>
              </w:rPr>
            </w:pPr>
          </w:p>
        </w:tc>
        <w:tc>
          <w:tcPr>
            <w:tcW w:w="1700" w:type="dxa"/>
            <w:vAlign w:val="bottom"/>
            <w:vMerge w:val="restart"/>
            <w:shd w:val="clear" w:color="auto" w:fill="E6E6E6"/>
          </w:tcPr>
          <w:p>
            <w:pPr>
              <w:ind w:left="80"/>
              <w:spacing w:after="0"/>
              <w:rPr>
                <w:sz w:val="20"/>
                <w:szCs w:val="20"/>
                <w:color w:val="auto"/>
              </w:rPr>
            </w:pPr>
            <w:r>
              <w:rPr>
                <w:rFonts w:ascii="Arial" w:cs="Arial" w:eastAsia="Arial" w:hAnsi="Arial"/>
                <w:sz w:val="16"/>
                <w:szCs w:val="16"/>
                <w:b w:val="1"/>
                <w:bCs w:val="1"/>
                <w:color w:val="auto"/>
              </w:rPr>
              <w:t>Conducts</w:t>
            </w:r>
          </w:p>
        </w:tc>
        <w:tc>
          <w:tcPr>
            <w:tcW w:w="100" w:type="dxa"/>
            <w:vAlign w:val="bottom"/>
            <w:shd w:val="clear" w:color="auto" w:fill="F1F2F2"/>
          </w:tcPr>
          <w:p>
            <w:pPr>
              <w:spacing w:after="0"/>
              <w:rPr>
                <w:sz w:val="11"/>
                <w:szCs w:val="11"/>
                <w:color w:val="auto"/>
              </w:rPr>
            </w:pPr>
          </w:p>
        </w:tc>
        <w:tc>
          <w:tcPr>
            <w:tcW w:w="2100" w:type="dxa"/>
            <w:vAlign w:val="bottom"/>
            <w:vMerge w:val="restart"/>
            <w:shd w:val="clear" w:color="auto" w:fill="F1F2F2"/>
          </w:tcPr>
          <w:p>
            <w:pPr>
              <w:spacing w:after="0"/>
              <w:rPr>
                <w:sz w:val="20"/>
                <w:szCs w:val="20"/>
                <w:color w:val="auto"/>
              </w:rPr>
            </w:pPr>
            <w:r>
              <w:rPr>
                <w:rFonts w:ascii="Arial" w:cs="Arial" w:eastAsia="Arial" w:hAnsi="Arial"/>
                <w:sz w:val="16"/>
                <w:szCs w:val="16"/>
                <w:b w:val="1"/>
                <w:bCs w:val="1"/>
                <w:color w:val="auto"/>
              </w:rPr>
              <w:t>Director</w:t>
            </w:r>
          </w:p>
        </w:tc>
        <w:tc>
          <w:tcPr>
            <w:tcW w:w="200" w:type="dxa"/>
            <w:vAlign w:val="bottom"/>
          </w:tcPr>
          <w:p>
            <w:pPr>
              <w:spacing w:after="0"/>
              <w:rPr>
                <w:sz w:val="11"/>
                <w:szCs w:val="11"/>
                <w:color w:val="auto"/>
              </w:rPr>
            </w:pPr>
          </w:p>
        </w:tc>
        <w:tc>
          <w:tcPr>
            <w:tcW w:w="446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shd w:val="clear" w:color="auto" w:fill="E6E6E6"/>
          </w:tcPr>
          <w:p>
            <w:pPr>
              <w:spacing w:after="0"/>
              <w:rPr>
                <w:sz w:val="4"/>
                <w:szCs w:val="4"/>
                <w:color w:val="auto"/>
              </w:rPr>
            </w:pPr>
          </w:p>
        </w:tc>
        <w:tc>
          <w:tcPr>
            <w:tcW w:w="200" w:type="dxa"/>
            <w:vAlign w:val="bottom"/>
            <w:shd w:val="clear" w:color="auto" w:fill="E6E6E6"/>
          </w:tcPr>
          <w:p>
            <w:pPr>
              <w:spacing w:after="0"/>
              <w:rPr>
                <w:sz w:val="4"/>
                <w:szCs w:val="4"/>
                <w:color w:val="auto"/>
              </w:rPr>
            </w:pPr>
          </w:p>
        </w:tc>
        <w:tc>
          <w:tcPr>
            <w:tcW w:w="1700" w:type="dxa"/>
            <w:vAlign w:val="bottom"/>
            <w:vMerge w:val="continue"/>
            <w:shd w:val="clear" w:color="auto" w:fill="E6E6E6"/>
          </w:tcPr>
          <w:p>
            <w:pPr>
              <w:spacing w:after="0"/>
              <w:rPr>
                <w:sz w:val="4"/>
                <w:szCs w:val="4"/>
                <w:color w:val="auto"/>
              </w:rPr>
            </w:pPr>
          </w:p>
        </w:tc>
        <w:tc>
          <w:tcPr>
            <w:tcW w:w="100" w:type="dxa"/>
            <w:vAlign w:val="bottom"/>
            <w:shd w:val="clear" w:color="auto" w:fill="F1F2F2"/>
          </w:tcPr>
          <w:p>
            <w:pPr>
              <w:spacing w:after="0"/>
              <w:rPr>
                <w:sz w:val="4"/>
                <w:szCs w:val="4"/>
                <w:color w:val="auto"/>
              </w:rPr>
            </w:pPr>
          </w:p>
        </w:tc>
        <w:tc>
          <w:tcPr>
            <w:tcW w:w="2100" w:type="dxa"/>
            <w:vAlign w:val="bottom"/>
            <w:vMerge w:val="continue"/>
            <w:shd w:val="clear" w:color="auto" w:fill="F1F2F2"/>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vMerge w:val="restart"/>
          </w:tcPr>
          <w:p>
            <w:pPr>
              <w:ind w:left="80"/>
              <w:spacing w:after="0"/>
              <w:rPr>
                <w:sz w:val="20"/>
                <w:szCs w:val="20"/>
                <w:color w:val="auto"/>
              </w:rPr>
            </w:pPr>
            <w:r>
              <w:rPr>
                <w:rFonts w:ascii="Arial" w:cs="Arial" w:eastAsia="Arial" w:hAnsi="Arial"/>
                <w:sz w:val="16"/>
                <w:szCs w:val="16"/>
                <w:color w:val="auto"/>
              </w:rPr>
              <w:t>Board</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Annual Self-</w:t>
            </w:r>
          </w:p>
        </w:tc>
        <w:tc>
          <w:tcPr>
            <w:tcW w:w="100" w:type="dxa"/>
            <w:vAlign w:val="bottom"/>
            <w:shd w:val="clear" w:color="auto" w:fill="F1F2F2"/>
          </w:tcPr>
          <w:p>
            <w:pPr>
              <w:spacing w:after="0"/>
              <w:rPr>
                <w:sz w:val="16"/>
                <w:szCs w:val="16"/>
                <w:color w:val="auto"/>
              </w:rPr>
            </w:pPr>
          </w:p>
        </w:tc>
        <w:tc>
          <w:tcPr>
            <w:tcW w:w="2100" w:type="dxa"/>
            <w:vAlign w:val="bottom"/>
            <w:shd w:val="clear" w:color="auto" w:fill="F1F2F2"/>
          </w:tcPr>
          <w:p>
            <w:pPr>
              <w:spacing w:after="0"/>
              <w:rPr>
                <w:sz w:val="16"/>
                <w:szCs w:val="16"/>
                <w:color w:val="auto"/>
              </w:rPr>
            </w:pPr>
          </w:p>
        </w:tc>
        <w:tc>
          <w:tcPr>
            <w:tcW w:w="20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Evaluation</w:t>
            </w:r>
          </w:p>
        </w:tc>
        <w:tc>
          <w:tcPr>
            <w:tcW w:w="100" w:type="dxa"/>
            <w:vAlign w:val="bottom"/>
            <w:shd w:val="clear" w:color="auto" w:fill="F1F2F2"/>
          </w:tcPr>
          <w:p>
            <w:pPr>
              <w:spacing w:after="0"/>
              <w:rPr>
                <w:sz w:val="19"/>
                <w:szCs w:val="19"/>
                <w:color w:val="auto"/>
              </w:rPr>
            </w:pPr>
          </w:p>
        </w:tc>
        <w:tc>
          <w:tcPr>
            <w:tcW w:w="2100" w:type="dxa"/>
            <w:vAlign w:val="bottom"/>
            <w:shd w:val="clear" w:color="auto" w:fill="F1F2F2"/>
          </w:tcPr>
          <w:p>
            <w:pPr>
              <w:spacing w:after="0"/>
              <w:rPr>
                <w:sz w:val="19"/>
                <w:szCs w:val="19"/>
                <w:color w:val="auto"/>
              </w:rPr>
            </w:pPr>
          </w:p>
        </w:tc>
        <w:tc>
          <w:tcPr>
            <w:tcW w:w="4660" w:type="dxa"/>
            <w:vAlign w:val="bottom"/>
            <w:gridSpan w:val="2"/>
            <w:vMerge w:val="restart"/>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Among other items, the Board focuses on areas such as:</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080" w:type="dxa"/>
            <w:vAlign w:val="bottom"/>
          </w:tcPr>
          <w:p>
            <w:pPr>
              <w:spacing w:after="0"/>
              <w:rPr>
                <w:sz w:val="8"/>
                <w:szCs w:val="8"/>
                <w:color w:val="auto"/>
              </w:rPr>
            </w:pPr>
          </w:p>
        </w:tc>
        <w:tc>
          <w:tcPr>
            <w:tcW w:w="100" w:type="dxa"/>
            <w:vAlign w:val="bottom"/>
            <w:shd w:val="clear" w:color="auto" w:fill="E6E6E6"/>
          </w:tcPr>
          <w:p>
            <w:pPr>
              <w:spacing w:after="0"/>
              <w:rPr>
                <w:sz w:val="8"/>
                <w:szCs w:val="8"/>
                <w:color w:val="auto"/>
              </w:rPr>
            </w:pPr>
          </w:p>
        </w:tc>
        <w:tc>
          <w:tcPr>
            <w:tcW w:w="200" w:type="dxa"/>
            <w:vAlign w:val="bottom"/>
            <w:shd w:val="clear" w:color="auto" w:fill="E6E6E6"/>
          </w:tcPr>
          <w:p>
            <w:pPr>
              <w:spacing w:after="0"/>
              <w:rPr>
                <w:sz w:val="8"/>
                <w:szCs w:val="8"/>
                <w:color w:val="auto"/>
              </w:rPr>
            </w:pPr>
          </w:p>
        </w:tc>
        <w:tc>
          <w:tcPr>
            <w:tcW w:w="1700" w:type="dxa"/>
            <w:vAlign w:val="bottom"/>
            <w:shd w:val="clear" w:color="auto" w:fill="E6E6E6"/>
          </w:tcPr>
          <w:p>
            <w:pPr>
              <w:spacing w:after="0"/>
              <w:rPr>
                <w:sz w:val="8"/>
                <w:szCs w:val="8"/>
                <w:color w:val="auto"/>
              </w:rPr>
            </w:pPr>
          </w:p>
        </w:tc>
        <w:tc>
          <w:tcPr>
            <w:tcW w:w="100" w:type="dxa"/>
            <w:vAlign w:val="bottom"/>
            <w:shd w:val="clear" w:color="auto" w:fill="F1F2F2"/>
          </w:tcPr>
          <w:p>
            <w:pPr>
              <w:spacing w:after="0"/>
              <w:rPr>
                <w:sz w:val="8"/>
                <w:szCs w:val="8"/>
                <w:color w:val="auto"/>
              </w:rPr>
            </w:pPr>
          </w:p>
        </w:tc>
        <w:tc>
          <w:tcPr>
            <w:tcW w:w="2100" w:type="dxa"/>
            <w:vAlign w:val="bottom"/>
            <w:shd w:val="clear" w:color="auto" w:fill="F1F2F2"/>
          </w:tcPr>
          <w:p>
            <w:pPr>
              <w:spacing w:after="0"/>
              <w:rPr>
                <w:sz w:val="8"/>
                <w:szCs w:val="8"/>
                <w:color w:val="auto"/>
              </w:rPr>
            </w:pPr>
          </w:p>
        </w:tc>
        <w:tc>
          <w:tcPr>
            <w:tcW w:w="4660" w:type="dxa"/>
            <w:vAlign w:val="bottom"/>
            <w:gridSpan w:val="2"/>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10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446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Board composition, including the backgrounds,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700" w:type="dxa"/>
            <w:vAlign w:val="bottom"/>
            <w:shd w:val="clear" w:color="auto" w:fill="E6E6E6"/>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2100" w:type="dxa"/>
            <w:vAlign w:val="bottom"/>
            <w:shd w:val="clear" w:color="auto" w:fill="F1F2F2"/>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tcPr>
          <w:p>
            <w:pPr>
              <w:ind w:left="480"/>
              <w:spacing w:after="0"/>
              <w:rPr>
                <w:sz w:val="20"/>
                <w:szCs w:val="20"/>
                <w:color w:val="auto"/>
              </w:rPr>
            </w:pPr>
            <w:r>
              <w:rPr>
                <w:rFonts w:ascii="Arial" w:cs="Arial" w:eastAsia="Arial" w:hAnsi="Arial"/>
                <w:sz w:val="16"/>
                <w:szCs w:val="16"/>
                <w:color w:val="auto"/>
              </w:rPr>
              <w:t>skills, and experience of our directors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446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Board culture and rapport among directors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446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Scope and quality of Board meeting materials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446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Board access to Company management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080" w:type="dxa"/>
            <w:vAlign w:val="bottom"/>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0" w:type="dxa"/>
            <w:vAlign w:val="bottom"/>
            <w:shd w:val="clear" w:color="auto" w:fill="E6E6E6"/>
          </w:tcPr>
          <w:p>
            <w:pPr>
              <w:spacing w:after="0"/>
              <w:rPr>
                <w:sz w:val="24"/>
                <w:szCs w:val="24"/>
                <w:color w:val="auto"/>
              </w:rPr>
            </w:pPr>
          </w:p>
        </w:tc>
        <w:tc>
          <w:tcPr>
            <w:tcW w:w="1700" w:type="dxa"/>
            <w:vAlign w:val="bottom"/>
            <w:shd w:val="clear" w:color="auto" w:fill="E6E6E6"/>
          </w:tcPr>
          <w:p>
            <w:pPr>
              <w:spacing w:after="0"/>
              <w:rPr>
                <w:sz w:val="24"/>
                <w:szCs w:val="24"/>
                <w:color w:val="auto"/>
              </w:rPr>
            </w:pP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4"/>
                <w:szCs w:val="24"/>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4460" w:type="dxa"/>
            <w:vAlign w:val="bottom"/>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Overall Board performance and effectiveness of the</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100" w:type="dxa"/>
            <w:vAlign w:val="bottom"/>
            <w:shd w:val="clear" w:color="auto" w:fill="E6E6E6"/>
          </w:tcPr>
          <w:p>
            <w:pPr>
              <w:spacing w:after="0"/>
              <w:rPr>
                <w:sz w:val="18"/>
                <w:szCs w:val="18"/>
                <w:color w:val="auto"/>
              </w:rPr>
            </w:pPr>
          </w:p>
        </w:tc>
        <w:tc>
          <w:tcPr>
            <w:tcW w:w="200" w:type="dxa"/>
            <w:vAlign w:val="bottom"/>
            <w:shd w:val="clear" w:color="auto" w:fill="E6E6E6"/>
          </w:tcPr>
          <w:p>
            <w:pPr>
              <w:spacing w:after="0"/>
              <w:rPr>
                <w:sz w:val="18"/>
                <w:szCs w:val="18"/>
                <w:color w:val="auto"/>
              </w:rPr>
            </w:pPr>
          </w:p>
        </w:tc>
        <w:tc>
          <w:tcPr>
            <w:tcW w:w="1700" w:type="dxa"/>
            <w:vAlign w:val="bottom"/>
            <w:shd w:val="clear" w:color="auto" w:fill="E6E6E6"/>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2100" w:type="dxa"/>
            <w:vAlign w:val="bottom"/>
            <w:shd w:val="clear" w:color="auto" w:fill="F1F2F2"/>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tcPr>
          <w:p>
            <w:pPr>
              <w:ind w:left="480"/>
              <w:spacing w:after="0"/>
              <w:rPr>
                <w:sz w:val="20"/>
                <w:szCs w:val="20"/>
                <w:color w:val="auto"/>
              </w:rPr>
            </w:pPr>
            <w:r>
              <w:rPr>
                <w:rFonts w:ascii="Arial" w:cs="Arial" w:eastAsia="Arial" w:hAnsi="Arial"/>
                <w:sz w:val="16"/>
                <w:szCs w:val="16"/>
                <w:color w:val="auto"/>
              </w:rPr>
              <w:t>Board and each of its committees</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80" w:type="dxa"/>
            <w:vAlign w:val="bottom"/>
          </w:tcPr>
          <w:p>
            <w:pPr>
              <w:spacing w:after="0"/>
              <w:rPr>
                <w:sz w:val="11"/>
                <w:szCs w:val="11"/>
                <w:color w:val="auto"/>
              </w:rPr>
            </w:pPr>
          </w:p>
        </w:tc>
        <w:tc>
          <w:tcPr>
            <w:tcW w:w="300" w:type="dxa"/>
            <w:vAlign w:val="bottom"/>
            <w:tcBorders>
              <w:bottom w:val="single" w:sz="8" w:color="F0533D"/>
            </w:tcBorders>
            <w:gridSpan w:val="2"/>
            <w:shd w:val="clear" w:color="auto" w:fill="E6E6E6"/>
          </w:tcPr>
          <w:p>
            <w:pPr>
              <w:spacing w:after="0"/>
              <w:rPr>
                <w:sz w:val="11"/>
                <w:szCs w:val="11"/>
                <w:color w:val="auto"/>
              </w:rPr>
            </w:pPr>
          </w:p>
        </w:tc>
        <w:tc>
          <w:tcPr>
            <w:tcW w:w="1700" w:type="dxa"/>
            <w:vAlign w:val="bottom"/>
            <w:tcBorders>
              <w:bottom w:val="single" w:sz="8" w:color="F0533D"/>
            </w:tcBorders>
            <w:shd w:val="clear" w:color="auto" w:fill="E6E6E6"/>
          </w:tcPr>
          <w:p>
            <w:pPr>
              <w:spacing w:after="0"/>
              <w:rPr>
                <w:sz w:val="11"/>
                <w:szCs w:val="11"/>
                <w:color w:val="auto"/>
              </w:rPr>
            </w:pPr>
          </w:p>
        </w:tc>
        <w:tc>
          <w:tcPr>
            <w:tcW w:w="100" w:type="dxa"/>
            <w:vAlign w:val="bottom"/>
            <w:tcBorders>
              <w:bottom w:val="single" w:sz="8" w:color="F0533D"/>
            </w:tcBorders>
            <w:shd w:val="clear" w:color="auto" w:fill="F1F2F2"/>
          </w:tcPr>
          <w:p>
            <w:pPr>
              <w:spacing w:after="0"/>
              <w:rPr>
                <w:sz w:val="11"/>
                <w:szCs w:val="11"/>
                <w:color w:val="auto"/>
              </w:rPr>
            </w:pPr>
          </w:p>
        </w:tc>
        <w:tc>
          <w:tcPr>
            <w:tcW w:w="2100" w:type="dxa"/>
            <w:vAlign w:val="bottom"/>
            <w:tcBorders>
              <w:bottom w:val="single" w:sz="8" w:color="F0533D"/>
            </w:tcBorders>
            <w:shd w:val="clear" w:color="auto" w:fill="F1F2F2"/>
          </w:tcPr>
          <w:p>
            <w:pPr>
              <w:spacing w:after="0"/>
              <w:rPr>
                <w:sz w:val="11"/>
                <w:szCs w:val="11"/>
                <w:color w:val="auto"/>
              </w:rPr>
            </w:pPr>
          </w:p>
        </w:tc>
        <w:tc>
          <w:tcPr>
            <w:tcW w:w="4660" w:type="dxa"/>
            <w:vAlign w:val="bottom"/>
            <w:tcBorders>
              <w:bottom w:val="single" w:sz="8" w:color="F0533D"/>
            </w:tcBorders>
            <w:gridSpan w:val="2"/>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1080" w:type="dxa"/>
            <w:vAlign w:val="bottom"/>
          </w:tcPr>
          <w:p>
            <w:pPr>
              <w:spacing w:after="0"/>
              <w:rPr>
                <w:sz w:val="24"/>
                <w:szCs w:val="24"/>
                <w:color w:val="auto"/>
              </w:rPr>
            </w:pPr>
          </w:p>
        </w:tc>
        <w:tc>
          <w:tcPr>
            <w:tcW w:w="300" w:type="dxa"/>
            <w:vAlign w:val="bottom"/>
            <w:gridSpan w:val="2"/>
            <w:shd w:val="clear" w:color="auto" w:fill="E6E6E6"/>
          </w:tcPr>
          <w:p>
            <w:pPr>
              <w:ind w:left="140"/>
              <w:spacing w:after="0"/>
              <w:rPr>
                <w:sz w:val="20"/>
                <w:szCs w:val="20"/>
                <w:color w:val="auto"/>
              </w:rPr>
            </w:pPr>
            <w:r>
              <w:rPr>
                <w:rFonts w:ascii="Arial" w:cs="Arial" w:eastAsia="Arial" w:hAnsi="Arial"/>
                <w:sz w:val="16"/>
                <w:szCs w:val="16"/>
                <w:b w:val="1"/>
                <w:bCs w:val="1"/>
                <w:color w:val="F0533D"/>
              </w:rPr>
              <w:t>4</w:t>
            </w: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Evaluation of</w:t>
            </w:r>
          </w:p>
        </w:tc>
        <w:tc>
          <w:tcPr>
            <w:tcW w:w="100" w:type="dxa"/>
            <w:vAlign w:val="bottom"/>
            <w:shd w:val="clear" w:color="auto" w:fill="F1F2F2"/>
          </w:tcPr>
          <w:p>
            <w:pPr>
              <w:spacing w:after="0"/>
              <w:rPr>
                <w:sz w:val="24"/>
                <w:szCs w:val="24"/>
                <w:color w:val="auto"/>
              </w:rPr>
            </w:pPr>
          </w:p>
        </w:tc>
        <w:tc>
          <w:tcPr>
            <w:tcW w:w="2100" w:type="dxa"/>
            <w:vAlign w:val="bottom"/>
            <w:shd w:val="clear" w:color="auto" w:fill="F1F2F2"/>
          </w:tcPr>
          <w:p>
            <w:pPr>
              <w:spacing w:after="0"/>
              <w:rPr>
                <w:sz w:val="20"/>
                <w:szCs w:val="20"/>
                <w:color w:val="auto"/>
              </w:rPr>
            </w:pPr>
            <w:r>
              <w:rPr>
                <w:rFonts w:ascii="Arial" w:cs="Arial" w:eastAsia="Arial" w:hAnsi="Arial"/>
                <w:sz w:val="16"/>
                <w:szCs w:val="16"/>
                <w:b w:val="1"/>
                <w:bCs w:val="1"/>
                <w:color w:val="auto"/>
              </w:rPr>
              <w:t>Full Board</w:t>
            </w:r>
          </w:p>
        </w:tc>
        <w:tc>
          <w:tcPr>
            <w:tcW w:w="4660" w:type="dxa"/>
            <w:vAlign w:val="bottom"/>
            <w:gridSpan w:val="2"/>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Full Board collectively discusses insights from each of</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Feedback</w:t>
            </w:r>
          </w:p>
        </w:tc>
        <w:tc>
          <w:tcPr>
            <w:tcW w:w="100" w:type="dxa"/>
            <w:vAlign w:val="bottom"/>
            <w:shd w:val="clear" w:color="auto" w:fill="F1F2F2"/>
          </w:tcPr>
          <w:p>
            <w:pPr>
              <w:spacing w:after="0"/>
              <w:rPr>
                <w:sz w:val="19"/>
                <w:szCs w:val="19"/>
                <w:color w:val="auto"/>
              </w:rPr>
            </w:pPr>
          </w:p>
        </w:tc>
        <w:tc>
          <w:tcPr>
            <w:tcW w:w="2100" w:type="dxa"/>
            <w:vAlign w:val="bottom"/>
            <w:shd w:val="clear" w:color="auto" w:fill="F1F2F2"/>
          </w:tcPr>
          <w:p>
            <w:pPr>
              <w:spacing w:after="0"/>
              <w:rPr>
                <w:sz w:val="19"/>
                <w:szCs w:val="19"/>
                <w:color w:val="auto"/>
              </w:rPr>
            </w:pPr>
          </w:p>
        </w:tc>
        <w:tc>
          <w:tcPr>
            <w:tcW w:w="200" w:type="dxa"/>
            <w:vAlign w:val="bottom"/>
          </w:tcPr>
          <w:p>
            <w:pPr>
              <w:spacing w:after="0"/>
              <w:rPr>
                <w:sz w:val="19"/>
                <w:szCs w:val="19"/>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these evaluation sessions at a subsequent meeting</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00" w:type="dxa"/>
            <w:vAlign w:val="bottom"/>
            <w:tcBorders>
              <w:bottom w:val="single" w:sz="8" w:color="F0533D"/>
            </w:tcBorders>
            <w:shd w:val="clear" w:color="auto" w:fill="E6E6E6"/>
          </w:tcPr>
          <w:p>
            <w:pPr>
              <w:spacing w:after="0"/>
              <w:rPr>
                <w:sz w:val="11"/>
                <w:szCs w:val="11"/>
                <w:color w:val="auto"/>
              </w:rPr>
            </w:pPr>
          </w:p>
        </w:tc>
        <w:tc>
          <w:tcPr>
            <w:tcW w:w="200" w:type="dxa"/>
            <w:vAlign w:val="bottom"/>
            <w:tcBorders>
              <w:bottom w:val="single" w:sz="8" w:color="F0533D"/>
            </w:tcBorders>
            <w:shd w:val="clear" w:color="auto" w:fill="E6E6E6"/>
          </w:tcPr>
          <w:p>
            <w:pPr>
              <w:spacing w:after="0"/>
              <w:rPr>
                <w:sz w:val="11"/>
                <w:szCs w:val="11"/>
                <w:color w:val="auto"/>
              </w:rPr>
            </w:pPr>
          </w:p>
        </w:tc>
        <w:tc>
          <w:tcPr>
            <w:tcW w:w="1700" w:type="dxa"/>
            <w:vAlign w:val="bottom"/>
            <w:tcBorders>
              <w:bottom w:val="single" w:sz="8" w:color="F0533D"/>
            </w:tcBorders>
            <w:shd w:val="clear" w:color="auto" w:fill="E6E6E6"/>
          </w:tcPr>
          <w:p>
            <w:pPr>
              <w:spacing w:after="0"/>
              <w:rPr>
                <w:sz w:val="11"/>
                <w:szCs w:val="11"/>
                <w:color w:val="auto"/>
              </w:rPr>
            </w:pPr>
          </w:p>
        </w:tc>
        <w:tc>
          <w:tcPr>
            <w:tcW w:w="100" w:type="dxa"/>
            <w:vAlign w:val="bottom"/>
            <w:tcBorders>
              <w:bottom w:val="single" w:sz="8" w:color="F0533D"/>
            </w:tcBorders>
            <w:shd w:val="clear" w:color="auto" w:fill="F1F2F2"/>
          </w:tcPr>
          <w:p>
            <w:pPr>
              <w:spacing w:after="0"/>
              <w:rPr>
                <w:sz w:val="11"/>
                <w:szCs w:val="11"/>
                <w:color w:val="auto"/>
              </w:rPr>
            </w:pPr>
          </w:p>
        </w:tc>
        <w:tc>
          <w:tcPr>
            <w:tcW w:w="2100" w:type="dxa"/>
            <w:vAlign w:val="bottom"/>
            <w:tcBorders>
              <w:bottom w:val="single" w:sz="8" w:color="F0533D"/>
            </w:tcBorders>
            <w:shd w:val="clear" w:color="auto" w:fill="F1F2F2"/>
          </w:tcPr>
          <w:p>
            <w:pPr>
              <w:spacing w:after="0"/>
              <w:rPr>
                <w:sz w:val="11"/>
                <w:szCs w:val="11"/>
                <w:color w:val="auto"/>
              </w:rPr>
            </w:pPr>
          </w:p>
        </w:tc>
        <w:tc>
          <w:tcPr>
            <w:tcW w:w="4660" w:type="dxa"/>
            <w:vAlign w:val="bottom"/>
            <w:tcBorders>
              <w:bottom w:val="single" w:sz="8" w:color="F0533D"/>
            </w:tcBorders>
            <w:gridSpan w:val="2"/>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9"/>
        </w:trPr>
        <w:tc>
          <w:tcPr>
            <w:tcW w:w="1080" w:type="dxa"/>
            <w:vAlign w:val="bottom"/>
          </w:tcPr>
          <w:p>
            <w:pPr>
              <w:spacing w:after="0"/>
              <w:rPr>
                <w:sz w:val="21"/>
                <w:szCs w:val="21"/>
                <w:color w:val="auto"/>
              </w:rPr>
            </w:pPr>
          </w:p>
        </w:tc>
        <w:tc>
          <w:tcPr>
            <w:tcW w:w="100" w:type="dxa"/>
            <w:vAlign w:val="bottom"/>
            <w:shd w:val="clear" w:color="auto" w:fill="E6E6E6"/>
          </w:tcPr>
          <w:p>
            <w:pPr>
              <w:spacing w:after="0"/>
              <w:rPr>
                <w:sz w:val="21"/>
                <w:szCs w:val="21"/>
                <w:color w:val="auto"/>
              </w:rPr>
            </w:pPr>
          </w:p>
        </w:tc>
        <w:tc>
          <w:tcPr>
            <w:tcW w:w="200" w:type="dxa"/>
            <w:vAlign w:val="bottom"/>
            <w:vMerge w:val="restart"/>
            <w:shd w:val="clear" w:color="auto" w:fill="E6E6E6"/>
          </w:tcPr>
          <w:p>
            <w:pPr>
              <w:ind w:left="40"/>
              <w:spacing w:after="0"/>
              <w:rPr>
                <w:sz w:val="20"/>
                <w:szCs w:val="20"/>
                <w:color w:val="auto"/>
              </w:rPr>
            </w:pPr>
            <w:r>
              <w:rPr>
                <w:rFonts w:ascii="Arial" w:cs="Arial" w:eastAsia="Arial" w:hAnsi="Arial"/>
                <w:sz w:val="16"/>
                <w:szCs w:val="16"/>
                <w:b w:val="1"/>
                <w:bCs w:val="1"/>
                <w:color w:val="F0533D"/>
              </w:rPr>
              <w:t>5</w:t>
            </w:r>
          </w:p>
        </w:tc>
        <w:tc>
          <w:tcPr>
            <w:tcW w:w="1700" w:type="dxa"/>
            <w:vAlign w:val="bottom"/>
            <w:vMerge w:val="restart"/>
            <w:shd w:val="clear" w:color="auto" w:fill="E6E6E6"/>
          </w:tcPr>
          <w:p>
            <w:pPr>
              <w:ind w:left="80"/>
              <w:spacing w:after="0"/>
              <w:rPr>
                <w:sz w:val="20"/>
                <w:szCs w:val="20"/>
                <w:color w:val="auto"/>
              </w:rPr>
            </w:pPr>
            <w:r>
              <w:rPr>
                <w:rFonts w:ascii="Arial" w:cs="Arial" w:eastAsia="Arial" w:hAnsi="Arial"/>
                <w:sz w:val="16"/>
                <w:szCs w:val="16"/>
                <w:b w:val="1"/>
                <w:bCs w:val="1"/>
                <w:color w:val="auto"/>
              </w:rPr>
              <w:t>Board and</w:t>
            </w:r>
          </w:p>
        </w:tc>
        <w:tc>
          <w:tcPr>
            <w:tcW w:w="100" w:type="dxa"/>
            <w:vAlign w:val="bottom"/>
            <w:shd w:val="clear" w:color="auto" w:fill="F1F2F2"/>
          </w:tcPr>
          <w:p>
            <w:pPr>
              <w:spacing w:after="0"/>
              <w:rPr>
                <w:sz w:val="21"/>
                <w:szCs w:val="21"/>
                <w:color w:val="auto"/>
              </w:rPr>
            </w:pPr>
          </w:p>
        </w:tc>
        <w:tc>
          <w:tcPr>
            <w:tcW w:w="2100" w:type="dxa"/>
            <w:vAlign w:val="bottom"/>
            <w:vMerge w:val="restart"/>
            <w:shd w:val="clear" w:color="auto" w:fill="F1F2F2"/>
          </w:tcPr>
          <w:p>
            <w:pPr>
              <w:spacing w:after="0"/>
              <w:rPr>
                <w:sz w:val="20"/>
                <w:szCs w:val="20"/>
                <w:color w:val="auto"/>
              </w:rPr>
            </w:pPr>
            <w:r>
              <w:rPr>
                <w:rFonts w:ascii="Arial" w:cs="Arial" w:eastAsia="Arial" w:hAnsi="Arial"/>
                <w:sz w:val="16"/>
                <w:szCs w:val="16"/>
                <w:b w:val="1"/>
                <w:bCs w:val="1"/>
                <w:color w:val="auto"/>
              </w:rPr>
              <w:t>Full Board</w:t>
            </w:r>
          </w:p>
        </w:tc>
        <w:tc>
          <w:tcPr>
            <w:tcW w:w="4660" w:type="dxa"/>
            <w:vAlign w:val="bottom"/>
            <w:gridSpan w:val="2"/>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Board and/or its committees implement enhancements to</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100" w:type="dxa"/>
            <w:vAlign w:val="bottom"/>
            <w:shd w:val="clear" w:color="auto" w:fill="E6E6E6"/>
          </w:tcPr>
          <w:p>
            <w:pPr>
              <w:spacing w:after="0"/>
              <w:rPr>
                <w:sz w:val="4"/>
                <w:szCs w:val="4"/>
                <w:color w:val="auto"/>
              </w:rPr>
            </w:pPr>
          </w:p>
        </w:tc>
        <w:tc>
          <w:tcPr>
            <w:tcW w:w="200" w:type="dxa"/>
            <w:vAlign w:val="bottom"/>
            <w:vMerge w:val="continue"/>
            <w:shd w:val="clear" w:color="auto" w:fill="E6E6E6"/>
          </w:tcPr>
          <w:p>
            <w:pPr>
              <w:spacing w:after="0"/>
              <w:rPr>
                <w:sz w:val="4"/>
                <w:szCs w:val="4"/>
                <w:color w:val="auto"/>
              </w:rPr>
            </w:pPr>
          </w:p>
        </w:tc>
        <w:tc>
          <w:tcPr>
            <w:tcW w:w="1700" w:type="dxa"/>
            <w:vAlign w:val="bottom"/>
            <w:vMerge w:val="continue"/>
            <w:shd w:val="clear" w:color="auto" w:fill="E6E6E6"/>
          </w:tcPr>
          <w:p>
            <w:pPr>
              <w:spacing w:after="0"/>
              <w:rPr>
                <w:sz w:val="4"/>
                <w:szCs w:val="4"/>
                <w:color w:val="auto"/>
              </w:rPr>
            </w:pPr>
          </w:p>
        </w:tc>
        <w:tc>
          <w:tcPr>
            <w:tcW w:w="100" w:type="dxa"/>
            <w:vAlign w:val="bottom"/>
            <w:shd w:val="clear" w:color="auto" w:fill="F1F2F2"/>
          </w:tcPr>
          <w:p>
            <w:pPr>
              <w:spacing w:after="0"/>
              <w:rPr>
                <w:sz w:val="4"/>
                <w:szCs w:val="4"/>
                <w:color w:val="auto"/>
              </w:rPr>
            </w:pPr>
          </w:p>
        </w:tc>
        <w:tc>
          <w:tcPr>
            <w:tcW w:w="2100" w:type="dxa"/>
            <w:vAlign w:val="bottom"/>
            <w:vMerge w:val="continue"/>
            <w:shd w:val="clear" w:color="auto" w:fill="F1F2F2"/>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vMerge w:val="restart"/>
          </w:tcPr>
          <w:p>
            <w:pPr>
              <w:ind w:left="80"/>
              <w:spacing w:after="0"/>
              <w:rPr>
                <w:sz w:val="20"/>
                <w:szCs w:val="20"/>
                <w:color w:val="auto"/>
              </w:rPr>
            </w:pPr>
            <w:r>
              <w:rPr>
                <w:rFonts w:ascii="Arial" w:cs="Arial" w:eastAsia="Arial" w:hAnsi="Arial"/>
                <w:sz w:val="16"/>
                <w:szCs w:val="16"/>
                <w:color w:val="auto"/>
              </w:rPr>
              <w:t>its existing policies and practices, as appropriate</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00" w:type="dxa"/>
            <w:vAlign w:val="bottom"/>
            <w:shd w:val="clear" w:color="auto" w:fill="E6E6E6"/>
          </w:tcPr>
          <w:p>
            <w:pPr>
              <w:spacing w:after="0"/>
              <w:rPr>
                <w:sz w:val="16"/>
                <w:szCs w:val="16"/>
                <w:color w:val="auto"/>
              </w:rPr>
            </w:pPr>
          </w:p>
        </w:tc>
        <w:tc>
          <w:tcPr>
            <w:tcW w:w="200" w:type="dxa"/>
            <w:vAlign w:val="bottom"/>
            <w:shd w:val="clear" w:color="auto" w:fill="E6E6E6"/>
          </w:tcPr>
          <w:p>
            <w:pPr>
              <w:spacing w:after="0"/>
              <w:rPr>
                <w:sz w:val="16"/>
                <w:szCs w:val="16"/>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Committee</w:t>
            </w:r>
          </w:p>
        </w:tc>
        <w:tc>
          <w:tcPr>
            <w:tcW w:w="100" w:type="dxa"/>
            <w:vAlign w:val="bottom"/>
            <w:shd w:val="clear" w:color="auto" w:fill="F1F2F2"/>
          </w:tcPr>
          <w:p>
            <w:pPr>
              <w:spacing w:after="0"/>
              <w:rPr>
                <w:sz w:val="16"/>
                <w:szCs w:val="16"/>
                <w:color w:val="auto"/>
              </w:rPr>
            </w:pPr>
          </w:p>
        </w:tc>
        <w:tc>
          <w:tcPr>
            <w:tcW w:w="2100" w:type="dxa"/>
            <w:vAlign w:val="bottom"/>
            <w:shd w:val="clear" w:color="auto" w:fill="F1F2F2"/>
          </w:tcPr>
          <w:p>
            <w:pPr>
              <w:spacing w:after="0"/>
              <w:rPr>
                <w:sz w:val="16"/>
                <w:szCs w:val="16"/>
                <w:color w:val="auto"/>
              </w:rPr>
            </w:pPr>
          </w:p>
        </w:tc>
        <w:tc>
          <w:tcPr>
            <w:tcW w:w="200" w:type="dxa"/>
            <w:vAlign w:val="bottom"/>
          </w:tcPr>
          <w:p>
            <w:pPr>
              <w:spacing w:after="0"/>
              <w:rPr>
                <w:sz w:val="16"/>
                <w:szCs w:val="16"/>
                <w:color w:val="auto"/>
              </w:rPr>
            </w:pPr>
          </w:p>
        </w:tc>
        <w:tc>
          <w:tcPr>
            <w:tcW w:w="44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100" w:type="dxa"/>
            <w:vAlign w:val="bottom"/>
            <w:shd w:val="clear" w:color="auto" w:fill="E6E6E6"/>
          </w:tcPr>
          <w:p>
            <w:pPr>
              <w:spacing w:after="0"/>
              <w:rPr>
                <w:sz w:val="19"/>
                <w:szCs w:val="19"/>
                <w:color w:val="auto"/>
              </w:rPr>
            </w:pPr>
          </w:p>
        </w:tc>
        <w:tc>
          <w:tcPr>
            <w:tcW w:w="200" w:type="dxa"/>
            <w:vAlign w:val="bottom"/>
            <w:shd w:val="clear" w:color="auto" w:fill="E6E6E6"/>
          </w:tcPr>
          <w:p>
            <w:pPr>
              <w:spacing w:after="0"/>
              <w:rPr>
                <w:sz w:val="19"/>
                <w:szCs w:val="19"/>
                <w:color w:val="auto"/>
              </w:rPr>
            </w:pPr>
          </w:p>
        </w:tc>
        <w:tc>
          <w:tcPr>
            <w:tcW w:w="1700" w:type="dxa"/>
            <w:vAlign w:val="bottom"/>
            <w:shd w:val="clear" w:color="auto" w:fill="E6E6E6"/>
          </w:tcPr>
          <w:p>
            <w:pPr>
              <w:ind w:left="80"/>
              <w:spacing w:after="0"/>
              <w:rPr>
                <w:sz w:val="20"/>
                <w:szCs w:val="20"/>
                <w:color w:val="auto"/>
              </w:rPr>
            </w:pPr>
            <w:r>
              <w:rPr>
                <w:rFonts w:ascii="Arial" w:cs="Arial" w:eastAsia="Arial" w:hAnsi="Arial"/>
                <w:sz w:val="16"/>
                <w:szCs w:val="16"/>
                <w:b w:val="1"/>
                <w:bCs w:val="1"/>
                <w:color w:val="auto"/>
              </w:rPr>
              <w:t>Enhancements</w:t>
            </w:r>
          </w:p>
        </w:tc>
        <w:tc>
          <w:tcPr>
            <w:tcW w:w="100" w:type="dxa"/>
            <w:vAlign w:val="bottom"/>
            <w:shd w:val="clear" w:color="auto" w:fill="F1F2F2"/>
          </w:tcPr>
          <w:p>
            <w:pPr>
              <w:spacing w:after="0"/>
              <w:rPr>
                <w:sz w:val="19"/>
                <w:szCs w:val="19"/>
                <w:color w:val="auto"/>
              </w:rPr>
            </w:pPr>
          </w:p>
        </w:tc>
        <w:tc>
          <w:tcPr>
            <w:tcW w:w="2100" w:type="dxa"/>
            <w:vAlign w:val="bottom"/>
            <w:shd w:val="clear" w:color="auto" w:fill="F1F2F2"/>
          </w:tcPr>
          <w:p>
            <w:pPr>
              <w:spacing w:after="0"/>
              <w:rPr>
                <w:sz w:val="19"/>
                <w:szCs w:val="19"/>
                <w:color w:val="auto"/>
              </w:rPr>
            </w:pPr>
          </w:p>
        </w:tc>
        <w:tc>
          <w:tcPr>
            <w:tcW w:w="4660" w:type="dxa"/>
            <w:vAlign w:val="bottom"/>
            <w:gridSpan w:val="2"/>
            <w:vMerge w:val="restart"/>
          </w:tcPr>
          <w:p>
            <w:pPr>
              <w:ind w:left="1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Feedback is also considered for future Board meeting or</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080" w:type="dxa"/>
            <w:vAlign w:val="bottom"/>
          </w:tcPr>
          <w:p>
            <w:pPr>
              <w:spacing w:after="0"/>
              <w:rPr>
                <w:sz w:val="6"/>
                <w:szCs w:val="6"/>
                <w:color w:val="auto"/>
              </w:rPr>
            </w:pPr>
          </w:p>
        </w:tc>
        <w:tc>
          <w:tcPr>
            <w:tcW w:w="100" w:type="dxa"/>
            <w:vAlign w:val="bottom"/>
            <w:shd w:val="clear" w:color="auto" w:fill="E6E6E6"/>
          </w:tcPr>
          <w:p>
            <w:pPr>
              <w:spacing w:after="0"/>
              <w:rPr>
                <w:sz w:val="6"/>
                <w:szCs w:val="6"/>
                <w:color w:val="auto"/>
              </w:rPr>
            </w:pPr>
          </w:p>
        </w:tc>
        <w:tc>
          <w:tcPr>
            <w:tcW w:w="200" w:type="dxa"/>
            <w:vAlign w:val="bottom"/>
            <w:shd w:val="clear" w:color="auto" w:fill="E6E6E6"/>
          </w:tcPr>
          <w:p>
            <w:pPr>
              <w:spacing w:after="0"/>
              <w:rPr>
                <w:sz w:val="6"/>
                <w:szCs w:val="6"/>
                <w:color w:val="auto"/>
              </w:rPr>
            </w:pPr>
          </w:p>
        </w:tc>
        <w:tc>
          <w:tcPr>
            <w:tcW w:w="1700" w:type="dxa"/>
            <w:vAlign w:val="bottom"/>
            <w:shd w:val="clear" w:color="auto" w:fill="E6E6E6"/>
          </w:tcPr>
          <w:p>
            <w:pPr>
              <w:spacing w:after="0"/>
              <w:rPr>
                <w:sz w:val="6"/>
                <w:szCs w:val="6"/>
                <w:color w:val="auto"/>
              </w:rPr>
            </w:pPr>
          </w:p>
        </w:tc>
        <w:tc>
          <w:tcPr>
            <w:tcW w:w="100" w:type="dxa"/>
            <w:vAlign w:val="bottom"/>
            <w:shd w:val="clear" w:color="auto" w:fill="F1F2F2"/>
          </w:tcPr>
          <w:p>
            <w:pPr>
              <w:spacing w:after="0"/>
              <w:rPr>
                <w:sz w:val="6"/>
                <w:szCs w:val="6"/>
                <w:color w:val="auto"/>
              </w:rPr>
            </w:pPr>
          </w:p>
        </w:tc>
        <w:tc>
          <w:tcPr>
            <w:tcW w:w="2100" w:type="dxa"/>
            <w:vAlign w:val="bottom"/>
            <w:shd w:val="clear" w:color="auto" w:fill="F1F2F2"/>
          </w:tcPr>
          <w:p>
            <w:pPr>
              <w:spacing w:after="0"/>
              <w:rPr>
                <w:sz w:val="6"/>
                <w:szCs w:val="6"/>
                <w:color w:val="auto"/>
              </w:rPr>
            </w:pPr>
          </w:p>
        </w:tc>
        <w:tc>
          <w:tcPr>
            <w:tcW w:w="466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00" w:type="dxa"/>
            <w:vAlign w:val="bottom"/>
            <w:shd w:val="clear" w:color="auto" w:fill="E6E6E6"/>
          </w:tcPr>
          <w:p>
            <w:pPr>
              <w:spacing w:after="0"/>
              <w:rPr>
                <w:sz w:val="17"/>
                <w:szCs w:val="17"/>
                <w:color w:val="auto"/>
              </w:rPr>
            </w:pPr>
          </w:p>
        </w:tc>
        <w:tc>
          <w:tcPr>
            <w:tcW w:w="200" w:type="dxa"/>
            <w:vAlign w:val="bottom"/>
            <w:shd w:val="clear" w:color="auto" w:fill="E6E6E6"/>
          </w:tcPr>
          <w:p>
            <w:pPr>
              <w:spacing w:after="0"/>
              <w:rPr>
                <w:sz w:val="17"/>
                <w:szCs w:val="17"/>
                <w:color w:val="auto"/>
              </w:rPr>
            </w:pPr>
          </w:p>
        </w:tc>
        <w:tc>
          <w:tcPr>
            <w:tcW w:w="1700" w:type="dxa"/>
            <w:vAlign w:val="bottom"/>
            <w:shd w:val="clear" w:color="auto" w:fill="E6E6E6"/>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2100" w:type="dxa"/>
            <w:vAlign w:val="bottom"/>
            <w:shd w:val="clear" w:color="auto" w:fill="F1F2F2"/>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Pr>
          <w:p>
            <w:pPr>
              <w:ind w:left="80"/>
              <w:spacing w:after="0"/>
              <w:rPr>
                <w:sz w:val="20"/>
                <w:szCs w:val="20"/>
                <w:color w:val="auto"/>
              </w:rPr>
            </w:pPr>
            <w:r>
              <w:rPr>
                <w:rFonts w:ascii="Arial" w:cs="Arial" w:eastAsia="Arial" w:hAnsi="Arial"/>
                <w:sz w:val="16"/>
                <w:szCs w:val="16"/>
                <w:color w:val="auto"/>
              </w:rPr>
              <w:t>education sessions</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00" w:type="dxa"/>
            <w:vAlign w:val="bottom"/>
            <w:tcBorders>
              <w:bottom w:val="single" w:sz="8" w:color="F0533D"/>
            </w:tcBorders>
            <w:shd w:val="clear" w:color="auto" w:fill="E6E6E6"/>
          </w:tcPr>
          <w:p>
            <w:pPr>
              <w:spacing w:after="0"/>
              <w:rPr>
                <w:sz w:val="7"/>
                <w:szCs w:val="7"/>
                <w:color w:val="auto"/>
              </w:rPr>
            </w:pPr>
          </w:p>
        </w:tc>
        <w:tc>
          <w:tcPr>
            <w:tcW w:w="1900" w:type="dxa"/>
            <w:vAlign w:val="bottom"/>
            <w:tcBorders>
              <w:bottom w:val="single" w:sz="8" w:color="F0533D"/>
            </w:tcBorders>
            <w:gridSpan w:val="2"/>
            <w:shd w:val="clear" w:color="auto" w:fill="E6E6E6"/>
          </w:tcPr>
          <w:p>
            <w:pPr>
              <w:spacing w:after="0"/>
              <w:rPr>
                <w:sz w:val="7"/>
                <w:szCs w:val="7"/>
                <w:color w:val="auto"/>
              </w:rPr>
            </w:pPr>
          </w:p>
        </w:tc>
        <w:tc>
          <w:tcPr>
            <w:tcW w:w="100" w:type="dxa"/>
            <w:vAlign w:val="bottom"/>
            <w:tcBorders>
              <w:bottom w:val="single" w:sz="8" w:color="F0533D"/>
            </w:tcBorders>
            <w:shd w:val="clear" w:color="auto" w:fill="F1F2F2"/>
          </w:tcPr>
          <w:p>
            <w:pPr>
              <w:spacing w:after="0"/>
              <w:rPr>
                <w:sz w:val="7"/>
                <w:szCs w:val="7"/>
                <w:color w:val="auto"/>
              </w:rPr>
            </w:pPr>
          </w:p>
        </w:tc>
        <w:tc>
          <w:tcPr>
            <w:tcW w:w="2100" w:type="dxa"/>
            <w:vAlign w:val="bottom"/>
            <w:tcBorders>
              <w:bottom w:val="single" w:sz="8" w:color="F0533D"/>
            </w:tcBorders>
            <w:shd w:val="clear" w:color="auto" w:fill="F1F2F2"/>
          </w:tcPr>
          <w:p>
            <w:pPr>
              <w:spacing w:after="0"/>
              <w:rPr>
                <w:sz w:val="7"/>
                <w:szCs w:val="7"/>
                <w:color w:val="auto"/>
              </w:rPr>
            </w:pPr>
          </w:p>
        </w:tc>
        <w:tc>
          <w:tcPr>
            <w:tcW w:w="200" w:type="dxa"/>
            <w:vAlign w:val="bottom"/>
            <w:tcBorders>
              <w:bottom w:val="single" w:sz="8" w:color="F0533D"/>
            </w:tcBorders>
          </w:tcPr>
          <w:p>
            <w:pPr>
              <w:spacing w:after="0"/>
              <w:rPr>
                <w:sz w:val="7"/>
                <w:szCs w:val="7"/>
                <w:color w:val="auto"/>
              </w:rPr>
            </w:pPr>
          </w:p>
        </w:tc>
        <w:tc>
          <w:tcPr>
            <w:tcW w:w="4460" w:type="dxa"/>
            <w:vAlign w:val="bottom"/>
            <w:tcBorders>
              <w:bottom w:val="single" w:sz="8" w:color="F0533D"/>
            </w:tcBorders>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4200" w:type="dxa"/>
            <w:vAlign w:val="bottom"/>
            <w:gridSpan w:val="5"/>
          </w:tcPr>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tc>
        <w:tc>
          <w:tcPr>
            <w:tcW w:w="2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29" w:name="page30"/>
    <w:bookmarkEnd w:id="2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Committees of the Board</w:t>
      </w:r>
    </w:p>
    <w:p>
      <w:pPr>
        <w:spacing w:after="0" w:line="173" w:lineRule="exact"/>
        <w:rPr>
          <w:sz w:val="20"/>
          <w:szCs w:val="20"/>
          <w:color w:val="auto"/>
        </w:rPr>
      </w:pPr>
    </w:p>
    <w:p>
      <w:pPr>
        <w:ind w:left="80" w:right="219"/>
        <w:spacing w:after="0" w:line="239" w:lineRule="auto"/>
        <w:rPr>
          <w:sz w:val="20"/>
          <w:szCs w:val="20"/>
          <w:color w:val="auto"/>
        </w:rPr>
      </w:pPr>
      <w:r>
        <w:rPr>
          <w:rFonts w:ascii="Arial" w:cs="Arial" w:eastAsia="Arial" w:hAnsi="Arial"/>
          <w:sz w:val="17"/>
          <w:szCs w:val="17"/>
          <w:color w:val="auto"/>
        </w:rPr>
        <w:t>Our Board has three standing committees — Audit Committee, Compensation and Human Capital Committee and Nominating and Governance Committee. Each committee is comprised solely of directors who satisfy the independence criteria established by the Board, which reflects the standards of the NYSE and the rules of the SEC, including the heightened independence requirements that apply to Audit Committee and Compensation and Human Capital Committee members. Each committee has a written charter that sets forth the committee’s duties and responsibilities.</w:t>
      </w:r>
    </w:p>
    <w:p>
      <w:pPr>
        <w:spacing w:after="0" w:line="168"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tcPr>
          <w:p>
            <w:pPr>
              <w:ind w:left="520"/>
              <w:spacing w:after="0"/>
              <w:rPr>
                <w:sz w:val="20"/>
                <w:szCs w:val="20"/>
                <w:color w:val="auto"/>
              </w:rPr>
            </w:pPr>
            <w:r>
              <w:rPr>
                <w:rFonts w:ascii="Arial" w:cs="Arial" w:eastAsia="Arial" w:hAnsi="Arial"/>
                <w:sz w:val="14"/>
                <w:szCs w:val="14"/>
                <w:b w:val="1"/>
                <w:bCs w:val="1"/>
                <w:color w:val="F0533D"/>
              </w:rPr>
              <w:t>Kyndryl Committees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3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340" w:type="dxa"/>
            <w:vAlign w:val="bottom"/>
            <w:tcBorders>
              <w:bottom w:val="single" w:sz="8" w:color="F0533D"/>
            </w:tcBorders>
          </w:tcPr>
          <w:p>
            <w:pPr>
              <w:spacing w:after="0"/>
              <w:rPr>
                <w:sz w:val="4"/>
                <w:szCs w:val="4"/>
                <w:color w:val="auto"/>
              </w:rPr>
            </w:pPr>
          </w:p>
        </w:tc>
        <w:tc>
          <w:tcPr>
            <w:tcW w:w="260" w:type="dxa"/>
            <w:vAlign w:val="bottom"/>
            <w:tcBorders>
              <w:bottom w:val="single" w:sz="8" w:color="F0533D"/>
            </w:tcBorders>
          </w:tcPr>
          <w:p>
            <w:pPr>
              <w:spacing w:after="0"/>
              <w:rPr>
                <w:sz w:val="4"/>
                <w:szCs w:val="4"/>
                <w:color w:val="auto"/>
              </w:rPr>
            </w:pPr>
          </w:p>
        </w:tc>
        <w:tc>
          <w:tcPr>
            <w:tcW w:w="460" w:type="dxa"/>
            <w:vAlign w:val="bottom"/>
            <w:tcBorders>
              <w:bottom w:val="single" w:sz="8" w:color="F0533D"/>
            </w:tcBorders>
          </w:tcPr>
          <w:p>
            <w:pPr>
              <w:spacing w:after="0"/>
              <w:rPr>
                <w:sz w:val="4"/>
                <w:szCs w:val="4"/>
                <w:color w:val="auto"/>
              </w:rPr>
            </w:pPr>
          </w:p>
        </w:tc>
        <w:tc>
          <w:tcPr>
            <w:tcW w:w="2020" w:type="dxa"/>
            <w:vAlign w:val="bottom"/>
            <w:tcBorders>
              <w:bottom w:val="single" w:sz="8" w:color="F0533D"/>
            </w:tcBorders>
          </w:tcPr>
          <w:p>
            <w:pPr>
              <w:spacing w:after="0"/>
              <w:rPr>
                <w:sz w:val="4"/>
                <w:szCs w:val="4"/>
                <w:color w:val="auto"/>
              </w:rPr>
            </w:pPr>
          </w:p>
        </w:tc>
        <w:tc>
          <w:tcPr>
            <w:tcW w:w="1340" w:type="dxa"/>
            <w:vAlign w:val="bottom"/>
            <w:tcBorders>
              <w:bottom w:val="single" w:sz="8" w:color="F0533D"/>
            </w:tcBorders>
          </w:tcPr>
          <w:p>
            <w:pPr>
              <w:spacing w:after="0"/>
              <w:rPr>
                <w:sz w:val="4"/>
                <w:szCs w:val="4"/>
                <w:color w:val="auto"/>
              </w:rPr>
            </w:pPr>
          </w:p>
        </w:tc>
        <w:tc>
          <w:tcPr>
            <w:tcW w:w="0" w:type="dxa"/>
            <w:vAlign w:val="bottom"/>
          </w:tcPr>
          <w:p>
            <w:pPr>
              <w:spacing w:after="0"/>
              <w:rPr>
                <w:sz w:val="1"/>
                <w:szCs w:val="1"/>
                <w:color w:val="auto"/>
              </w:rPr>
            </w:pPr>
          </w:p>
        </w:tc>
      </w:tr>
      <w:tr>
        <w:trPr>
          <w:trHeight w:val="748"/>
        </w:trPr>
        <w:tc>
          <w:tcPr>
            <w:tcW w:w="2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ind w:left="240"/>
              <w:spacing w:after="0"/>
              <w:rPr>
                <w:sz w:val="20"/>
                <w:szCs w:val="20"/>
                <w:color w:val="auto"/>
              </w:rPr>
            </w:pPr>
            <w:r>
              <w:rPr>
                <w:rFonts w:ascii="Arial" w:cs="Arial" w:eastAsia="Arial" w:hAnsi="Arial"/>
                <w:sz w:val="14"/>
                <w:szCs w:val="14"/>
                <w:b w:val="1"/>
                <w:bCs w:val="1"/>
                <w:color w:val="F0533D"/>
              </w:rPr>
              <w:t> </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ind w:left="320"/>
              <w:spacing w:after="0"/>
              <w:rPr>
                <w:sz w:val="20"/>
                <w:szCs w:val="20"/>
                <w:color w:val="auto"/>
              </w:rPr>
            </w:pPr>
            <w:r>
              <w:rPr>
                <w:rFonts w:ascii="Arial" w:cs="Arial" w:eastAsia="Arial" w:hAnsi="Arial"/>
                <w:sz w:val="14"/>
                <w:szCs w:val="14"/>
                <w:b w:val="1"/>
                <w:bCs w:val="1"/>
                <w:color w:val="F0533D"/>
              </w:rPr>
              <w:t> </w:t>
            </w:r>
          </w:p>
        </w:tc>
        <w:tc>
          <w:tcPr>
            <w:tcW w:w="1340" w:type="dxa"/>
            <w:vAlign w:val="bottom"/>
          </w:tcPr>
          <w:p>
            <w:pPr>
              <w:ind w:left="100"/>
              <w:spacing w:after="0"/>
              <w:rPr>
                <w:sz w:val="20"/>
                <w:szCs w:val="20"/>
                <w:color w:val="auto"/>
              </w:rPr>
            </w:pPr>
            <w:r>
              <w:rPr>
                <w:rFonts w:ascii="Arial" w:cs="Arial" w:eastAsia="Arial" w:hAnsi="Arial"/>
                <w:sz w:val="14"/>
                <w:szCs w:val="14"/>
                <w:b w:val="1"/>
                <w:bCs w:val="1"/>
                <w:color w:val="F0533D"/>
              </w:rPr>
              <w:t> </w:t>
            </w:r>
          </w:p>
        </w:tc>
        <w:tc>
          <w:tcPr>
            <w:tcW w:w="0" w:type="dxa"/>
            <w:vAlign w:val="bottom"/>
          </w:tcPr>
          <w:p>
            <w:pPr>
              <w:spacing w:after="0"/>
              <w:rPr>
                <w:sz w:val="1"/>
                <w:szCs w:val="1"/>
                <w:color w:val="auto"/>
              </w:rPr>
            </w:pPr>
          </w:p>
        </w:tc>
      </w:tr>
      <w:tr>
        <w:trPr>
          <w:trHeight w:val="303"/>
        </w:trPr>
        <w:tc>
          <w:tcPr>
            <w:tcW w:w="2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ind w:left="440"/>
              <w:spacing w:after="0"/>
              <w:rPr>
                <w:sz w:val="20"/>
                <w:szCs w:val="20"/>
                <w:color w:val="auto"/>
              </w:rPr>
            </w:pPr>
            <w:r>
              <w:rPr>
                <w:rFonts w:ascii="Arial" w:cs="Arial" w:eastAsia="Arial" w:hAnsi="Arial"/>
                <w:sz w:val="14"/>
                <w:szCs w:val="14"/>
                <w:b w:val="1"/>
                <w:bCs w:val="1"/>
                <w:color w:val="F0533D"/>
              </w:rPr>
              <w:t>Compensation</w:t>
            </w:r>
          </w:p>
        </w:tc>
        <w:tc>
          <w:tcPr>
            <w:tcW w:w="1340" w:type="dxa"/>
            <w:vAlign w:val="bottom"/>
          </w:tcPr>
          <w:p>
            <w:pPr>
              <w:ind w:left="240"/>
              <w:spacing w:after="0"/>
              <w:rPr>
                <w:sz w:val="20"/>
                <w:szCs w:val="20"/>
                <w:color w:val="auto"/>
              </w:rPr>
            </w:pPr>
            <w:r>
              <w:rPr>
                <w:rFonts w:ascii="Arial" w:cs="Arial" w:eastAsia="Arial" w:hAnsi="Arial"/>
                <w:sz w:val="14"/>
                <w:szCs w:val="14"/>
                <w:b w:val="1"/>
                <w:bCs w:val="1"/>
                <w:color w:val="F0533D"/>
              </w:rPr>
              <w:t>Nominating</w:t>
            </w:r>
          </w:p>
        </w:tc>
        <w:tc>
          <w:tcPr>
            <w:tcW w:w="0" w:type="dxa"/>
            <w:vAlign w:val="bottom"/>
          </w:tcPr>
          <w:p>
            <w:pPr>
              <w:spacing w:after="0"/>
              <w:rPr>
                <w:sz w:val="1"/>
                <w:szCs w:val="1"/>
                <w:color w:val="auto"/>
              </w:rPr>
            </w:pPr>
          </w:p>
        </w:tc>
      </w:tr>
      <w:tr>
        <w:trPr>
          <w:trHeight w:val="196"/>
        </w:trPr>
        <w:tc>
          <w:tcPr>
            <w:tcW w:w="2320" w:type="dxa"/>
            <w:vAlign w:val="bottom"/>
          </w:tcPr>
          <w:p>
            <w:pPr>
              <w:ind w:left="140"/>
              <w:spacing w:after="0"/>
              <w:rPr>
                <w:sz w:val="20"/>
                <w:szCs w:val="20"/>
                <w:color w:val="auto"/>
              </w:rPr>
            </w:pPr>
            <w:r>
              <w:rPr>
                <w:rFonts w:ascii="Arial" w:cs="Arial" w:eastAsia="Arial" w:hAnsi="Arial"/>
                <w:sz w:val="14"/>
                <w:szCs w:val="14"/>
                <w:b w:val="1"/>
                <w:bCs w:val="1"/>
                <w:color w:val="F0533D"/>
              </w:rPr>
              <w:t>Director</w:t>
            </w:r>
          </w:p>
        </w:tc>
        <w:tc>
          <w:tcPr>
            <w:tcW w:w="2460" w:type="dxa"/>
            <w:vAlign w:val="bottom"/>
            <w:gridSpan w:val="2"/>
          </w:tcPr>
          <w:p>
            <w:pPr>
              <w:ind w:left="560"/>
              <w:spacing w:after="0"/>
              <w:rPr>
                <w:sz w:val="20"/>
                <w:szCs w:val="20"/>
                <w:color w:val="auto"/>
              </w:rPr>
            </w:pPr>
            <w:r>
              <w:rPr>
                <w:rFonts w:ascii="Arial" w:cs="Arial" w:eastAsia="Arial" w:hAnsi="Arial"/>
                <w:sz w:val="14"/>
                <w:szCs w:val="14"/>
                <w:b w:val="1"/>
                <w:bCs w:val="1"/>
                <w:color w:val="F0533D"/>
              </w:rPr>
              <w:t>Independent</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F0533D"/>
              </w:rPr>
              <w:t>Audit</w:t>
            </w:r>
          </w:p>
        </w:tc>
        <w:tc>
          <w:tcPr>
            <w:tcW w:w="2020" w:type="dxa"/>
            <w:vAlign w:val="bottom"/>
          </w:tcPr>
          <w:p>
            <w:pPr>
              <w:ind w:left="320"/>
              <w:spacing w:after="0"/>
              <w:rPr>
                <w:sz w:val="20"/>
                <w:szCs w:val="20"/>
                <w:color w:val="auto"/>
              </w:rPr>
            </w:pPr>
            <w:r>
              <w:rPr>
                <w:rFonts w:ascii="Arial" w:cs="Arial" w:eastAsia="Arial" w:hAnsi="Arial"/>
                <w:sz w:val="14"/>
                <w:szCs w:val="14"/>
                <w:b w:val="1"/>
                <w:bCs w:val="1"/>
                <w:color w:val="F0533D"/>
              </w:rPr>
              <w:t>and Human Capital</w:t>
            </w:r>
          </w:p>
        </w:tc>
        <w:tc>
          <w:tcPr>
            <w:tcW w:w="1340" w:type="dxa"/>
            <w:vAlign w:val="bottom"/>
          </w:tcPr>
          <w:p>
            <w:pPr>
              <w:ind w:left="100"/>
              <w:spacing w:after="0"/>
              <w:rPr>
                <w:sz w:val="20"/>
                <w:szCs w:val="20"/>
                <w:color w:val="auto"/>
              </w:rPr>
            </w:pPr>
            <w:r>
              <w:rPr>
                <w:rFonts w:ascii="Arial" w:cs="Arial" w:eastAsia="Arial" w:hAnsi="Arial"/>
                <w:sz w:val="14"/>
                <w:szCs w:val="14"/>
                <w:b w:val="1"/>
                <w:bCs w:val="1"/>
                <w:color w:val="F0533D"/>
              </w:rPr>
              <w:t>and Governance</w:t>
            </w:r>
          </w:p>
        </w:tc>
        <w:tc>
          <w:tcPr>
            <w:tcW w:w="0" w:type="dxa"/>
            <w:vAlign w:val="bottom"/>
          </w:tcPr>
          <w:p>
            <w:pPr>
              <w:spacing w:after="0"/>
              <w:rPr>
                <w:sz w:val="1"/>
                <w:szCs w:val="1"/>
                <w:color w:val="auto"/>
              </w:rPr>
            </w:pPr>
          </w:p>
        </w:tc>
      </w:tr>
      <w:tr>
        <w:trPr>
          <w:trHeight w:val="56"/>
        </w:trPr>
        <w:tc>
          <w:tcPr>
            <w:tcW w:w="2320" w:type="dxa"/>
            <w:vAlign w:val="bottom"/>
            <w:tcBorders>
              <w:bottom w:val="single" w:sz="8" w:color="F0533D"/>
            </w:tcBorders>
          </w:tcPr>
          <w:p>
            <w:pPr>
              <w:spacing w:after="0"/>
              <w:rPr>
                <w:sz w:val="4"/>
                <w:szCs w:val="4"/>
                <w:color w:val="auto"/>
              </w:rPr>
            </w:pPr>
          </w:p>
        </w:tc>
        <w:tc>
          <w:tcPr>
            <w:tcW w:w="2120" w:type="dxa"/>
            <w:vAlign w:val="bottom"/>
            <w:tcBorders>
              <w:bottom w:val="single" w:sz="8" w:color="F0533D"/>
            </w:tcBorders>
          </w:tcPr>
          <w:p>
            <w:pPr>
              <w:spacing w:after="0"/>
              <w:rPr>
                <w:sz w:val="4"/>
                <w:szCs w:val="4"/>
                <w:color w:val="auto"/>
              </w:rPr>
            </w:pPr>
          </w:p>
        </w:tc>
        <w:tc>
          <w:tcPr>
            <w:tcW w:w="340" w:type="dxa"/>
            <w:vAlign w:val="bottom"/>
            <w:tcBorders>
              <w:bottom w:val="single" w:sz="8" w:color="F0533D"/>
            </w:tcBorders>
          </w:tcPr>
          <w:p>
            <w:pPr>
              <w:spacing w:after="0"/>
              <w:rPr>
                <w:sz w:val="4"/>
                <w:szCs w:val="4"/>
                <w:color w:val="auto"/>
              </w:rPr>
            </w:pPr>
          </w:p>
        </w:tc>
        <w:tc>
          <w:tcPr>
            <w:tcW w:w="260" w:type="dxa"/>
            <w:vAlign w:val="bottom"/>
            <w:tcBorders>
              <w:bottom w:val="single" w:sz="8" w:color="F0533D"/>
            </w:tcBorders>
          </w:tcPr>
          <w:p>
            <w:pPr>
              <w:spacing w:after="0"/>
              <w:rPr>
                <w:sz w:val="4"/>
                <w:szCs w:val="4"/>
                <w:color w:val="auto"/>
              </w:rPr>
            </w:pPr>
          </w:p>
        </w:tc>
        <w:tc>
          <w:tcPr>
            <w:tcW w:w="460" w:type="dxa"/>
            <w:vAlign w:val="bottom"/>
            <w:tcBorders>
              <w:bottom w:val="single" w:sz="8" w:color="F0533D"/>
            </w:tcBorders>
          </w:tcPr>
          <w:p>
            <w:pPr>
              <w:spacing w:after="0"/>
              <w:rPr>
                <w:sz w:val="4"/>
                <w:szCs w:val="4"/>
                <w:color w:val="auto"/>
              </w:rPr>
            </w:pPr>
          </w:p>
        </w:tc>
        <w:tc>
          <w:tcPr>
            <w:tcW w:w="2020" w:type="dxa"/>
            <w:vAlign w:val="bottom"/>
            <w:tcBorders>
              <w:bottom w:val="single" w:sz="8" w:color="F0533D"/>
            </w:tcBorders>
          </w:tcPr>
          <w:p>
            <w:pPr>
              <w:spacing w:after="0"/>
              <w:rPr>
                <w:sz w:val="4"/>
                <w:szCs w:val="4"/>
                <w:color w:val="auto"/>
              </w:rPr>
            </w:pPr>
          </w:p>
        </w:tc>
        <w:tc>
          <w:tcPr>
            <w:tcW w:w="1340" w:type="dxa"/>
            <w:vAlign w:val="bottom"/>
            <w:tcBorders>
              <w:bottom w:val="single" w:sz="8" w:color="F0533D"/>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320" w:type="dxa"/>
            <w:vAlign w:val="bottom"/>
            <w:vMerge w:val="restart"/>
          </w:tcPr>
          <w:p>
            <w:pPr>
              <w:ind w:left="140"/>
              <w:spacing w:after="0"/>
              <w:rPr>
                <w:sz w:val="20"/>
                <w:szCs w:val="20"/>
                <w:color w:val="auto"/>
              </w:rPr>
            </w:pPr>
            <w:r>
              <w:rPr>
                <w:rFonts w:ascii="Arial" w:cs="Arial" w:eastAsia="Arial" w:hAnsi="Arial"/>
                <w:sz w:val="16"/>
                <w:szCs w:val="16"/>
                <w:color w:val="auto"/>
              </w:rPr>
              <w:t>Dominic J. Caruso</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1"/>
                <w:szCs w:val="11"/>
                <w:color w:val="auto"/>
                <w:w w:val="72"/>
              </w:rPr>
              <w:t> </w:t>
            </w:r>
          </w:p>
        </w:tc>
        <w:tc>
          <w:tcPr>
            <w:tcW w:w="460" w:type="dxa"/>
            <w:vAlign w:val="bottom"/>
          </w:tcPr>
          <w:p>
            <w:pPr>
              <w:ind w:left="60"/>
              <w:spacing w:after="0"/>
              <w:rPr>
                <w:sz w:val="20"/>
                <w:szCs w:val="20"/>
                <w:color w:val="auto"/>
              </w:rPr>
            </w:pPr>
            <w:r>
              <w:rPr>
                <w:rFonts w:ascii="Arial" w:cs="Arial" w:eastAsia="Arial" w:hAnsi="Arial"/>
                <w:sz w:val="16"/>
                <w:szCs w:val="16"/>
                <w:color w:val="auto"/>
              </w:rPr>
              <w:t> </w:t>
            </w:r>
          </w:p>
        </w:tc>
        <w:tc>
          <w:tcPr>
            <w:tcW w:w="20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320" w:type="dxa"/>
            <w:vAlign w:val="bottom"/>
            <w:vMerge w:val="continue"/>
          </w:tcPr>
          <w:p>
            <w:pPr>
              <w:spacing w:after="0"/>
              <w:rPr>
                <w:sz w:val="9"/>
                <w:szCs w:val="9"/>
                <w:color w:val="auto"/>
              </w:rPr>
            </w:pPr>
          </w:p>
        </w:tc>
        <w:tc>
          <w:tcPr>
            <w:tcW w:w="2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320" w:type="dxa"/>
            <w:vAlign w:val="bottom"/>
            <w:tcBorders>
              <w:bottom w:val="single" w:sz="8" w:color="BCBEC0"/>
            </w:tcBorders>
          </w:tcPr>
          <w:p>
            <w:pPr>
              <w:spacing w:after="0"/>
              <w:rPr>
                <w:sz w:val="6"/>
                <w:szCs w:val="6"/>
                <w:color w:val="auto"/>
              </w:rPr>
            </w:pPr>
          </w:p>
        </w:tc>
        <w:tc>
          <w:tcPr>
            <w:tcW w:w="2460" w:type="dxa"/>
            <w:vAlign w:val="bottom"/>
            <w:tcBorders>
              <w:bottom w:val="single" w:sz="8" w:color="BCBEC0"/>
            </w:tcBorders>
            <w:gridSpan w:val="2"/>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460" w:type="dxa"/>
            <w:vAlign w:val="bottom"/>
            <w:tcBorders>
              <w:bottom w:val="single" w:sz="8" w:color="BCBEC0"/>
            </w:tcBorders>
          </w:tcPr>
          <w:p>
            <w:pPr>
              <w:spacing w:after="0"/>
              <w:rPr>
                <w:sz w:val="6"/>
                <w:szCs w:val="6"/>
                <w:color w:val="auto"/>
              </w:rPr>
            </w:pPr>
          </w:p>
        </w:tc>
        <w:tc>
          <w:tcPr>
            <w:tcW w:w="2020" w:type="dxa"/>
            <w:vAlign w:val="bottom"/>
            <w:tcBorders>
              <w:bottom w:val="single" w:sz="8" w:color="BCBEC0"/>
            </w:tcBorders>
          </w:tcPr>
          <w:p>
            <w:pPr>
              <w:spacing w:after="0"/>
              <w:rPr>
                <w:sz w:val="6"/>
                <w:szCs w:val="6"/>
                <w:color w:val="auto"/>
              </w:rPr>
            </w:pPr>
          </w:p>
        </w:tc>
        <w:tc>
          <w:tcPr>
            <w:tcW w:w="134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320" w:type="dxa"/>
            <w:vAlign w:val="bottom"/>
          </w:tcPr>
          <w:p>
            <w:pPr>
              <w:ind w:left="140"/>
              <w:spacing w:after="0"/>
              <w:rPr>
                <w:sz w:val="20"/>
                <w:szCs w:val="20"/>
                <w:color w:val="auto"/>
              </w:rPr>
            </w:pPr>
            <w:r>
              <w:rPr>
                <w:rFonts w:ascii="Arial" w:cs="Arial" w:eastAsia="Arial" w:hAnsi="Arial"/>
                <w:sz w:val="16"/>
                <w:szCs w:val="16"/>
                <w:color w:val="auto"/>
              </w:rPr>
              <w:t>John D. Harris II</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320" w:type="dxa"/>
            <w:vAlign w:val="bottom"/>
            <w:tcBorders>
              <w:bottom w:val="single" w:sz="8" w:color="BCBEC0"/>
            </w:tcBorders>
          </w:tcPr>
          <w:p>
            <w:pPr>
              <w:spacing w:after="0"/>
              <w:rPr>
                <w:sz w:val="4"/>
                <w:szCs w:val="4"/>
                <w:color w:val="auto"/>
              </w:rPr>
            </w:pPr>
          </w:p>
        </w:tc>
        <w:tc>
          <w:tcPr>
            <w:tcW w:w="2460" w:type="dxa"/>
            <w:vAlign w:val="bottom"/>
            <w:tcBorders>
              <w:bottom w:val="single" w:sz="8" w:color="BCBEC0"/>
            </w:tcBorders>
            <w:gridSpan w:val="2"/>
          </w:tcPr>
          <w:p>
            <w:pPr>
              <w:spacing w:after="0"/>
              <w:rPr>
                <w:sz w:val="4"/>
                <w:szCs w:val="4"/>
                <w:color w:val="auto"/>
              </w:rPr>
            </w:pPr>
          </w:p>
        </w:tc>
        <w:tc>
          <w:tcPr>
            <w:tcW w:w="260" w:type="dxa"/>
            <w:vAlign w:val="bottom"/>
            <w:tcBorders>
              <w:bottom w:val="single" w:sz="8" w:color="BCBEC0"/>
            </w:tcBorders>
          </w:tcPr>
          <w:p>
            <w:pPr>
              <w:spacing w:after="0"/>
              <w:rPr>
                <w:sz w:val="4"/>
                <w:szCs w:val="4"/>
                <w:color w:val="auto"/>
              </w:rPr>
            </w:pPr>
          </w:p>
        </w:tc>
        <w:tc>
          <w:tcPr>
            <w:tcW w:w="460" w:type="dxa"/>
            <w:vAlign w:val="bottom"/>
            <w:tcBorders>
              <w:bottom w:val="single" w:sz="8" w:color="BCBEC0"/>
            </w:tcBorders>
          </w:tcPr>
          <w:p>
            <w:pPr>
              <w:spacing w:after="0"/>
              <w:rPr>
                <w:sz w:val="4"/>
                <w:szCs w:val="4"/>
                <w:color w:val="auto"/>
              </w:rPr>
            </w:pPr>
          </w:p>
        </w:tc>
        <w:tc>
          <w:tcPr>
            <w:tcW w:w="2020" w:type="dxa"/>
            <w:vAlign w:val="bottom"/>
            <w:tcBorders>
              <w:bottom w:val="single" w:sz="8" w:color="BCBEC0"/>
            </w:tcBorders>
          </w:tcPr>
          <w:p>
            <w:pPr>
              <w:spacing w:after="0"/>
              <w:rPr>
                <w:sz w:val="4"/>
                <w:szCs w:val="4"/>
                <w:color w:val="auto"/>
              </w:rPr>
            </w:pPr>
          </w:p>
        </w:tc>
        <w:tc>
          <w:tcPr>
            <w:tcW w:w="13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320" w:type="dxa"/>
            <w:vAlign w:val="bottom"/>
          </w:tcPr>
          <w:p>
            <w:pPr>
              <w:ind w:left="140"/>
              <w:spacing w:after="0"/>
              <w:rPr>
                <w:sz w:val="20"/>
                <w:szCs w:val="20"/>
                <w:color w:val="auto"/>
              </w:rPr>
            </w:pPr>
            <w:r>
              <w:rPr>
                <w:rFonts w:ascii="Arial" w:cs="Arial" w:eastAsia="Arial" w:hAnsi="Arial"/>
                <w:sz w:val="16"/>
                <w:szCs w:val="16"/>
                <w:color w:val="auto"/>
              </w:rPr>
              <w:t>Stephen A.M. Hester  </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320" w:type="dxa"/>
            <w:vAlign w:val="bottom"/>
            <w:tcBorders>
              <w:bottom w:val="single" w:sz="8" w:color="BCBEC0"/>
            </w:tcBorders>
          </w:tcPr>
          <w:p>
            <w:pPr>
              <w:spacing w:after="0"/>
              <w:rPr>
                <w:sz w:val="3"/>
                <w:szCs w:val="3"/>
                <w:color w:val="auto"/>
              </w:rPr>
            </w:pPr>
          </w:p>
        </w:tc>
        <w:tc>
          <w:tcPr>
            <w:tcW w:w="2460" w:type="dxa"/>
            <w:vAlign w:val="bottom"/>
            <w:tcBorders>
              <w:bottom w:val="single" w:sz="8" w:color="BCBEC0"/>
            </w:tcBorders>
            <w:gridSpan w:val="2"/>
          </w:tcPr>
          <w:p>
            <w:pPr>
              <w:spacing w:after="0"/>
              <w:rPr>
                <w:sz w:val="3"/>
                <w:szCs w:val="3"/>
                <w:color w:val="auto"/>
              </w:rPr>
            </w:pPr>
          </w:p>
        </w:tc>
        <w:tc>
          <w:tcPr>
            <w:tcW w:w="260" w:type="dxa"/>
            <w:vAlign w:val="bottom"/>
            <w:tcBorders>
              <w:bottom w:val="single" w:sz="8" w:color="BCBEC0"/>
            </w:tcBorders>
          </w:tcPr>
          <w:p>
            <w:pPr>
              <w:spacing w:after="0"/>
              <w:rPr>
                <w:sz w:val="3"/>
                <w:szCs w:val="3"/>
                <w:color w:val="auto"/>
              </w:rPr>
            </w:pPr>
          </w:p>
        </w:tc>
        <w:tc>
          <w:tcPr>
            <w:tcW w:w="460" w:type="dxa"/>
            <w:vAlign w:val="bottom"/>
            <w:tcBorders>
              <w:bottom w:val="single" w:sz="8" w:color="BCBEC0"/>
            </w:tcBorders>
          </w:tcPr>
          <w:p>
            <w:pPr>
              <w:spacing w:after="0"/>
              <w:rPr>
                <w:sz w:val="3"/>
                <w:szCs w:val="3"/>
                <w:color w:val="auto"/>
              </w:rPr>
            </w:pPr>
          </w:p>
        </w:tc>
        <w:tc>
          <w:tcPr>
            <w:tcW w:w="2020" w:type="dxa"/>
            <w:vAlign w:val="bottom"/>
            <w:tcBorders>
              <w:bottom w:val="single" w:sz="8" w:color="BCBEC0"/>
            </w:tcBorders>
          </w:tcPr>
          <w:p>
            <w:pPr>
              <w:spacing w:after="0"/>
              <w:rPr>
                <w:sz w:val="3"/>
                <w:szCs w:val="3"/>
                <w:color w:val="auto"/>
              </w:rPr>
            </w:pPr>
          </w:p>
        </w:tc>
        <w:tc>
          <w:tcPr>
            <w:tcW w:w="134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2320" w:type="dxa"/>
            <w:vAlign w:val="bottom"/>
          </w:tcPr>
          <w:p>
            <w:pPr>
              <w:ind w:left="140"/>
              <w:spacing w:after="0"/>
              <w:rPr>
                <w:sz w:val="20"/>
                <w:szCs w:val="20"/>
                <w:color w:val="auto"/>
              </w:rPr>
            </w:pPr>
            <w:r>
              <w:rPr>
                <w:rFonts w:ascii="Arial" w:cs="Arial" w:eastAsia="Arial" w:hAnsi="Arial"/>
                <w:sz w:val="16"/>
                <w:szCs w:val="16"/>
                <w:color w:val="auto"/>
              </w:rPr>
              <w:t>Shirley Ann Jackson</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320" w:type="dxa"/>
            <w:vAlign w:val="bottom"/>
            <w:tcBorders>
              <w:bottom w:val="single" w:sz="8" w:color="BCBEC0"/>
            </w:tcBorders>
          </w:tcPr>
          <w:p>
            <w:pPr>
              <w:spacing w:after="0"/>
              <w:rPr>
                <w:sz w:val="4"/>
                <w:szCs w:val="4"/>
                <w:color w:val="auto"/>
              </w:rPr>
            </w:pPr>
          </w:p>
        </w:tc>
        <w:tc>
          <w:tcPr>
            <w:tcW w:w="2460" w:type="dxa"/>
            <w:vAlign w:val="bottom"/>
            <w:tcBorders>
              <w:bottom w:val="single" w:sz="8" w:color="BCBEC0"/>
            </w:tcBorders>
            <w:gridSpan w:val="2"/>
          </w:tcPr>
          <w:p>
            <w:pPr>
              <w:spacing w:after="0"/>
              <w:rPr>
                <w:sz w:val="4"/>
                <w:szCs w:val="4"/>
                <w:color w:val="auto"/>
              </w:rPr>
            </w:pPr>
          </w:p>
        </w:tc>
        <w:tc>
          <w:tcPr>
            <w:tcW w:w="260" w:type="dxa"/>
            <w:vAlign w:val="bottom"/>
            <w:tcBorders>
              <w:bottom w:val="single" w:sz="8" w:color="BCBEC0"/>
            </w:tcBorders>
          </w:tcPr>
          <w:p>
            <w:pPr>
              <w:spacing w:after="0"/>
              <w:rPr>
                <w:sz w:val="4"/>
                <w:szCs w:val="4"/>
                <w:color w:val="auto"/>
              </w:rPr>
            </w:pPr>
          </w:p>
        </w:tc>
        <w:tc>
          <w:tcPr>
            <w:tcW w:w="460" w:type="dxa"/>
            <w:vAlign w:val="bottom"/>
            <w:tcBorders>
              <w:bottom w:val="single" w:sz="8" w:color="BCBEC0"/>
            </w:tcBorders>
          </w:tcPr>
          <w:p>
            <w:pPr>
              <w:spacing w:after="0"/>
              <w:rPr>
                <w:sz w:val="4"/>
                <w:szCs w:val="4"/>
                <w:color w:val="auto"/>
              </w:rPr>
            </w:pPr>
          </w:p>
        </w:tc>
        <w:tc>
          <w:tcPr>
            <w:tcW w:w="2020" w:type="dxa"/>
            <w:vAlign w:val="bottom"/>
            <w:tcBorders>
              <w:bottom w:val="single" w:sz="8" w:color="BCBEC0"/>
            </w:tcBorders>
          </w:tcPr>
          <w:p>
            <w:pPr>
              <w:spacing w:after="0"/>
              <w:rPr>
                <w:sz w:val="4"/>
                <w:szCs w:val="4"/>
                <w:color w:val="auto"/>
              </w:rPr>
            </w:pPr>
          </w:p>
        </w:tc>
        <w:tc>
          <w:tcPr>
            <w:tcW w:w="13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2320" w:type="dxa"/>
            <w:vAlign w:val="bottom"/>
          </w:tcPr>
          <w:p>
            <w:pPr>
              <w:ind w:left="140"/>
              <w:spacing w:after="0"/>
              <w:rPr>
                <w:sz w:val="20"/>
                <w:szCs w:val="20"/>
                <w:color w:val="auto"/>
              </w:rPr>
            </w:pPr>
            <w:r>
              <w:rPr>
                <w:rFonts w:ascii="Arial" w:cs="Arial" w:eastAsia="Arial" w:hAnsi="Arial"/>
                <w:sz w:val="16"/>
                <w:szCs w:val="16"/>
                <w:color w:val="auto"/>
              </w:rPr>
              <w:t>Janina Kugel</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
        </w:trPr>
        <w:tc>
          <w:tcPr>
            <w:tcW w:w="2320" w:type="dxa"/>
            <w:vAlign w:val="bottom"/>
            <w:tcBorders>
              <w:bottom w:val="single" w:sz="8" w:color="BCBEC0"/>
            </w:tcBorders>
          </w:tcPr>
          <w:p>
            <w:pPr>
              <w:spacing w:after="0"/>
              <w:rPr>
                <w:sz w:val="4"/>
                <w:szCs w:val="4"/>
                <w:color w:val="auto"/>
              </w:rPr>
            </w:pPr>
          </w:p>
        </w:tc>
        <w:tc>
          <w:tcPr>
            <w:tcW w:w="2460" w:type="dxa"/>
            <w:vAlign w:val="bottom"/>
            <w:tcBorders>
              <w:bottom w:val="single" w:sz="8" w:color="BCBEC0"/>
            </w:tcBorders>
            <w:gridSpan w:val="2"/>
          </w:tcPr>
          <w:p>
            <w:pPr>
              <w:spacing w:after="0"/>
              <w:rPr>
                <w:sz w:val="4"/>
                <w:szCs w:val="4"/>
                <w:color w:val="auto"/>
              </w:rPr>
            </w:pPr>
          </w:p>
        </w:tc>
        <w:tc>
          <w:tcPr>
            <w:tcW w:w="260" w:type="dxa"/>
            <w:vAlign w:val="bottom"/>
            <w:tcBorders>
              <w:bottom w:val="single" w:sz="8" w:color="BCBEC0"/>
            </w:tcBorders>
          </w:tcPr>
          <w:p>
            <w:pPr>
              <w:spacing w:after="0"/>
              <w:rPr>
                <w:sz w:val="4"/>
                <w:szCs w:val="4"/>
                <w:color w:val="auto"/>
              </w:rPr>
            </w:pPr>
          </w:p>
        </w:tc>
        <w:tc>
          <w:tcPr>
            <w:tcW w:w="460" w:type="dxa"/>
            <w:vAlign w:val="bottom"/>
            <w:tcBorders>
              <w:bottom w:val="single" w:sz="8" w:color="BCBEC0"/>
            </w:tcBorders>
          </w:tcPr>
          <w:p>
            <w:pPr>
              <w:spacing w:after="0"/>
              <w:rPr>
                <w:sz w:val="4"/>
                <w:szCs w:val="4"/>
                <w:color w:val="auto"/>
              </w:rPr>
            </w:pPr>
          </w:p>
        </w:tc>
        <w:tc>
          <w:tcPr>
            <w:tcW w:w="2020" w:type="dxa"/>
            <w:vAlign w:val="bottom"/>
            <w:tcBorders>
              <w:bottom w:val="single" w:sz="8" w:color="BCBEC0"/>
            </w:tcBorders>
          </w:tcPr>
          <w:p>
            <w:pPr>
              <w:spacing w:after="0"/>
              <w:rPr>
                <w:sz w:val="4"/>
                <w:szCs w:val="4"/>
                <w:color w:val="auto"/>
              </w:rPr>
            </w:pPr>
          </w:p>
        </w:tc>
        <w:tc>
          <w:tcPr>
            <w:tcW w:w="1340" w:type="dxa"/>
            <w:vAlign w:val="bottom"/>
            <w:tcBorders>
              <w:bottom w:val="single" w:sz="8" w:color="BCBEC0"/>
            </w:tcBorders>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320" w:type="dxa"/>
            <w:vAlign w:val="bottom"/>
          </w:tcPr>
          <w:p>
            <w:pPr>
              <w:ind w:left="140"/>
              <w:spacing w:after="0"/>
              <w:rPr>
                <w:sz w:val="20"/>
                <w:szCs w:val="20"/>
                <w:color w:val="auto"/>
              </w:rPr>
            </w:pPr>
            <w:r>
              <w:rPr>
                <w:rFonts w:ascii="Arial" w:cs="Arial" w:eastAsia="Arial" w:hAnsi="Arial"/>
                <w:sz w:val="16"/>
                <w:szCs w:val="16"/>
                <w:color w:val="auto"/>
              </w:rPr>
              <w:t>Denis Machuel</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ind w:left="180"/>
              <w:spacing w:after="0"/>
              <w:rPr>
                <w:sz w:val="20"/>
                <w:szCs w:val="20"/>
                <w:color w:val="auto"/>
              </w:rPr>
            </w:pPr>
            <w:r>
              <w:rPr>
                <w:rFonts w:ascii="Arial" w:cs="Arial" w:eastAsia="Arial" w:hAnsi="Arial"/>
                <w:sz w:val="8"/>
                <w:szCs w:val="8"/>
                <w:color w:val="auto"/>
                <w:w w:val="74"/>
              </w:rPr>
              <w:t> </w:t>
            </w:r>
          </w:p>
        </w:tc>
        <w:tc>
          <w:tcPr>
            <w:tcW w:w="460" w:type="dxa"/>
            <w:vAlign w:val="bottom"/>
          </w:tcPr>
          <w:p>
            <w:pPr>
              <w:ind w:left="80"/>
              <w:spacing w:after="0"/>
              <w:rPr>
                <w:sz w:val="20"/>
                <w:szCs w:val="20"/>
                <w:color w:val="auto"/>
              </w:rPr>
            </w:pPr>
            <w:r>
              <w:rPr>
                <w:rFonts w:ascii="Arial" w:cs="Arial" w:eastAsia="Arial" w:hAnsi="Arial"/>
                <w:sz w:val="16"/>
                <w:szCs w:val="16"/>
                <w:color w:val="auto"/>
              </w:rPr>
              <w:t> </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320" w:type="dxa"/>
            <w:vAlign w:val="bottom"/>
            <w:tcBorders>
              <w:bottom w:val="single" w:sz="8" w:color="BCBEC0"/>
            </w:tcBorders>
          </w:tcPr>
          <w:p>
            <w:pPr>
              <w:spacing w:after="0"/>
              <w:rPr>
                <w:sz w:val="6"/>
                <w:szCs w:val="6"/>
                <w:color w:val="auto"/>
              </w:rPr>
            </w:pPr>
          </w:p>
        </w:tc>
        <w:tc>
          <w:tcPr>
            <w:tcW w:w="2460" w:type="dxa"/>
            <w:vAlign w:val="bottom"/>
            <w:tcBorders>
              <w:bottom w:val="single" w:sz="8" w:color="BCBEC0"/>
            </w:tcBorders>
            <w:gridSpan w:val="2"/>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460" w:type="dxa"/>
            <w:vAlign w:val="bottom"/>
            <w:tcBorders>
              <w:bottom w:val="single" w:sz="8" w:color="BCBEC0"/>
            </w:tcBorders>
          </w:tcPr>
          <w:p>
            <w:pPr>
              <w:spacing w:after="0"/>
              <w:rPr>
                <w:sz w:val="6"/>
                <w:szCs w:val="6"/>
                <w:color w:val="auto"/>
              </w:rPr>
            </w:pPr>
          </w:p>
        </w:tc>
        <w:tc>
          <w:tcPr>
            <w:tcW w:w="2020" w:type="dxa"/>
            <w:vAlign w:val="bottom"/>
            <w:tcBorders>
              <w:bottom w:val="single" w:sz="8" w:color="BCBEC0"/>
            </w:tcBorders>
          </w:tcPr>
          <w:p>
            <w:pPr>
              <w:spacing w:after="0"/>
              <w:rPr>
                <w:sz w:val="6"/>
                <w:szCs w:val="6"/>
                <w:color w:val="auto"/>
              </w:rPr>
            </w:pPr>
          </w:p>
        </w:tc>
        <w:tc>
          <w:tcPr>
            <w:tcW w:w="134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2320" w:type="dxa"/>
            <w:vAlign w:val="bottom"/>
          </w:tcPr>
          <w:p>
            <w:pPr>
              <w:ind w:left="140"/>
              <w:spacing w:after="0"/>
              <w:rPr>
                <w:sz w:val="20"/>
                <w:szCs w:val="20"/>
                <w:color w:val="auto"/>
              </w:rPr>
            </w:pPr>
            <w:r>
              <w:rPr>
                <w:rFonts w:ascii="Arial" w:cs="Arial" w:eastAsia="Arial" w:hAnsi="Arial"/>
                <w:sz w:val="16"/>
                <w:szCs w:val="16"/>
                <w:color w:val="auto"/>
              </w:rPr>
              <w:t>Rahul N. Merchant</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ind w:left="180"/>
              <w:spacing w:after="0"/>
              <w:rPr>
                <w:sz w:val="20"/>
                <w:szCs w:val="20"/>
                <w:color w:val="auto"/>
              </w:rPr>
            </w:pPr>
            <w:r>
              <w:rPr>
                <w:rFonts w:ascii="Arial" w:cs="Arial" w:eastAsia="Arial" w:hAnsi="Arial"/>
                <w:sz w:val="8"/>
                <w:szCs w:val="8"/>
                <w:color w:val="auto"/>
                <w:w w:val="74"/>
              </w:rPr>
              <w:t> </w:t>
            </w:r>
          </w:p>
        </w:tc>
        <w:tc>
          <w:tcPr>
            <w:tcW w:w="460" w:type="dxa"/>
            <w:vAlign w:val="bottom"/>
          </w:tcPr>
          <w:p>
            <w:pPr>
              <w:ind w:left="80"/>
              <w:spacing w:after="0"/>
              <w:rPr>
                <w:sz w:val="20"/>
                <w:szCs w:val="20"/>
                <w:color w:val="auto"/>
              </w:rPr>
            </w:pPr>
            <w:r>
              <w:rPr>
                <w:rFonts w:ascii="Arial" w:cs="Arial" w:eastAsia="Arial" w:hAnsi="Arial"/>
                <w:sz w:val="16"/>
                <w:szCs w:val="16"/>
                <w:color w:val="auto"/>
              </w:rPr>
              <w:t> </w:t>
            </w:r>
          </w:p>
        </w:tc>
        <w:tc>
          <w:tcPr>
            <w:tcW w:w="2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320" w:type="dxa"/>
            <w:vAlign w:val="bottom"/>
            <w:tcBorders>
              <w:bottom w:val="single" w:sz="8" w:color="BCBEC0"/>
            </w:tcBorders>
          </w:tcPr>
          <w:p>
            <w:pPr>
              <w:spacing w:after="0"/>
              <w:rPr>
                <w:sz w:val="6"/>
                <w:szCs w:val="6"/>
                <w:color w:val="auto"/>
              </w:rPr>
            </w:pPr>
          </w:p>
        </w:tc>
        <w:tc>
          <w:tcPr>
            <w:tcW w:w="2460" w:type="dxa"/>
            <w:vAlign w:val="bottom"/>
            <w:tcBorders>
              <w:bottom w:val="single" w:sz="8" w:color="BCBEC0"/>
            </w:tcBorders>
            <w:gridSpan w:val="2"/>
          </w:tcPr>
          <w:p>
            <w:pPr>
              <w:spacing w:after="0"/>
              <w:rPr>
                <w:sz w:val="6"/>
                <w:szCs w:val="6"/>
                <w:color w:val="auto"/>
              </w:rPr>
            </w:pPr>
          </w:p>
        </w:tc>
        <w:tc>
          <w:tcPr>
            <w:tcW w:w="260" w:type="dxa"/>
            <w:vAlign w:val="bottom"/>
            <w:tcBorders>
              <w:bottom w:val="single" w:sz="8" w:color="BCBEC0"/>
            </w:tcBorders>
          </w:tcPr>
          <w:p>
            <w:pPr>
              <w:spacing w:after="0"/>
              <w:rPr>
                <w:sz w:val="6"/>
                <w:szCs w:val="6"/>
                <w:color w:val="auto"/>
              </w:rPr>
            </w:pPr>
          </w:p>
        </w:tc>
        <w:tc>
          <w:tcPr>
            <w:tcW w:w="460" w:type="dxa"/>
            <w:vAlign w:val="bottom"/>
            <w:tcBorders>
              <w:bottom w:val="single" w:sz="8" w:color="BCBEC0"/>
            </w:tcBorders>
          </w:tcPr>
          <w:p>
            <w:pPr>
              <w:spacing w:after="0"/>
              <w:rPr>
                <w:sz w:val="6"/>
                <w:szCs w:val="6"/>
                <w:color w:val="auto"/>
              </w:rPr>
            </w:pPr>
          </w:p>
        </w:tc>
        <w:tc>
          <w:tcPr>
            <w:tcW w:w="2020" w:type="dxa"/>
            <w:vAlign w:val="bottom"/>
            <w:tcBorders>
              <w:bottom w:val="single" w:sz="8" w:color="BCBEC0"/>
            </w:tcBorders>
          </w:tcPr>
          <w:p>
            <w:pPr>
              <w:spacing w:after="0"/>
              <w:rPr>
                <w:sz w:val="6"/>
                <w:szCs w:val="6"/>
                <w:color w:val="auto"/>
              </w:rPr>
            </w:pPr>
          </w:p>
        </w:tc>
        <w:tc>
          <w:tcPr>
            <w:tcW w:w="134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2320" w:type="dxa"/>
            <w:vAlign w:val="bottom"/>
          </w:tcPr>
          <w:p>
            <w:pPr>
              <w:ind w:left="140"/>
              <w:spacing w:after="0"/>
              <w:rPr>
                <w:sz w:val="20"/>
                <w:szCs w:val="20"/>
                <w:color w:val="auto"/>
              </w:rPr>
            </w:pPr>
            <w:r>
              <w:rPr>
                <w:rFonts w:ascii="Arial" w:cs="Arial" w:eastAsia="Arial" w:hAnsi="Arial"/>
                <w:sz w:val="16"/>
                <w:szCs w:val="16"/>
                <w:color w:val="auto"/>
              </w:rPr>
              <w:t>Jana Schreuder</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320" w:type="dxa"/>
            <w:vAlign w:val="bottom"/>
            <w:tcBorders>
              <w:bottom w:val="single" w:sz="8" w:color="BCBEC0"/>
            </w:tcBorders>
          </w:tcPr>
          <w:p>
            <w:pPr>
              <w:spacing w:after="0"/>
              <w:rPr>
                <w:sz w:val="3"/>
                <w:szCs w:val="3"/>
                <w:color w:val="auto"/>
              </w:rPr>
            </w:pPr>
          </w:p>
        </w:tc>
        <w:tc>
          <w:tcPr>
            <w:tcW w:w="2460" w:type="dxa"/>
            <w:vAlign w:val="bottom"/>
            <w:tcBorders>
              <w:bottom w:val="single" w:sz="8" w:color="BCBEC0"/>
            </w:tcBorders>
            <w:gridSpan w:val="2"/>
          </w:tcPr>
          <w:p>
            <w:pPr>
              <w:spacing w:after="0"/>
              <w:rPr>
                <w:sz w:val="3"/>
                <w:szCs w:val="3"/>
                <w:color w:val="auto"/>
              </w:rPr>
            </w:pPr>
          </w:p>
        </w:tc>
        <w:tc>
          <w:tcPr>
            <w:tcW w:w="260" w:type="dxa"/>
            <w:vAlign w:val="bottom"/>
            <w:tcBorders>
              <w:bottom w:val="single" w:sz="8" w:color="BCBEC0"/>
            </w:tcBorders>
          </w:tcPr>
          <w:p>
            <w:pPr>
              <w:spacing w:after="0"/>
              <w:rPr>
                <w:sz w:val="3"/>
                <w:szCs w:val="3"/>
                <w:color w:val="auto"/>
              </w:rPr>
            </w:pPr>
          </w:p>
        </w:tc>
        <w:tc>
          <w:tcPr>
            <w:tcW w:w="460" w:type="dxa"/>
            <w:vAlign w:val="bottom"/>
            <w:tcBorders>
              <w:bottom w:val="single" w:sz="8" w:color="BCBEC0"/>
            </w:tcBorders>
          </w:tcPr>
          <w:p>
            <w:pPr>
              <w:spacing w:after="0"/>
              <w:rPr>
                <w:sz w:val="3"/>
                <w:szCs w:val="3"/>
                <w:color w:val="auto"/>
              </w:rPr>
            </w:pPr>
          </w:p>
        </w:tc>
        <w:tc>
          <w:tcPr>
            <w:tcW w:w="2020" w:type="dxa"/>
            <w:vAlign w:val="bottom"/>
            <w:tcBorders>
              <w:bottom w:val="single" w:sz="8" w:color="BCBEC0"/>
            </w:tcBorders>
          </w:tcPr>
          <w:p>
            <w:pPr>
              <w:spacing w:after="0"/>
              <w:rPr>
                <w:sz w:val="3"/>
                <w:szCs w:val="3"/>
                <w:color w:val="auto"/>
              </w:rPr>
            </w:pPr>
          </w:p>
        </w:tc>
        <w:tc>
          <w:tcPr>
            <w:tcW w:w="134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2320" w:type="dxa"/>
            <w:vAlign w:val="bottom"/>
          </w:tcPr>
          <w:p>
            <w:pPr>
              <w:ind w:left="140"/>
              <w:spacing w:after="0"/>
              <w:rPr>
                <w:sz w:val="20"/>
                <w:szCs w:val="20"/>
                <w:color w:val="auto"/>
              </w:rPr>
            </w:pPr>
            <w:r>
              <w:rPr>
                <w:rFonts w:ascii="Arial" w:cs="Arial" w:eastAsia="Arial" w:hAnsi="Arial"/>
                <w:sz w:val="16"/>
                <w:szCs w:val="16"/>
                <w:color w:val="auto"/>
              </w:rPr>
              <w:t>Howard I. Ungerleider</w:t>
            </w:r>
          </w:p>
        </w:tc>
        <w:tc>
          <w:tcPr>
            <w:tcW w:w="246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35560</wp:posOffset>
            </wp:positionV>
            <wp:extent cx="56235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623560" cy="889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-2809875</wp:posOffset>
            </wp:positionV>
            <wp:extent cx="402590" cy="2997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2590" cy="29972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-2809875</wp:posOffset>
            </wp:positionV>
            <wp:extent cx="334645" cy="2825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4645" cy="28257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-2818765</wp:posOffset>
            </wp:positionV>
            <wp:extent cx="274320" cy="3003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4320" cy="3003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-1944370</wp:posOffset>
            </wp:positionV>
            <wp:extent cx="128905" cy="1111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-1978660</wp:posOffset>
            </wp:positionV>
            <wp:extent cx="146050" cy="145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3305810</wp:posOffset>
            </wp:positionH>
            <wp:positionV relativeFrom="paragraph">
              <wp:posOffset>-1944370</wp:posOffset>
            </wp:positionV>
            <wp:extent cx="111125" cy="11112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-1738630</wp:posOffset>
            </wp:positionV>
            <wp:extent cx="128905" cy="1117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-1755775</wp:posOffset>
            </wp:positionV>
            <wp:extent cx="171450" cy="1714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-1532890</wp:posOffset>
            </wp:positionV>
            <wp:extent cx="128905" cy="1289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-1515745</wp:posOffset>
            </wp:positionV>
            <wp:extent cx="128905" cy="1111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-1524000</wp:posOffset>
            </wp:positionV>
            <wp:extent cx="145415" cy="146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-1301115</wp:posOffset>
            </wp:positionV>
            <wp:extent cx="128905" cy="1111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5157470</wp:posOffset>
            </wp:positionH>
            <wp:positionV relativeFrom="paragraph">
              <wp:posOffset>-1318260</wp:posOffset>
            </wp:positionV>
            <wp:extent cx="171450" cy="1714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-1078230</wp:posOffset>
            </wp:positionV>
            <wp:extent cx="128905" cy="1111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-1095375</wp:posOffset>
            </wp:positionV>
            <wp:extent cx="171450" cy="1714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-838200</wp:posOffset>
            </wp:positionV>
            <wp:extent cx="128905" cy="11176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-872490</wp:posOffset>
            </wp:positionV>
            <wp:extent cx="171450" cy="1714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-812800</wp:posOffset>
            </wp:positionV>
            <wp:extent cx="111125" cy="1117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-589915</wp:posOffset>
            </wp:positionV>
            <wp:extent cx="128905" cy="1117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8905" cy="11176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-624205</wp:posOffset>
            </wp:positionV>
            <wp:extent cx="171450" cy="1714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3322955</wp:posOffset>
            </wp:positionH>
            <wp:positionV relativeFrom="paragraph">
              <wp:posOffset>-563880</wp:posOffset>
            </wp:positionV>
            <wp:extent cx="111125" cy="1111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-358140</wp:posOffset>
            </wp:positionV>
            <wp:extent cx="128905" cy="1111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-367030</wp:posOffset>
            </wp:positionV>
            <wp:extent cx="145415" cy="146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45415" cy="14605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-144145</wp:posOffset>
            </wp:positionV>
            <wp:extent cx="128905" cy="1111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8905" cy="11112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-161290</wp:posOffset>
            </wp:positionV>
            <wp:extent cx="171450" cy="1714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62" w:lineRule="exact"/>
        <w:rPr>
          <w:sz w:val="20"/>
          <w:szCs w:val="20"/>
          <w:color w:val="auto"/>
        </w:rPr>
      </w:pPr>
    </w:p>
    <w:tbl>
      <w:tblPr>
        <w:tblLayout w:type="fixed"/>
        <w:tblInd w:w="80" w:type="dxa"/>
        <w:tblCellMar>
          <w:top w:w="0" w:type="dxa"/>
          <w:left w:w="0" w:type="dxa"/>
          <w:bottom w:w="0" w:type="dxa"/>
          <w:right w:w="0" w:type="dxa"/>
        </w:tblCellMar>
      </w:tblPr>
      <w:tr>
        <w:trPr>
          <w:trHeight w:val="251"/>
        </w:trPr>
        <w:tc>
          <w:tcPr>
            <w:tcW w:w="3880" w:type="dxa"/>
            <w:vAlign w:val="bottom"/>
            <w:tcBorders>
              <w:bottom w:val="single" w:sz="8" w:color="F0533D"/>
            </w:tcBorders>
            <w:gridSpan w:val="2"/>
          </w:tcPr>
          <w:p>
            <w:pPr>
              <w:ind w:left="140"/>
              <w:spacing w:after="0"/>
              <w:rPr>
                <w:sz w:val="20"/>
                <w:szCs w:val="20"/>
                <w:color w:val="auto"/>
              </w:rPr>
            </w:pPr>
            <w:r>
              <w:rPr>
                <w:rFonts w:ascii="Arial" w:cs="Arial" w:eastAsia="Arial" w:hAnsi="Arial"/>
                <w:sz w:val="16"/>
                <w:szCs w:val="16"/>
                <w:color w:val="auto"/>
              </w:rPr>
              <w:t>Number of Committee Meetings in fiscal year 2026</w:t>
            </w:r>
          </w:p>
        </w:tc>
        <w:tc>
          <w:tcPr>
            <w:tcW w:w="1960" w:type="dxa"/>
            <w:vAlign w:val="bottom"/>
            <w:tcBorders>
              <w:bottom w:val="single" w:sz="8" w:color="F0533D"/>
            </w:tcBorders>
          </w:tcPr>
          <w:p>
            <w:pPr>
              <w:ind w:left="1040"/>
              <w:spacing w:after="0"/>
              <w:rPr>
                <w:sz w:val="20"/>
                <w:szCs w:val="20"/>
                <w:color w:val="auto"/>
              </w:rPr>
            </w:pPr>
            <w:r>
              <w:rPr>
                <w:rFonts w:ascii="Arial" w:cs="Arial" w:eastAsia="Arial" w:hAnsi="Arial"/>
                <w:sz w:val="16"/>
                <w:szCs w:val="16"/>
                <w:color w:val="auto"/>
              </w:rPr>
              <w:t>13​</w:t>
            </w:r>
          </w:p>
        </w:tc>
        <w:tc>
          <w:tcPr>
            <w:tcW w:w="1480" w:type="dxa"/>
            <w:vAlign w:val="bottom"/>
            <w:tcBorders>
              <w:bottom w:val="single" w:sz="8" w:color="F0533D"/>
            </w:tcBorders>
          </w:tcPr>
          <w:p>
            <w:pPr>
              <w:jc w:val="right"/>
              <w:ind w:right="725"/>
              <w:spacing w:after="0"/>
              <w:rPr>
                <w:sz w:val="20"/>
                <w:szCs w:val="20"/>
                <w:color w:val="auto"/>
              </w:rPr>
            </w:pPr>
            <w:r>
              <w:rPr>
                <w:rFonts w:ascii="Arial" w:cs="Arial" w:eastAsia="Arial" w:hAnsi="Arial"/>
                <w:sz w:val="16"/>
                <w:szCs w:val="16"/>
                <w:color w:val="auto"/>
              </w:rPr>
              <w:t>8</w:t>
            </w:r>
          </w:p>
        </w:tc>
        <w:tc>
          <w:tcPr>
            <w:tcW w:w="1540" w:type="dxa"/>
            <w:vAlign w:val="bottom"/>
            <w:tcBorders>
              <w:bottom w:val="single" w:sz="8" w:color="F0533D"/>
            </w:tcBorders>
          </w:tcPr>
          <w:p>
            <w:pPr>
              <w:jc w:val="right"/>
              <w:ind w:right="559"/>
              <w:spacing w:after="0"/>
              <w:rPr>
                <w:sz w:val="20"/>
                <w:szCs w:val="20"/>
                <w:color w:val="auto"/>
              </w:rPr>
            </w:pPr>
            <w:r>
              <w:rPr>
                <w:rFonts w:ascii="Arial" w:cs="Arial" w:eastAsia="Arial" w:hAnsi="Arial"/>
                <w:sz w:val="16"/>
                <w:szCs w:val="16"/>
                <w:color w:val="auto"/>
              </w:rPr>
              <w:t>3</w:t>
            </w:r>
          </w:p>
        </w:tc>
      </w:tr>
      <w:tr>
        <w:trPr>
          <w:trHeight w:val="351"/>
        </w:trPr>
        <w:tc>
          <w:tcPr>
            <w:tcW w:w="2200" w:type="dxa"/>
            <w:vAlign w:val="bottom"/>
          </w:tcPr>
          <w:p>
            <w:pPr>
              <w:ind w:left="380"/>
              <w:spacing w:after="0"/>
              <w:rPr>
                <w:sz w:val="20"/>
                <w:szCs w:val="20"/>
                <w:color w:val="auto"/>
              </w:rPr>
            </w:pPr>
            <w:r>
              <w:rPr>
                <w:rFonts w:ascii="Arial" w:cs="Arial" w:eastAsia="Arial" w:hAnsi="Arial"/>
                <w:sz w:val="14"/>
                <w:szCs w:val="14"/>
                <w:color w:val="auto"/>
              </w:rPr>
              <w:t>Lead Independent Director</w:t>
            </w:r>
          </w:p>
        </w:tc>
        <w:tc>
          <w:tcPr>
            <w:tcW w:w="1680" w:type="dxa"/>
            <w:vAlign w:val="bottom"/>
          </w:tcPr>
          <w:p>
            <w:pPr>
              <w:ind w:left="500"/>
              <w:spacing w:after="0"/>
              <w:rPr>
                <w:sz w:val="20"/>
                <w:szCs w:val="20"/>
                <w:color w:val="auto"/>
              </w:rPr>
            </w:pPr>
            <w:r>
              <w:rPr>
                <w:rFonts w:ascii="Arial" w:cs="Arial" w:eastAsia="Arial" w:hAnsi="Arial"/>
                <w:sz w:val="14"/>
                <w:szCs w:val="14"/>
                <w:color w:val="auto"/>
              </w:rPr>
              <w:t>Committee Chair</w:t>
            </w:r>
          </w:p>
        </w:tc>
        <w:tc>
          <w:tcPr>
            <w:tcW w:w="1960" w:type="dxa"/>
            <w:vAlign w:val="bottom"/>
          </w:tcPr>
          <w:p>
            <w:pPr>
              <w:ind w:left="580"/>
              <w:spacing w:after="0"/>
              <w:rPr>
                <w:sz w:val="20"/>
                <w:szCs w:val="20"/>
                <w:color w:val="auto"/>
              </w:rPr>
            </w:pPr>
            <w:r>
              <w:rPr>
                <w:rFonts w:ascii="Arial" w:cs="Arial" w:eastAsia="Arial" w:hAnsi="Arial"/>
                <w:sz w:val="14"/>
                <w:szCs w:val="14"/>
                <w:color w:val="auto"/>
              </w:rPr>
              <w:t>Committee Member</w:t>
            </w:r>
          </w:p>
        </w:tc>
        <w:tc>
          <w:tcPr>
            <w:tcW w:w="3020" w:type="dxa"/>
            <w:vAlign w:val="bottom"/>
            <w:gridSpan w:val="2"/>
          </w:tcPr>
          <w:p>
            <w:pPr>
              <w:jc w:val="right"/>
              <w:ind w:right="299"/>
              <w:spacing w:after="0"/>
              <w:rPr>
                <w:sz w:val="20"/>
                <w:szCs w:val="20"/>
                <w:color w:val="auto"/>
              </w:rPr>
            </w:pPr>
            <w:r>
              <w:rPr>
                <w:rFonts w:ascii="Arial" w:cs="Arial" w:eastAsia="Arial" w:hAnsi="Arial"/>
                <w:sz w:val="14"/>
                <w:szCs w:val="14"/>
                <w:color w:val="auto"/>
              </w:rPr>
              <w:t>Audit Committee Financial Expert</w:t>
            </w:r>
          </w:p>
        </w:tc>
      </w:tr>
      <w:tr>
        <w:trPr>
          <w:trHeight w:val="235"/>
        </w:trPr>
        <w:tc>
          <w:tcPr>
            <w:tcW w:w="2200" w:type="dxa"/>
            <w:vAlign w:val="bottom"/>
          </w:tcPr>
          <w:p>
            <w:pPr>
              <w:spacing w:after="0"/>
              <w:rPr>
                <w:sz w:val="20"/>
                <w:szCs w:val="20"/>
                <w:color w:val="auto"/>
              </w:rPr>
            </w:pPr>
            <w:r>
              <w:rPr>
                <w:rFonts w:ascii="Arial" w:cs="Arial" w:eastAsia="Arial" w:hAnsi="Arial"/>
                <w:sz w:val="14"/>
                <w:szCs w:val="14"/>
                <w:color w:val="auto"/>
              </w:rPr>
              <w:t xml:space="preserve">  </w:t>
            </w:r>
          </w:p>
        </w:tc>
        <w:tc>
          <w:tcPr>
            <w:tcW w:w="1680" w:type="dxa"/>
            <w:vAlign w:val="bottom"/>
          </w:tcPr>
          <w:p>
            <w:pPr>
              <w:ind w:left="100"/>
              <w:spacing w:after="0"/>
              <w:rPr>
                <w:sz w:val="20"/>
                <w:szCs w:val="20"/>
                <w:color w:val="auto"/>
              </w:rPr>
            </w:pPr>
            <w:r>
              <w:rPr>
                <w:rFonts w:ascii="Arial" w:cs="Arial" w:eastAsia="Arial" w:hAnsi="Arial"/>
                <w:sz w:val="14"/>
                <w:szCs w:val="14"/>
                <w:color w:val="auto"/>
              </w:rPr>
              <w:t xml:space="preserve">  </w:t>
            </w:r>
          </w:p>
        </w:tc>
        <w:tc>
          <w:tcPr>
            <w:tcW w:w="1960" w:type="dxa"/>
            <w:vAlign w:val="bottom"/>
          </w:tcPr>
          <w:p>
            <w:pPr>
              <w:ind w:left="100"/>
              <w:spacing w:after="0"/>
              <w:rPr>
                <w:sz w:val="20"/>
                <w:szCs w:val="20"/>
                <w:color w:val="auto"/>
              </w:rPr>
            </w:pPr>
            <w:r>
              <w:rPr>
                <w:rFonts w:ascii="Arial" w:cs="Arial" w:eastAsia="Arial" w:hAnsi="Arial"/>
                <w:sz w:val="14"/>
                <w:szCs w:val="14"/>
                <w:color w:val="auto"/>
              </w:rPr>
              <w:t xml:space="preserve">  </w:t>
            </w:r>
          </w:p>
        </w:tc>
        <w:tc>
          <w:tcPr>
            <w:tcW w:w="1480" w:type="dxa"/>
            <w:vAlign w:val="bottom"/>
          </w:tcPr>
          <w:p>
            <w:pPr>
              <w:jc w:val="right"/>
              <w:ind w:right="1265"/>
              <w:spacing w:after="0"/>
              <w:rPr>
                <w:sz w:val="20"/>
                <w:szCs w:val="20"/>
                <w:color w:val="auto"/>
              </w:rPr>
            </w:pPr>
            <w:r>
              <w:rPr>
                <w:rFonts w:ascii="Arial" w:cs="Arial" w:eastAsia="Arial" w:hAnsi="Arial"/>
                <w:sz w:val="14"/>
                <w:szCs w:val="14"/>
                <w:color w:val="auto"/>
              </w:rPr>
              <w:t> </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-260350</wp:posOffset>
            </wp:positionV>
            <wp:extent cx="128905" cy="1282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-260350</wp:posOffset>
            </wp:positionV>
            <wp:extent cx="145415" cy="1454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5415" cy="14541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-285750</wp:posOffset>
            </wp:positionV>
            <wp:extent cx="171450" cy="171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-260350</wp:posOffset>
            </wp:positionV>
            <wp:extent cx="111125" cy="11112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111125"/>
                    </a:xfrm>
                    <a:prstGeom prst="rect">
                      <a:avLst/>
                    </a:prstGeom>
                    <a:noFill/>
                  </pic:spPr>
                </pic:pic>
              </a:graphicData>
            </a:graphic>
          </wp:anchor>
        </w:drawing>
      </w:r>
    </w:p>
    <w:p>
      <w:pPr>
        <w:spacing w:after="0" w:line="155" w:lineRule="exact"/>
        <w:rPr>
          <w:sz w:val="20"/>
          <w:szCs w:val="20"/>
          <w:color w:val="auto"/>
        </w:rPr>
      </w:pPr>
    </w:p>
    <w:p>
      <w:pPr>
        <w:ind w:left="80" w:right="279"/>
        <w:spacing w:after="0" w:line="249" w:lineRule="auto"/>
        <w:rPr>
          <w:sz w:val="20"/>
          <w:szCs w:val="20"/>
          <w:color w:val="auto"/>
        </w:rPr>
      </w:pPr>
      <w:r>
        <w:rPr>
          <w:rFonts w:ascii="Arial" w:cs="Arial" w:eastAsia="Arial" w:hAnsi="Arial"/>
          <w:sz w:val="17"/>
          <w:szCs w:val="17"/>
          <w:color w:val="auto"/>
        </w:rPr>
        <w:t xml:space="preserve">Each committee reviews its charter at least annually to ensure such charters reflect evolving trends and best practices. The charter of each committee can be found on our Investor Relations website, </w:t>
      </w:r>
      <w:r>
        <w:rPr>
          <w:rFonts w:ascii="Arial" w:cs="Arial" w:eastAsia="Arial" w:hAnsi="Arial"/>
          <w:sz w:val="17"/>
          <w:szCs w:val="17"/>
          <w:b w:val="1"/>
          <w:bCs w:val="1"/>
          <w:i w:val="1"/>
          <w:iCs w:val="1"/>
          <w:color w:val="auto"/>
        </w:rPr>
        <w:t>investors.kyndryl.com</w:t>
      </w:r>
      <w:r>
        <w:rPr>
          <w:rFonts w:ascii="Arial" w:cs="Arial" w:eastAsia="Arial" w:hAnsi="Arial"/>
          <w:sz w:val="17"/>
          <w:szCs w:val="17"/>
          <w:color w:val="auto"/>
        </w:rPr>
        <w:t>, under Corporate Responsibility: Governance: Governance Documents: Committee Charters.</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2794635" cy="532320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794635" cy="5323205"/>
                    </a:xfrm>
                    <a:prstGeom prst="rect">
                      <a:avLst/>
                    </a:prstGeom>
                    <a:noFill/>
                  </pic:spPr>
                </pic:pic>
              </a:graphicData>
            </a:graphic>
          </wp:anchor>
        </w:drawing>
      </w:r>
    </w:p>
    <w:p>
      <w:pPr>
        <w:spacing w:after="0" w:line="104" w:lineRule="exact"/>
        <w:rPr>
          <w:sz w:val="20"/>
          <w:szCs w:val="20"/>
          <w:color w:val="auto"/>
        </w:rPr>
      </w:pPr>
    </w:p>
    <w:p>
      <w:pPr>
        <w:ind w:left="80"/>
        <w:spacing w:after="0"/>
        <w:rPr>
          <w:sz w:val="20"/>
          <w:szCs w:val="20"/>
          <w:color w:val="auto"/>
        </w:rPr>
      </w:pPr>
      <w:r>
        <w:rPr>
          <w:sz w:val="1"/>
          <w:szCs w:val="1"/>
          <w:color w:val="auto"/>
        </w:rPr>
        <w:drawing>
          <wp:inline distT="0" distB="0" distL="0" distR="0">
            <wp:extent cx="94615" cy="231775"/>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4615" cy="231775"/>
                    </a:xfrm>
                    <a:prstGeom prst="rect">
                      <a:avLst/>
                    </a:prstGeom>
                    <a:noFill/>
                    <a:ln>
                      <a:noFill/>
                    </a:ln>
                  </pic:spPr>
                </pic:pic>
              </a:graphicData>
            </a:graphic>
          </wp:inline>
        </w:drawing>
      </w:r>
      <w:r>
        <w:rPr>
          <w:rFonts w:ascii="Arial" w:cs="Arial" w:eastAsia="Arial" w:hAnsi="Arial"/>
          <w:sz w:val="18"/>
          <w:szCs w:val="18"/>
          <w:b w:val="1"/>
          <w:bCs w:val="1"/>
          <w:color w:val="FFFFFF"/>
        </w:rPr>
        <w:t xml:space="preserve"> AUDIT COMMITTEE</w:t>
      </w:r>
    </w:p>
    <w:p>
      <w:pPr>
        <w:spacing w:after="0" w:line="18"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0533D"/>
        </w:rPr>
        <w:t>Members and Qualifications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DOMINIC J. CARUSO — CHAIR</w:t>
      </w:r>
    </w:p>
    <w:p>
      <w:pPr>
        <w:spacing w:after="0" w:line="77" w:lineRule="exact"/>
        <w:rPr>
          <w:sz w:val="20"/>
          <w:szCs w:val="20"/>
          <w:color w:val="auto"/>
        </w:rPr>
      </w:pPr>
    </w:p>
    <w:p>
      <w:pPr>
        <w:ind w:left="1600"/>
        <w:spacing w:after="0" w:line="227" w:lineRule="auto"/>
        <w:rPr>
          <w:sz w:val="20"/>
          <w:szCs w:val="20"/>
          <w:color w:val="auto"/>
        </w:rPr>
      </w:pPr>
      <w:r>
        <w:rPr>
          <w:rFonts w:ascii="Arial" w:cs="Arial" w:eastAsia="Arial" w:hAnsi="Arial"/>
          <w:sz w:val="17"/>
          <w:szCs w:val="17"/>
          <w:i w:val="1"/>
          <w:iCs w:val="1"/>
          <w:color w:val="auto"/>
        </w:rPr>
        <w:t>Mr. Caruso has many years of experience as a public company chief financial officer, including direct involvement in the preparation of financial statements and setting financial disclosure policy, and as a</w:t>
      </w:r>
    </w:p>
    <w:p>
      <w:pPr>
        <w:ind w:left="480"/>
        <w:spacing w:after="0" w:line="180" w:lineRule="auto"/>
        <w:tabs>
          <w:tab w:leader="none" w:pos="1580" w:val="left"/>
        </w:tabs>
        <w:rPr>
          <w:sz w:val="20"/>
          <w:szCs w:val="20"/>
          <w:color w:val="auto"/>
        </w:rPr>
      </w:pPr>
      <w:r>
        <w:rPr>
          <w:rFonts w:ascii="Arial" w:cs="Arial" w:eastAsia="Arial" w:hAnsi="Arial"/>
          <w:sz w:val="24"/>
          <w:szCs w:val="24"/>
          <w:color w:val="auto"/>
          <w:vertAlign w:val="superscript"/>
        </w:rPr>
        <w:t> </w:t>
      </w:r>
      <w:r>
        <w:rPr>
          <w:sz w:val="20"/>
          <w:szCs w:val="20"/>
          <w:color w:val="auto"/>
        </w:rPr>
        <w:tab/>
      </w:r>
      <w:r>
        <w:rPr>
          <w:rFonts w:ascii="Arial" w:cs="Arial" w:eastAsia="Arial" w:hAnsi="Arial"/>
          <w:sz w:val="14"/>
          <w:szCs w:val="14"/>
          <w:i w:val="1"/>
          <w:iCs w:val="1"/>
          <w:color w:val="auto"/>
        </w:rPr>
        <w:t>chair of another public company</w:t>
      </w:r>
    </w:p>
    <w:p>
      <w:pPr>
        <w:spacing w:after="0" w:line="14"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audit committee.</w:t>
      </w:r>
    </w:p>
    <w:p>
      <w:pPr>
        <w:ind w:left="1600"/>
        <w:spacing w:after="0"/>
        <w:rPr>
          <w:sz w:val="20"/>
          <w:szCs w:val="20"/>
          <w:color w:val="auto"/>
        </w:rPr>
      </w:pPr>
      <w:r>
        <w:rPr>
          <w:rFonts w:ascii="Arial" w:cs="Arial" w:eastAsia="Arial" w:hAnsi="Arial"/>
          <w:sz w:val="17"/>
          <w:szCs w:val="17"/>
          <w:color w:val="auto"/>
        </w:rPr>
        <w:t> </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DENIS MACHUEL</w:t>
      </w:r>
    </w:p>
    <w:p>
      <w:pPr>
        <w:spacing w:after="0" w:line="77" w:lineRule="exact"/>
        <w:rPr>
          <w:sz w:val="20"/>
          <w:szCs w:val="20"/>
          <w:color w:val="auto"/>
        </w:rPr>
      </w:pPr>
    </w:p>
    <w:p>
      <w:pPr>
        <w:ind w:left="1600" w:right="320"/>
        <w:spacing w:after="0" w:line="218" w:lineRule="auto"/>
        <w:rPr>
          <w:sz w:val="20"/>
          <w:szCs w:val="20"/>
          <w:color w:val="auto"/>
        </w:rPr>
      </w:pPr>
      <w:r>
        <w:rPr>
          <w:rFonts w:ascii="Arial" w:cs="Arial" w:eastAsia="Arial" w:hAnsi="Arial"/>
          <w:sz w:val="17"/>
          <w:szCs w:val="17"/>
          <w:i w:val="1"/>
          <w:iCs w:val="1"/>
          <w:color w:val="auto"/>
        </w:rPr>
        <w:t>Mr. Machuel, in his role as chief executive officer, has valuable experience overseeing a chief financial officer and the financial reporting process of public companies.</w:t>
      </w:r>
    </w:p>
    <w:p>
      <w:pPr>
        <w:ind w:left="480"/>
        <w:spacing w:after="0" w:line="184" w:lineRule="auto"/>
        <w:tabs>
          <w:tab w:leader="none" w:pos="1580" w:val="left"/>
        </w:tabs>
        <w:rPr>
          <w:sz w:val="20"/>
          <w:szCs w:val="20"/>
          <w:color w:val="auto"/>
        </w:rPr>
      </w:pPr>
      <w:r>
        <w:rPr>
          <w:rFonts w:ascii="Arial" w:cs="Arial" w:eastAsia="Arial" w:hAnsi="Arial"/>
          <w:sz w:val="17"/>
          <w:szCs w:val="17"/>
          <w:color w:val="auto"/>
        </w:rPr>
        <w:t xml:space="preserve">  </w:t>
      </w:r>
      <w:r>
        <w:rPr>
          <w:sz w:val="20"/>
          <w:szCs w:val="20"/>
          <w:color w:val="auto"/>
        </w:rPr>
        <w:tab/>
      </w:r>
      <w:r>
        <w:rPr>
          <w:rFonts w:ascii="Arial" w:cs="Arial" w:eastAsia="Arial" w:hAnsi="Arial"/>
          <w:sz w:val="33"/>
          <w:szCs w:val="33"/>
          <w:color w:val="auto"/>
          <w:vertAlign w:val="subscript"/>
        </w:rPr>
        <w:t> </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RAHUL N. MERCHANT</w:t>
      </w:r>
    </w:p>
    <w:p>
      <w:pPr>
        <w:spacing w:after="0" w:line="77" w:lineRule="exact"/>
        <w:rPr>
          <w:sz w:val="20"/>
          <w:szCs w:val="20"/>
          <w:color w:val="auto"/>
        </w:rPr>
      </w:pPr>
    </w:p>
    <w:p>
      <w:pPr>
        <w:ind w:left="1600" w:right="100"/>
        <w:spacing w:after="0" w:line="235" w:lineRule="auto"/>
        <w:rPr>
          <w:sz w:val="20"/>
          <w:szCs w:val="20"/>
          <w:color w:val="auto"/>
        </w:rPr>
      </w:pPr>
      <w:r>
        <w:rPr>
          <w:rFonts w:ascii="Arial" w:cs="Arial" w:eastAsia="Arial" w:hAnsi="Arial"/>
          <w:sz w:val="17"/>
          <w:szCs w:val="17"/>
          <w:i w:val="1"/>
          <w:iCs w:val="1"/>
          <w:color w:val="auto"/>
        </w:rPr>
        <w:t>Mr. Merchant has many years of experience in the financial services industry, as well as prior service as the chair of the audit committee of another public company board.</w:t>
      </w:r>
    </w:p>
    <w:p>
      <w:pPr>
        <w:ind w:left="1600"/>
        <w:spacing w:after="0" w:line="192" w:lineRule="auto"/>
        <w:rPr>
          <w:sz w:val="20"/>
          <w:szCs w:val="20"/>
          <w:color w:val="auto"/>
        </w:rPr>
      </w:pPr>
      <w:r>
        <w:rPr>
          <w:rFonts w:ascii="Arial" w:cs="Arial" w:eastAsia="Arial" w:hAnsi="Arial"/>
          <w:sz w:val="17"/>
          <w:szCs w:val="17"/>
          <w:i w:val="1"/>
          <w:iCs w:val="1"/>
          <w:color w:val="auto"/>
        </w:rPr>
        <w:t>Mr. Merchant has technology, digital</w:t>
      </w:r>
    </w:p>
    <w:p>
      <w:pPr>
        <w:ind w:left="1600" w:right="180" w:hanging="1119"/>
        <w:spacing w:after="0" w:line="184" w:lineRule="auto"/>
        <w:tabs>
          <w:tab w:leader="none" w:pos="1580" w:val="left"/>
        </w:tabs>
        <w:rPr>
          <w:sz w:val="20"/>
          <w:szCs w:val="20"/>
          <w:color w:val="auto"/>
        </w:rPr>
      </w:pPr>
      <w:r>
        <w:rPr>
          <w:rFonts w:ascii="Arial" w:cs="Arial" w:eastAsia="Arial" w:hAnsi="Arial"/>
          <w:sz w:val="34"/>
          <w:szCs w:val="34"/>
          <w:color w:val="auto"/>
          <w:vertAlign w:val="superscript"/>
        </w:rPr>
        <w:t xml:space="preserve">  </w:t>
      </w:r>
      <w:r>
        <w:rPr>
          <w:sz w:val="20"/>
          <w:szCs w:val="20"/>
          <w:color w:val="auto"/>
        </w:rPr>
        <w:tab/>
      </w:r>
      <w:r>
        <w:rPr>
          <w:rFonts w:ascii="Arial" w:cs="Arial" w:eastAsia="Arial" w:hAnsi="Arial"/>
          <w:sz w:val="17"/>
          <w:szCs w:val="17"/>
          <w:i w:val="1"/>
          <w:iCs w:val="1"/>
          <w:color w:val="auto"/>
        </w:rPr>
        <w:t>and cybersecurity experience through his roles as CIO and CTO at major financial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 </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Key Responsibilities and Oversight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-366395</wp:posOffset>
            </wp:positionV>
            <wp:extent cx="2828925" cy="2317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28925" cy="231775"/>
                    </a:xfrm>
                    <a:prstGeom prst="rect">
                      <a:avLst/>
                    </a:prstGeom>
                    <a:noFill/>
                  </pic:spPr>
                </pic:pic>
              </a:graphicData>
            </a:graphic>
          </wp:anchor>
        </w:drawing>
      </w:r>
    </w:p>
    <w:p>
      <w:pPr>
        <w:spacing w:after="0" w:line="55" w:lineRule="exact"/>
        <w:rPr>
          <w:sz w:val="20"/>
          <w:szCs w:val="20"/>
          <w:color w:val="auto"/>
        </w:rPr>
      </w:pPr>
    </w:p>
    <w:p>
      <w:pPr>
        <w:ind w:right="279"/>
        <w:spacing w:after="0" w:line="238" w:lineRule="auto"/>
        <w:rPr>
          <w:sz w:val="20"/>
          <w:szCs w:val="20"/>
          <w:color w:val="auto"/>
        </w:rPr>
      </w:pPr>
      <w:r>
        <w:rPr>
          <w:rFonts w:ascii="Arial" w:cs="Arial" w:eastAsia="Arial" w:hAnsi="Arial"/>
          <w:sz w:val="17"/>
          <w:szCs w:val="17"/>
          <w:color w:val="auto"/>
        </w:rPr>
        <w:t>The Committee is responsible for overseeing reports of our financial results, audit reporting, internal controls, adherence to our Code of Conduct and compliance with applicable laws and regulations. Concurrent with that responsibility, as set out more fully in the Committee’s Charter, the Committee has other key responsibilities, including:</w:t>
      </w:r>
    </w:p>
    <w:p>
      <w:pPr>
        <w:spacing w:after="0" w:line="74" w:lineRule="exact"/>
        <w:rPr>
          <w:sz w:val="20"/>
          <w:szCs w:val="20"/>
          <w:color w:val="auto"/>
        </w:rPr>
      </w:pPr>
    </w:p>
    <w:p>
      <w:pPr>
        <w:ind w:left="320" w:right="51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selecting the independent registered public</w:t>
      </w:r>
      <w:r>
        <w:rPr>
          <w:rFonts w:ascii="Arial" w:cs="Arial" w:eastAsia="Arial" w:hAnsi="Arial"/>
          <w:sz w:val="17"/>
          <w:szCs w:val="17"/>
          <w:color w:val="F0533D"/>
        </w:rPr>
        <w:t xml:space="preserve"> </w:t>
      </w:r>
      <w:r>
        <w:rPr>
          <w:rFonts w:ascii="Arial" w:cs="Arial" w:eastAsia="Arial" w:hAnsi="Arial"/>
          <w:sz w:val="17"/>
          <w:szCs w:val="17"/>
          <w:color w:val="000000"/>
        </w:rPr>
        <w:t>accounting firm, approving all related fees and compensation, overseeing such firm’s work and reviewing its selection with the Board;</w:t>
      </w:r>
    </w:p>
    <w:p>
      <w:pPr>
        <w:spacing w:after="0" w:line="69" w:lineRule="exact"/>
        <w:rPr>
          <w:sz w:val="20"/>
          <w:szCs w:val="20"/>
          <w:color w:val="auto"/>
        </w:rPr>
      </w:pPr>
    </w:p>
    <w:p>
      <w:pPr>
        <w:ind w:left="320" w:right="25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preapproving the proposed services to be provided</w:t>
      </w:r>
      <w:r>
        <w:rPr>
          <w:rFonts w:ascii="Arial" w:cs="Arial" w:eastAsia="Arial" w:hAnsi="Arial"/>
          <w:sz w:val="17"/>
          <w:szCs w:val="17"/>
          <w:color w:val="F0533D"/>
        </w:rPr>
        <w:t xml:space="preserve"> </w:t>
      </w:r>
      <w:r>
        <w:rPr>
          <w:rFonts w:ascii="Arial" w:cs="Arial" w:eastAsia="Arial" w:hAnsi="Arial"/>
          <w:sz w:val="17"/>
          <w:szCs w:val="17"/>
          <w:color w:val="000000"/>
        </w:rPr>
        <w:t>by the independent registered public accounting firm;</w:t>
      </w:r>
    </w:p>
    <w:p>
      <w:pPr>
        <w:spacing w:after="0" w:line="67" w:lineRule="exact"/>
        <w:rPr>
          <w:sz w:val="20"/>
          <w:szCs w:val="20"/>
          <w:color w:val="auto"/>
        </w:rPr>
      </w:pPr>
    </w:p>
    <w:p>
      <w:pPr>
        <w:ind w:left="320" w:right="31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the procedures of the independent</w:t>
      </w:r>
      <w:r>
        <w:rPr>
          <w:rFonts w:ascii="Arial" w:cs="Arial" w:eastAsia="Arial" w:hAnsi="Arial"/>
          <w:sz w:val="17"/>
          <w:szCs w:val="17"/>
          <w:color w:val="F0533D"/>
        </w:rPr>
        <w:t xml:space="preserve"> </w:t>
      </w:r>
      <w:r>
        <w:rPr>
          <w:rFonts w:ascii="Arial" w:cs="Arial" w:eastAsia="Arial" w:hAnsi="Arial"/>
          <w:sz w:val="17"/>
          <w:szCs w:val="17"/>
          <w:color w:val="000000"/>
        </w:rPr>
        <w:t>registered public accounting firm to ensure its independence and other qualifications for services performed for us;</w:t>
      </w:r>
    </w:p>
    <w:p>
      <w:pPr>
        <w:spacing w:after="0" w:line="69" w:lineRule="exact"/>
        <w:rPr>
          <w:sz w:val="20"/>
          <w:szCs w:val="20"/>
          <w:color w:val="auto"/>
        </w:rPr>
      </w:pPr>
    </w:p>
    <w:p>
      <w:pPr>
        <w:ind w:left="320" w:right="29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any significant changes in accounting</w:t>
      </w:r>
      <w:r>
        <w:rPr>
          <w:rFonts w:ascii="Arial" w:cs="Arial" w:eastAsia="Arial" w:hAnsi="Arial"/>
          <w:sz w:val="17"/>
          <w:szCs w:val="17"/>
          <w:color w:val="F0533D"/>
        </w:rPr>
        <w:t xml:space="preserve"> </w:t>
      </w:r>
      <w:r>
        <w:rPr>
          <w:rFonts w:ascii="Arial" w:cs="Arial" w:eastAsia="Arial" w:hAnsi="Arial"/>
          <w:sz w:val="17"/>
          <w:szCs w:val="17"/>
          <w:color w:val="000000"/>
        </w:rPr>
        <w:t>principles or developments in accounting practices and the effects of those changes on our financial reporting;</w:t>
      </w:r>
    </w:p>
    <w:p>
      <w:pPr>
        <w:spacing w:after="0" w:line="69" w:lineRule="exact"/>
        <w:rPr>
          <w:sz w:val="20"/>
          <w:szCs w:val="20"/>
          <w:color w:val="auto"/>
        </w:rPr>
      </w:pPr>
    </w:p>
    <w:p>
      <w:pPr>
        <w:ind w:left="320" w:right="379"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assessing the effectiveness of our internal audit</w:t>
      </w:r>
      <w:r>
        <w:rPr>
          <w:rFonts w:ascii="Arial" w:cs="Arial" w:eastAsia="Arial" w:hAnsi="Arial"/>
          <w:sz w:val="17"/>
          <w:szCs w:val="17"/>
          <w:color w:val="F0533D"/>
        </w:rPr>
        <w:t xml:space="preserve"> </w:t>
      </w:r>
      <w:r>
        <w:rPr>
          <w:rFonts w:ascii="Arial" w:cs="Arial" w:eastAsia="Arial" w:hAnsi="Arial"/>
          <w:sz w:val="17"/>
          <w:szCs w:val="17"/>
          <w:color w:val="000000"/>
        </w:rPr>
        <w:t>function and overseeing the adequacy of internal controls, key controls and processes in specific areas, including cybersecurity, and enterprise risk management processes;</w:t>
      </w:r>
    </w:p>
    <w:p>
      <w:pPr>
        <w:spacing w:after="0" w:line="72" w:lineRule="exact"/>
        <w:rPr>
          <w:sz w:val="20"/>
          <w:szCs w:val="20"/>
          <w:color w:val="auto"/>
        </w:rPr>
      </w:pPr>
    </w:p>
    <w:p>
      <w:pPr>
        <w:ind w:left="320" w:right="259" w:hanging="154"/>
        <w:spacing w:after="0" w:line="244"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overseeing the Company’s efforts to develop and</w:t>
      </w:r>
      <w:r>
        <w:rPr>
          <w:rFonts w:ascii="Arial" w:cs="Arial" w:eastAsia="Arial" w:hAnsi="Arial"/>
          <w:sz w:val="17"/>
          <w:szCs w:val="17"/>
          <w:color w:val="F0533D"/>
        </w:rPr>
        <w:t xml:space="preserve"> </w:t>
      </w:r>
      <w:r>
        <w:rPr>
          <w:rFonts w:ascii="Arial" w:cs="Arial" w:eastAsia="Arial" w:hAnsi="Arial"/>
          <w:sz w:val="17"/>
          <w:szCs w:val="17"/>
          <w:color w:val="000000"/>
        </w:rPr>
        <w:t>implement policies, procedures and strategies for identifying, managing and monitoring cybersecurity and data privacy matters; and</w:t>
      </w:r>
    </w:p>
    <w:p>
      <w:pPr>
        <w:spacing w:after="0" w:line="69" w:lineRule="exact"/>
        <w:rPr>
          <w:sz w:val="20"/>
          <w:szCs w:val="20"/>
          <w:color w:val="auto"/>
        </w:rPr>
      </w:pPr>
    </w:p>
    <w:p>
      <w:pPr>
        <w:ind w:left="320" w:right="359"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meeting with management prior to each quarterly</w:t>
      </w:r>
      <w:r>
        <w:rPr>
          <w:rFonts w:ascii="Arial" w:cs="Arial" w:eastAsia="Arial" w:hAnsi="Arial"/>
          <w:sz w:val="17"/>
          <w:szCs w:val="17"/>
          <w:color w:val="F0533D"/>
        </w:rPr>
        <w:t xml:space="preserve"> </w:t>
      </w:r>
      <w:r>
        <w:rPr>
          <w:rFonts w:ascii="Arial" w:cs="Arial" w:eastAsia="Arial" w:hAnsi="Arial"/>
          <w:sz w:val="17"/>
          <w:szCs w:val="17"/>
          <w:color w:val="000000"/>
        </w:rPr>
        <w:t>earnings release and periodically to discuss the approach to earnings press releases and the type of financial information and earnings guidance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496570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360" w:space="220"/>
            <w:col w:w="4439"/>
          </w:cols>
          <w:pgMar w:left="1440" w:top="114" w:right="1440" w:bottom="1440" w:gutter="0" w:footer="0" w:header="0"/>
        </w:sectPr>
      </w:pPr>
    </w:p>
    <w:bookmarkStart w:id="31" w:name="page32"/>
    <w:bookmarkEnd w:id="3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2794635" cy="52717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94635" cy="5271770"/>
                    </a:xfrm>
                    <a:prstGeom prst="rect">
                      <a:avLst/>
                    </a:prstGeom>
                    <a:noFill/>
                  </pic:spPr>
                </pic:pic>
              </a:graphicData>
            </a:graphic>
          </wp:anchor>
        </w:drawing>
      </w:r>
    </w:p>
    <w:p>
      <w:pPr>
        <w:spacing w:after="0" w:line="231" w:lineRule="exact"/>
        <w:rPr>
          <w:sz w:val="20"/>
          <w:szCs w:val="20"/>
          <w:color w:val="auto"/>
        </w:rPr>
      </w:pPr>
    </w:p>
    <w:p>
      <w:pPr>
        <w:ind w:left="320" w:right="1120"/>
        <w:spacing w:after="0" w:line="281" w:lineRule="auto"/>
        <w:rPr>
          <w:sz w:val="20"/>
          <w:szCs w:val="20"/>
          <w:color w:val="auto"/>
        </w:rPr>
      </w:pPr>
      <w:r>
        <w:rPr>
          <w:rFonts w:ascii="Arial" w:cs="Arial" w:eastAsia="Arial" w:hAnsi="Arial"/>
          <w:sz w:val="18"/>
          <w:szCs w:val="18"/>
          <w:b w:val="1"/>
          <w:bCs w:val="1"/>
          <w:color w:val="FFFFFF"/>
        </w:rPr>
        <w:t>NOMINATING AND GOVERNANCE COMMITTEE</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0533D"/>
        </w:rPr>
        <w:t>Members and Qualifications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STEPHEN A.M. HESTER — CHAIR</w:t>
      </w:r>
    </w:p>
    <w:p>
      <w:pPr>
        <w:spacing w:after="0" w:line="77" w:lineRule="exact"/>
        <w:rPr>
          <w:sz w:val="20"/>
          <w:szCs w:val="20"/>
          <w:color w:val="auto"/>
        </w:rPr>
      </w:pPr>
    </w:p>
    <w:p>
      <w:pPr>
        <w:ind w:left="1600"/>
        <w:spacing w:after="0" w:line="227" w:lineRule="auto"/>
        <w:rPr>
          <w:sz w:val="20"/>
          <w:szCs w:val="20"/>
          <w:color w:val="auto"/>
        </w:rPr>
      </w:pPr>
      <w:r>
        <w:rPr>
          <w:rFonts w:ascii="Arial" w:cs="Arial" w:eastAsia="Arial" w:hAnsi="Arial"/>
          <w:sz w:val="17"/>
          <w:szCs w:val="17"/>
          <w:i w:val="1"/>
          <w:iCs w:val="1"/>
          <w:color w:val="auto"/>
        </w:rPr>
        <w:t>Sir Stephen Hester has valuable international governance experience gained through serving as the chief executive officer of public companies in Europe and serving as a member of multiple public</w:t>
      </w:r>
    </w:p>
    <w:p>
      <w:pPr>
        <w:spacing w:after="0" w:line="4" w:lineRule="exact"/>
        <w:rPr>
          <w:sz w:val="20"/>
          <w:szCs w:val="20"/>
          <w:color w:val="auto"/>
        </w:rPr>
      </w:pPr>
    </w:p>
    <w:p>
      <w:pPr>
        <w:ind w:left="1600" w:right="500" w:hanging="1119"/>
        <w:spacing w:after="0" w:line="185" w:lineRule="auto"/>
        <w:tabs>
          <w:tab w:leader="none" w:pos="1580" w:val="left"/>
        </w:tabs>
        <w:rPr>
          <w:sz w:val="20"/>
          <w:szCs w:val="20"/>
          <w:color w:val="auto"/>
        </w:rPr>
      </w:pPr>
      <w:r>
        <w:rPr>
          <w:rFonts w:ascii="Arial" w:cs="Arial" w:eastAsia="Arial" w:hAnsi="Arial"/>
          <w:sz w:val="29"/>
          <w:szCs w:val="29"/>
          <w:color w:val="auto"/>
          <w:vertAlign w:val="superscript"/>
        </w:rPr>
        <w:t> </w:t>
      </w:r>
      <w:r>
        <w:rPr>
          <w:sz w:val="20"/>
          <w:szCs w:val="20"/>
          <w:color w:val="auto"/>
        </w:rPr>
        <w:tab/>
      </w:r>
      <w:r>
        <w:rPr>
          <w:rFonts w:ascii="Arial" w:cs="Arial" w:eastAsia="Arial" w:hAnsi="Arial"/>
          <w:sz w:val="15"/>
          <w:szCs w:val="15"/>
          <w:i w:val="1"/>
          <w:iCs w:val="1"/>
          <w:color w:val="auto"/>
        </w:rPr>
        <w:t>company boards in the role of chairman.</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 </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JOHN D. HARRIS II</w:t>
      </w:r>
    </w:p>
    <w:p>
      <w:pPr>
        <w:spacing w:after="0" w:line="77" w:lineRule="exact"/>
        <w:rPr>
          <w:sz w:val="20"/>
          <w:szCs w:val="20"/>
          <w:color w:val="auto"/>
        </w:rPr>
      </w:pPr>
    </w:p>
    <w:p>
      <w:pPr>
        <w:ind w:left="1600" w:right="20"/>
        <w:spacing w:after="0" w:line="227" w:lineRule="auto"/>
        <w:rPr>
          <w:sz w:val="20"/>
          <w:szCs w:val="20"/>
          <w:color w:val="auto"/>
        </w:rPr>
      </w:pPr>
      <w:r>
        <w:rPr>
          <w:rFonts w:ascii="Arial" w:cs="Arial" w:eastAsia="Arial" w:hAnsi="Arial"/>
          <w:sz w:val="17"/>
          <w:szCs w:val="17"/>
          <w:i w:val="1"/>
          <w:iCs w:val="1"/>
          <w:color w:val="auto"/>
        </w:rPr>
        <w:t>Mr. Harris has governance experience, including at a global technology company, gained through serving a wide range of roles, including as the head of business development and the CEO</w:t>
      </w:r>
    </w:p>
    <w:p>
      <w:pPr>
        <w:spacing w:after="0" w:line="4" w:lineRule="exact"/>
        <w:rPr>
          <w:sz w:val="20"/>
          <w:szCs w:val="20"/>
          <w:color w:val="auto"/>
        </w:rPr>
      </w:pPr>
    </w:p>
    <w:p>
      <w:pPr>
        <w:ind w:left="1600" w:right="60" w:hanging="1119"/>
        <w:spacing w:after="0" w:line="189" w:lineRule="auto"/>
        <w:tabs>
          <w:tab w:leader="none" w:pos="1580" w:val="left"/>
        </w:tabs>
        <w:rPr>
          <w:sz w:val="20"/>
          <w:szCs w:val="20"/>
          <w:color w:val="auto"/>
        </w:rPr>
      </w:pPr>
      <w:r>
        <w:rPr>
          <w:rFonts w:ascii="Arial" w:cs="Arial" w:eastAsia="Arial" w:hAnsi="Arial"/>
          <w:sz w:val="32"/>
          <w:szCs w:val="32"/>
          <w:color w:val="auto"/>
          <w:vertAlign w:val="superscript"/>
        </w:rPr>
        <w:t> </w:t>
      </w:r>
      <w:r>
        <w:rPr>
          <w:sz w:val="20"/>
          <w:szCs w:val="20"/>
          <w:color w:val="auto"/>
        </w:rPr>
        <w:tab/>
      </w:r>
      <w:r>
        <w:rPr>
          <w:rFonts w:ascii="Arial" w:cs="Arial" w:eastAsia="Arial" w:hAnsi="Arial"/>
          <w:sz w:val="16"/>
          <w:szCs w:val="16"/>
          <w:i w:val="1"/>
          <w:iCs w:val="1"/>
          <w:color w:val="auto"/>
        </w:rPr>
        <w:t>of a subsidiary at a public company, as well as serving as a member of other public company boards.</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 </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SHIRLEY ANN JACKSON</w:t>
      </w:r>
    </w:p>
    <w:p>
      <w:pPr>
        <w:spacing w:after="0" w:line="77" w:lineRule="exact"/>
        <w:rPr>
          <w:sz w:val="20"/>
          <w:szCs w:val="20"/>
          <w:color w:val="auto"/>
        </w:rPr>
      </w:pPr>
    </w:p>
    <w:p>
      <w:pPr>
        <w:ind w:left="1600" w:right="120"/>
        <w:spacing w:after="0" w:line="227" w:lineRule="auto"/>
        <w:rPr>
          <w:sz w:val="20"/>
          <w:szCs w:val="20"/>
          <w:color w:val="auto"/>
        </w:rPr>
      </w:pPr>
      <w:r>
        <w:rPr>
          <w:rFonts w:ascii="Arial" w:cs="Arial" w:eastAsia="Arial" w:hAnsi="Arial"/>
          <w:sz w:val="17"/>
          <w:szCs w:val="17"/>
          <w:i w:val="1"/>
          <w:iCs w:val="1"/>
          <w:color w:val="auto"/>
        </w:rPr>
        <w:t>Dr. Jackson has a broad governance perspective gained through serving as the president at a major technology and science university and in senior leadership positions in government, industry</w:t>
      </w:r>
    </w:p>
    <w:p>
      <w:pPr>
        <w:spacing w:after="0" w:line="4" w:lineRule="exact"/>
        <w:rPr>
          <w:sz w:val="20"/>
          <w:szCs w:val="20"/>
          <w:color w:val="auto"/>
        </w:rPr>
      </w:pPr>
    </w:p>
    <w:p>
      <w:pPr>
        <w:ind w:left="1600" w:hanging="1119"/>
        <w:spacing w:after="0" w:line="210" w:lineRule="auto"/>
        <w:tabs>
          <w:tab w:leader="none" w:pos="1580" w:val="left"/>
        </w:tabs>
        <w:rPr>
          <w:sz w:val="20"/>
          <w:szCs w:val="20"/>
          <w:color w:val="auto"/>
        </w:rPr>
      </w:pPr>
      <w:r>
        <w:rPr>
          <w:rFonts w:ascii="Arial" w:cs="Arial" w:eastAsia="Arial" w:hAnsi="Arial"/>
          <w:sz w:val="34"/>
          <w:szCs w:val="34"/>
          <w:color w:val="auto"/>
          <w:vertAlign w:val="superscript"/>
        </w:rPr>
        <w:t> </w:t>
      </w:r>
      <w:r>
        <w:rPr>
          <w:sz w:val="20"/>
          <w:szCs w:val="20"/>
          <w:color w:val="auto"/>
        </w:rPr>
        <w:tab/>
      </w:r>
      <w:r>
        <w:rPr>
          <w:rFonts w:ascii="Arial" w:cs="Arial" w:eastAsia="Arial" w:hAnsi="Arial"/>
          <w:sz w:val="17"/>
          <w:szCs w:val="17"/>
          <w:i w:val="1"/>
          <w:iCs w:val="1"/>
          <w:color w:val="auto"/>
        </w:rPr>
        <w:t>and research. She has also served on several public company boards across many industries including the technology sector. This experience includes leadership positions as the chair of a governance committee and the lead director of another public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Key Responsibilities and Oversight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-495300</wp:posOffset>
            </wp:positionV>
            <wp:extent cx="2828925" cy="3600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28925" cy="360045"/>
                    </a:xfrm>
                    <a:prstGeom prst="rect">
                      <a:avLst/>
                    </a:prstGeom>
                    <a:noFill/>
                  </pic:spPr>
                </pic:pic>
              </a:graphicData>
            </a:graphic>
          </wp:anchor>
        </w:drawing>
      </w:r>
    </w:p>
    <w:p>
      <w:pPr>
        <w:spacing w:after="0" w:line="55" w:lineRule="exact"/>
        <w:rPr>
          <w:sz w:val="20"/>
          <w:szCs w:val="20"/>
          <w:color w:val="auto"/>
        </w:rPr>
      </w:pPr>
    </w:p>
    <w:p>
      <w:pPr>
        <w:ind w:right="419"/>
        <w:spacing w:after="0" w:line="241" w:lineRule="auto"/>
        <w:rPr>
          <w:sz w:val="20"/>
          <w:szCs w:val="20"/>
          <w:color w:val="auto"/>
        </w:rPr>
      </w:pPr>
      <w:r>
        <w:rPr>
          <w:rFonts w:ascii="Arial" w:cs="Arial" w:eastAsia="Arial" w:hAnsi="Arial"/>
          <w:sz w:val="17"/>
          <w:szCs w:val="17"/>
          <w:color w:val="auto"/>
        </w:rPr>
        <w:t>The Committee is devoted to the continuing review, definition and articulation of our governance structure and practices. Concurrent with that responsibility, as set out more fully in the Committee’s Charter, the Committee has other key responsibilities, including:</w:t>
      </w:r>
    </w:p>
    <w:p>
      <w:pPr>
        <w:spacing w:after="0" w:line="72" w:lineRule="exact"/>
        <w:rPr>
          <w:sz w:val="20"/>
          <w:szCs w:val="20"/>
          <w:color w:val="auto"/>
        </w:rPr>
      </w:pPr>
    </w:p>
    <w:p>
      <w:pPr>
        <w:ind w:left="320" w:right="339" w:hanging="154"/>
        <w:spacing w:after="0" w:line="236"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leading the search for qualified individuals for</w:t>
      </w:r>
      <w:r>
        <w:rPr>
          <w:rFonts w:ascii="Arial" w:cs="Arial" w:eastAsia="Arial" w:hAnsi="Arial"/>
          <w:sz w:val="17"/>
          <w:szCs w:val="17"/>
          <w:color w:val="F0533D"/>
        </w:rPr>
        <w:t xml:space="preserve"> </w:t>
      </w:r>
      <w:r>
        <w:rPr>
          <w:rFonts w:ascii="Arial" w:cs="Arial" w:eastAsia="Arial" w:hAnsi="Arial"/>
          <w:sz w:val="17"/>
          <w:szCs w:val="17"/>
          <w:color w:val="000000"/>
        </w:rPr>
        <w:t>election as our directors based on all appropriate criteria, including candidates’ business or professional experience, the diversity of their background and their talents and perspectives; technology or cybersecurity experience; reviewing and assessing the independence of each director nominee; and planning for future Board and Committee refreshment actions;</w:t>
      </w:r>
    </w:p>
    <w:p>
      <w:pPr>
        <w:spacing w:after="0" w:line="79" w:lineRule="exact"/>
        <w:rPr>
          <w:sz w:val="20"/>
          <w:szCs w:val="20"/>
          <w:color w:val="auto"/>
        </w:rPr>
      </w:pPr>
    </w:p>
    <w:p>
      <w:pPr>
        <w:jc w:val="both"/>
        <w:ind w:left="320" w:right="53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advising on all matters concerning directorship</w:t>
      </w:r>
      <w:r>
        <w:rPr>
          <w:rFonts w:ascii="Arial" w:cs="Arial" w:eastAsia="Arial" w:hAnsi="Arial"/>
          <w:sz w:val="17"/>
          <w:szCs w:val="17"/>
          <w:color w:val="F0533D"/>
        </w:rPr>
        <w:t xml:space="preserve"> </w:t>
      </w:r>
      <w:r>
        <w:rPr>
          <w:rFonts w:ascii="Arial" w:cs="Arial" w:eastAsia="Arial" w:hAnsi="Arial"/>
          <w:sz w:val="17"/>
          <w:szCs w:val="17"/>
          <w:color w:val="000000"/>
        </w:rPr>
        <w:t>practices, and on the function, composition and duties of the committees of the Board;</w:t>
      </w:r>
    </w:p>
    <w:p>
      <w:pPr>
        <w:spacing w:after="0" w:line="67" w:lineRule="exact"/>
        <w:rPr>
          <w:sz w:val="20"/>
          <w:szCs w:val="20"/>
          <w:color w:val="auto"/>
        </w:rPr>
      </w:pPr>
    </w:p>
    <w:p>
      <w:pPr>
        <w:ind w:left="320" w:right="259" w:hanging="154"/>
        <w:spacing w:after="0" w:line="241"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and assessing the independence of all</w:t>
      </w:r>
      <w:r>
        <w:rPr>
          <w:rFonts w:ascii="Arial" w:cs="Arial" w:eastAsia="Arial" w:hAnsi="Arial"/>
          <w:sz w:val="17"/>
          <w:szCs w:val="17"/>
          <w:color w:val="F0533D"/>
        </w:rPr>
        <w:t xml:space="preserve"> </w:t>
      </w:r>
      <w:r>
        <w:rPr>
          <w:rFonts w:ascii="Arial" w:cs="Arial" w:eastAsia="Arial" w:hAnsi="Arial"/>
          <w:sz w:val="17"/>
          <w:szCs w:val="17"/>
          <w:color w:val="000000"/>
        </w:rPr>
        <w:t>of our non-management directors, heightened standards for Audit and Compensation and Human Capital Committee members and assessing transactions with related persons annually;</w:t>
      </w:r>
    </w:p>
    <w:p>
      <w:pPr>
        <w:spacing w:after="0" w:line="72" w:lineRule="exact"/>
        <w:rPr>
          <w:sz w:val="20"/>
          <w:szCs w:val="20"/>
          <w:color w:val="auto"/>
        </w:rPr>
      </w:pPr>
    </w:p>
    <w:p>
      <w:pPr>
        <w:ind w:left="320" w:right="47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developing and making recommendations to the</w:t>
      </w:r>
      <w:r>
        <w:rPr>
          <w:rFonts w:ascii="Arial" w:cs="Arial" w:eastAsia="Arial" w:hAnsi="Arial"/>
          <w:sz w:val="17"/>
          <w:szCs w:val="17"/>
          <w:color w:val="F0533D"/>
        </w:rPr>
        <w:t xml:space="preserve"> </w:t>
      </w:r>
      <w:r>
        <w:rPr>
          <w:rFonts w:ascii="Arial" w:cs="Arial" w:eastAsia="Arial" w:hAnsi="Arial"/>
          <w:sz w:val="17"/>
          <w:szCs w:val="17"/>
          <w:color w:val="000000"/>
        </w:rPr>
        <w:t>Board regarding a set of corporate governance guidelines;</w:t>
      </w:r>
    </w:p>
    <w:p>
      <w:pPr>
        <w:spacing w:after="0" w:line="67" w:lineRule="exact"/>
        <w:rPr>
          <w:sz w:val="20"/>
          <w:szCs w:val="20"/>
          <w:color w:val="auto"/>
        </w:rPr>
      </w:pPr>
    </w:p>
    <w:p>
      <w:pPr>
        <w:ind w:left="320" w:right="33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and recommending to the Board the</w:t>
      </w:r>
      <w:r>
        <w:rPr>
          <w:rFonts w:ascii="Arial" w:cs="Arial" w:eastAsia="Arial" w:hAnsi="Arial"/>
          <w:sz w:val="17"/>
          <w:szCs w:val="17"/>
          <w:color w:val="F0533D"/>
        </w:rPr>
        <w:t xml:space="preserve"> </w:t>
      </w:r>
      <w:r>
        <w:rPr>
          <w:rFonts w:ascii="Arial" w:cs="Arial" w:eastAsia="Arial" w:hAnsi="Arial"/>
          <w:sz w:val="17"/>
          <w:szCs w:val="17"/>
          <w:color w:val="000000"/>
        </w:rPr>
        <w:t>form and amount of our non-management director compensation;</w:t>
      </w:r>
    </w:p>
    <w:p>
      <w:pPr>
        <w:spacing w:after="0" w:line="67" w:lineRule="exact"/>
        <w:rPr>
          <w:sz w:val="20"/>
          <w:szCs w:val="20"/>
          <w:color w:val="auto"/>
        </w:rPr>
      </w:pPr>
    </w:p>
    <w:p>
      <w:pPr>
        <w:ind w:left="320" w:right="25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our position and practices on significant</w:t>
      </w:r>
      <w:r>
        <w:rPr>
          <w:rFonts w:ascii="Arial" w:cs="Arial" w:eastAsia="Arial" w:hAnsi="Arial"/>
          <w:sz w:val="17"/>
          <w:szCs w:val="17"/>
          <w:color w:val="F0533D"/>
        </w:rPr>
        <w:t xml:space="preserve"> </w:t>
      </w:r>
      <w:r>
        <w:rPr>
          <w:rFonts w:ascii="Arial" w:cs="Arial" w:eastAsia="Arial" w:hAnsi="Arial"/>
          <w:sz w:val="17"/>
          <w:szCs w:val="17"/>
          <w:color w:val="000000"/>
        </w:rPr>
        <w:t>corporate contributions, environmental matters and corporate responsibility matters; and</w:t>
      </w:r>
    </w:p>
    <w:p>
      <w:pPr>
        <w:spacing w:after="0" w:line="6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and considering stockholder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158115</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360" w:space="220"/>
            <w:col w:w="4439"/>
          </w:cols>
          <w:pgMar w:left="1440" w:top="114" w:right="1440" w:bottom="1440" w:gutter="0" w:footer="0" w:header="0"/>
        </w:sectPr>
      </w:pPr>
    </w:p>
    <w:bookmarkStart w:id="32" w:name="page33"/>
    <w:bookmarkEnd w:id="3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2794635" cy="64890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94635" cy="6489065"/>
                    </a:xfrm>
                    <a:prstGeom prst="rect">
                      <a:avLst/>
                    </a:prstGeom>
                    <a:noFill/>
                  </pic:spPr>
                </pic:pic>
              </a:graphicData>
            </a:graphic>
          </wp:anchor>
        </w:drawing>
      </w:r>
    </w:p>
    <w:p>
      <w:pPr>
        <w:spacing w:after="0" w:line="231" w:lineRule="exact"/>
        <w:rPr>
          <w:sz w:val="20"/>
          <w:szCs w:val="20"/>
          <w:color w:val="auto"/>
        </w:rPr>
      </w:pPr>
    </w:p>
    <w:p>
      <w:pPr>
        <w:ind w:left="320" w:right="580"/>
        <w:spacing w:after="0" w:line="281" w:lineRule="auto"/>
        <w:rPr>
          <w:sz w:val="20"/>
          <w:szCs w:val="20"/>
          <w:color w:val="auto"/>
        </w:rPr>
      </w:pPr>
      <w:r>
        <w:rPr>
          <w:rFonts w:ascii="Arial" w:cs="Arial" w:eastAsia="Arial" w:hAnsi="Arial"/>
          <w:sz w:val="18"/>
          <w:szCs w:val="18"/>
          <w:b w:val="1"/>
          <w:bCs w:val="1"/>
          <w:color w:val="FFFFFF"/>
        </w:rPr>
        <w:t>COMPENSATION AND HUMAN CAPITAL COMMITTEE</w:t>
      </w:r>
    </w:p>
    <w:p>
      <w:pPr>
        <w:spacing w:after="0" w:line="1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0533D"/>
        </w:rPr>
        <w:t>Members and Qualifications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JANA SCHREUDER — CHAIR</w:t>
      </w:r>
    </w:p>
    <w:p>
      <w:pPr>
        <w:spacing w:after="0" w:line="77" w:lineRule="exact"/>
        <w:rPr>
          <w:sz w:val="20"/>
          <w:szCs w:val="20"/>
          <w:color w:val="auto"/>
        </w:rPr>
      </w:pPr>
    </w:p>
    <w:p>
      <w:pPr>
        <w:ind w:left="1600"/>
        <w:spacing w:after="0" w:line="227" w:lineRule="auto"/>
        <w:rPr>
          <w:sz w:val="20"/>
          <w:szCs w:val="20"/>
          <w:color w:val="auto"/>
        </w:rPr>
      </w:pPr>
      <w:r>
        <w:rPr>
          <w:rFonts w:ascii="Arial" w:cs="Arial" w:eastAsia="Arial" w:hAnsi="Arial"/>
          <w:sz w:val="17"/>
          <w:szCs w:val="17"/>
          <w:i w:val="1"/>
          <w:iCs w:val="1"/>
          <w:color w:val="auto"/>
        </w:rPr>
        <w:t>Ms. Schreuder brings to our Committee her perspective as a former public company chief operating officer and chair of another public company compensation committee, as well as</w:t>
      </w:r>
    </w:p>
    <w:p>
      <w:pPr>
        <w:ind w:left="480"/>
        <w:spacing w:after="0" w:line="180" w:lineRule="auto"/>
        <w:tabs>
          <w:tab w:leader="none" w:pos="1580" w:val="left"/>
        </w:tabs>
        <w:rPr>
          <w:sz w:val="20"/>
          <w:szCs w:val="20"/>
          <w:color w:val="auto"/>
        </w:rPr>
      </w:pPr>
      <w:r>
        <w:rPr>
          <w:rFonts w:ascii="Arial" w:cs="Arial" w:eastAsia="Arial" w:hAnsi="Arial"/>
          <w:sz w:val="24"/>
          <w:szCs w:val="24"/>
          <w:color w:val="auto"/>
          <w:vertAlign w:val="superscript"/>
        </w:rPr>
        <w:t> </w:t>
      </w:r>
      <w:r>
        <w:rPr>
          <w:sz w:val="20"/>
          <w:szCs w:val="20"/>
          <w:color w:val="auto"/>
        </w:rPr>
        <w:tab/>
      </w:r>
      <w:r>
        <w:rPr>
          <w:rFonts w:ascii="Arial" w:cs="Arial" w:eastAsia="Arial" w:hAnsi="Arial"/>
          <w:sz w:val="14"/>
          <w:szCs w:val="14"/>
          <w:i w:val="1"/>
          <w:iCs w:val="1"/>
          <w:color w:val="auto"/>
        </w:rPr>
        <w:t>valuable risk management</w:t>
      </w:r>
    </w:p>
    <w:p>
      <w:pPr>
        <w:spacing w:after="0" w:line="14" w:lineRule="exact"/>
        <w:rPr>
          <w:sz w:val="20"/>
          <w:szCs w:val="20"/>
          <w:color w:val="auto"/>
        </w:rPr>
      </w:pPr>
    </w:p>
    <w:p>
      <w:pPr>
        <w:ind w:left="1600"/>
        <w:spacing w:after="0"/>
        <w:rPr>
          <w:sz w:val="20"/>
          <w:szCs w:val="20"/>
          <w:color w:val="auto"/>
        </w:rPr>
      </w:pPr>
      <w:r>
        <w:rPr>
          <w:rFonts w:ascii="Arial" w:cs="Arial" w:eastAsia="Arial" w:hAnsi="Arial"/>
          <w:sz w:val="17"/>
          <w:szCs w:val="17"/>
          <w:i w:val="1"/>
          <w:iCs w:val="1"/>
          <w:color w:val="auto"/>
        </w:rPr>
        <w:t>experience.</w:t>
      </w:r>
    </w:p>
    <w:p>
      <w:pPr>
        <w:ind w:left="1600"/>
        <w:spacing w:after="0"/>
        <w:rPr>
          <w:sz w:val="20"/>
          <w:szCs w:val="20"/>
          <w:color w:val="auto"/>
        </w:rPr>
      </w:pPr>
      <w:r>
        <w:rPr>
          <w:rFonts w:ascii="Arial" w:cs="Arial" w:eastAsia="Arial" w:hAnsi="Arial"/>
          <w:sz w:val="17"/>
          <w:szCs w:val="17"/>
          <w:color w:val="auto"/>
        </w:rPr>
        <w:t> </w:t>
      </w:r>
    </w:p>
    <w:p>
      <w:pPr>
        <w:spacing w:after="0" w:line="5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JANINA KUGEL</w:t>
      </w:r>
    </w:p>
    <w:p>
      <w:pPr>
        <w:spacing w:after="0" w:line="77" w:lineRule="exact"/>
        <w:rPr>
          <w:sz w:val="20"/>
          <w:szCs w:val="20"/>
          <w:color w:val="auto"/>
        </w:rPr>
      </w:pPr>
    </w:p>
    <w:p>
      <w:pPr>
        <w:ind w:left="1600" w:right="100"/>
        <w:spacing w:after="0" w:line="227" w:lineRule="auto"/>
        <w:rPr>
          <w:sz w:val="20"/>
          <w:szCs w:val="20"/>
          <w:color w:val="auto"/>
        </w:rPr>
      </w:pPr>
      <w:r>
        <w:rPr>
          <w:rFonts w:ascii="Arial" w:cs="Arial" w:eastAsia="Arial" w:hAnsi="Arial"/>
          <w:sz w:val="17"/>
          <w:szCs w:val="17"/>
          <w:i w:val="1"/>
          <w:iCs w:val="1"/>
          <w:color w:val="auto"/>
        </w:rPr>
        <w:t>Ms. Kugel brings to our Committee over a decade of experience as a human resources executive, including as a chief human resources officer responsible for executive recruitment and</w:t>
      </w:r>
    </w:p>
    <w:p>
      <w:pPr>
        <w:spacing w:after="0" w:line="4" w:lineRule="exact"/>
        <w:rPr>
          <w:sz w:val="20"/>
          <w:szCs w:val="20"/>
          <w:color w:val="auto"/>
        </w:rPr>
      </w:pPr>
    </w:p>
    <w:p>
      <w:pPr>
        <w:ind w:left="1600" w:right="80" w:hanging="1119"/>
        <w:spacing w:after="0" w:line="185" w:lineRule="auto"/>
        <w:tabs>
          <w:tab w:leader="none" w:pos="1580" w:val="left"/>
        </w:tabs>
        <w:rPr>
          <w:sz w:val="20"/>
          <w:szCs w:val="20"/>
          <w:color w:val="auto"/>
        </w:rPr>
      </w:pPr>
      <w:r>
        <w:rPr>
          <w:rFonts w:ascii="Arial" w:cs="Arial" w:eastAsia="Arial" w:hAnsi="Arial"/>
          <w:sz w:val="29"/>
          <w:szCs w:val="29"/>
          <w:color w:val="auto"/>
          <w:vertAlign w:val="superscript"/>
        </w:rPr>
        <w:t> </w:t>
      </w:r>
      <w:r>
        <w:rPr>
          <w:sz w:val="20"/>
          <w:szCs w:val="20"/>
          <w:color w:val="auto"/>
        </w:rPr>
        <w:tab/>
      </w:r>
      <w:r>
        <w:rPr>
          <w:rFonts w:ascii="Arial" w:cs="Arial" w:eastAsia="Arial" w:hAnsi="Arial"/>
          <w:sz w:val="15"/>
          <w:szCs w:val="15"/>
          <w:i w:val="1"/>
          <w:iCs w:val="1"/>
          <w:color w:val="auto"/>
        </w:rPr>
        <w:t>compensation as well as employee engagement.</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 </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HOWARD I. UNGERLEIDER</w:t>
      </w:r>
    </w:p>
    <w:p>
      <w:pPr>
        <w:spacing w:after="0" w:line="77" w:lineRule="exact"/>
        <w:rPr>
          <w:sz w:val="20"/>
          <w:szCs w:val="20"/>
          <w:color w:val="auto"/>
        </w:rPr>
      </w:pPr>
    </w:p>
    <w:p>
      <w:pPr>
        <w:ind w:left="1600" w:right="100"/>
        <w:spacing w:after="0" w:line="227" w:lineRule="auto"/>
        <w:rPr>
          <w:sz w:val="20"/>
          <w:szCs w:val="20"/>
          <w:color w:val="auto"/>
        </w:rPr>
      </w:pPr>
      <w:r>
        <w:rPr>
          <w:rFonts w:ascii="Arial" w:cs="Arial" w:eastAsia="Arial" w:hAnsi="Arial"/>
          <w:sz w:val="17"/>
          <w:szCs w:val="17"/>
          <w:i w:val="1"/>
          <w:iCs w:val="1"/>
          <w:color w:val="auto"/>
        </w:rPr>
        <w:t>Mr. Ungerleider brings to our Committee financial planning experience through serving as a president and chief financial officer of a public company and an understanding of the link between</w:t>
      </w:r>
    </w:p>
    <w:p>
      <w:pPr>
        <w:spacing w:after="0" w:line="4" w:lineRule="exact"/>
        <w:rPr>
          <w:sz w:val="20"/>
          <w:szCs w:val="20"/>
          <w:color w:val="auto"/>
        </w:rPr>
      </w:pPr>
    </w:p>
    <w:p>
      <w:pPr>
        <w:ind w:left="1600" w:right="680" w:hanging="1119"/>
        <w:spacing w:after="0" w:line="182" w:lineRule="auto"/>
        <w:tabs>
          <w:tab w:leader="none" w:pos="1580" w:val="left"/>
        </w:tabs>
        <w:rPr>
          <w:sz w:val="20"/>
          <w:szCs w:val="20"/>
          <w:color w:val="auto"/>
        </w:rPr>
      </w:pPr>
      <w:r>
        <w:rPr>
          <w:rFonts w:ascii="Arial" w:cs="Arial" w:eastAsia="Arial" w:hAnsi="Arial"/>
          <w:sz w:val="31"/>
          <w:szCs w:val="31"/>
          <w:color w:val="auto"/>
          <w:vertAlign w:val="superscript"/>
        </w:rPr>
        <w:t> </w:t>
      </w:r>
      <w:r>
        <w:rPr>
          <w:sz w:val="20"/>
          <w:szCs w:val="20"/>
          <w:color w:val="auto"/>
        </w:rPr>
        <w:tab/>
      </w:r>
      <w:r>
        <w:rPr>
          <w:rFonts w:ascii="Arial" w:cs="Arial" w:eastAsia="Arial" w:hAnsi="Arial"/>
          <w:sz w:val="16"/>
          <w:szCs w:val="16"/>
          <w:i w:val="1"/>
          <w:iCs w:val="1"/>
          <w:color w:val="auto"/>
        </w:rPr>
        <w:t>such financial planning and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Key Responsibilities and Oversight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-495300</wp:posOffset>
            </wp:positionV>
            <wp:extent cx="2828925" cy="3600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828925" cy="360045"/>
                    </a:xfrm>
                    <a:prstGeom prst="rect">
                      <a:avLst/>
                    </a:prstGeom>
                    <a:noFill/>
                  </pic:spPr>
                </pic:pic>
              </a:graphicData>
            </a:graphic>
          </wp:anchor>
        </w:drawing>
      </w:r>
    </w:p>
    <w:p>
      <w:pPr>
        <w:spacing w:after="0" w:line="55" w:lineRule="exact"/>
        <w:rPr>
          <w:sz w:val="20"/>
          <w:szCs w:val="20"/>
          <w:color w:val="auto"/>
        </w:rPr>
      </w:pPr>
    </w:p>
    <w:p>
      <w:pPr>
        <w:ind w:right="299"/>
        <w:spacing w:after="0" w:line="236" w:lineRule="auto"/>
        <w:rPr>
          <w:sz w:val="20"/>
          <w:szCs w:val="20"/>
          <w:color w:val="auto"/>
        </w:rPr>
      </w:pPr>
      <w:r>
        <w:rPr>
          <w:rFonts w:ascii="Arial" w:cs="Arial" w:eastAsia="Arial" w:hAnsi="Arial"/>
          <w:sz w:val="17"/>
          <w:szCs w:val="17"/>
          <w:color w:val="auto"/>
        </w:rPr>
        <w:t>The Compensation and Human Capital Committee has responsibility for defining and articulating our overall executive compensation philosophy and key compensation policies, including the material risks associated with executive compensation structure, policies and programs. Concurrent with that responsibility, as set out more fully in the Committee’s Charter, the Committee has other key responsibilities, including:</w:t>
      </w:r>
    </w:p>
    <w:p>
      <w:pPr>
        <w:spacing w:after="0" w:line="79" w:lineRule="exact"/>
        <w:rPr>
          <w:sz w:val="20"/>
          <w:szCs w:val="20"/>
          <w:color w:val="auto"/>
        </w:rPr>
      </w:pPr>
    </w:p>
    <w:p>
      <w:pPr>
        <w:ind w:left="320" w:right="359" w:hanging="154"/>
        <w:spacing w:after="0" w:line="23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and approving the corporate goals and</w:t>
      </w:r>
      <w:r>
        <w:rPr>
          <w:rFonts w:ascii="Arial" w:cs="Arial" w:eastAsia="Arial" w:hAnsi="Arial"/>
          <w:sz w:val="17"/>
          <w:szCs w:val="17"/>
          <w:color w:val="F0533D"/>
        </w:rPr>
        <w:t xml:space="preserve"> </w:t>
      </w:r>
      <w:r>
        <w:rPr>
          <w:rFonts w:ascii="Arial" w:cs="Arial" w:eastAsia="Arial" w:hAnsi="Arial"/>
          <w:sz w:val="17"/>
          <w:szCs w:val="17"/>
          <w:color w:val="000000"/>
        </w:rPr>
        <w:t>objectives relevant to the CEO’s compensation, evaluating, together with the other independent members of the Board, the CEO’s performance in light of those goals and objectives and, based on such evaluation, recommending the CEO’s compensation level for approval by the independent members of the Board;</w:t>
      </w:r>
    </w:p>
    <w:p>
      <w:pPr>
        <w:spacing w:after="0" w:line="76" w:lineRule="exact"/>
        <w:rPr>
          <w:sz w:val="20"/>
          <w:szCs w:val="20"/>
          <w:color w:val="auto"/>
        </w:rPr>
      </w:pPr>
    </w:p>
    <w:p>
      <w:pPr>
        <w:jc w:val="both"/>
        <w:ind w:left="320" w:right="81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administering and approving all elements of</w:t>
      </w:r>
      <w:r>
        <w:rPr>
          <w:rFonts w:ascii="Arial" w:cs="Arial" w:eastAsia="Arial" w:hAnsi="Arial"/>
          <w:sz w:val="17"/>
          <w:szCs w:val="17"/>
          <w:color w:val="F0533D"/>
        </w:rPr>
        <w:t xml:space="preserve"> </w:t>
      </w:r>
      <w:r>
        <w:rPr>
          <w:rFonts w:ascii="Arial" w:cs="Arial" w:eastAsia="Arial" w:hAnsi="Arial"/>
          <w:sz w:val="17"/>
          <w:szCs w:val="17"/>
          <w:color w:val="000000"/>
        </w:rPr>
        <w:t>compensation for the Company’s non-CEO executive officers;</w:t>
      </w:r>
    </w:p>
    <w:p>
      <w:pPr>
        <w:spacing w:after="0" w:line="67" w:lineRule="exact"/>
        <w:rPr>
          <w:sz w:val="20"/>
          <w:szCs w:val="20"/>
          <w:color w:val="auto"/>
        </w:rPr>
      </w:pPr>
    </w:p>
    <w:p>
      <w:pPr>
        <w:ind w:left="320" w:right="319" w:hanging="154"/>
        <w:spacing w:after="0" w:line="238"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annually reviewing and discussing with</w:t>
      </w:r>
      <w:r>
        <w:rPr>
          <w:rFonts w:ascii="Arial" w:cs="Arial" w:eastAsia="Arial" w:hAnsi="Arial"/>
          <w:sz w:val="17"/>
          <w:szCs w:val="17"/>
          <w:color w:val="F0533D"/>
        </w:rPr>
        <w:t xml:space="preserve"> </w:t>
      </w:r>
      <w:r>
        <w:rPr>
          <w:rFonts w:ascii="Arial" w:cs="Arial" w:eastAsia="Arial" w:hAnsi="Arial"/>
          <w:sz w:val="17"/>
          <w:szCs w:val="17"/>
          <w:color w:val="000000"/>
        </w:rPr>
        <w:t>management the Company’s compensation policies and practices as applied to employees generally to assess whether any risks arising from such structures, policies and programs are reasonably likely to have a material adverse effect on the Company;</w:t>
      </w:r>
    </w:p>
    <w:p>
      <w:pPr>
        <w:spacing w:after="0" w:line="74" w:lineRule="exact"/>
        <w:rPr>
          <w:sz w:val="20"/>
          <w:szCs w:val="20"/>
          <w:color w:val="auto"/>
        </w:rPr>
      </w:pPr>
    </w:p>
    <w:p>
      <w:pPr>
        <w:ind w:left="320" w:right="599"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reviewing our human capital management and</w:t>
      </w:r>
      <w:r>
        <w:rPr>
          <w:rFonts w:ascii="Arial" w:cs="Arial" w:eastAsia="Arial" w:hAnsi="Arial"/>
          <w:sz w:val="17"/>
          <w:szCs w:val="17"/>
          <w:color w:val="F0533D"/>
        </w:rPr>
        <w:t xml:space="preserve"> </w:t>
      </w:r>
      <w:r>
        <w:rPr>
          <w:rFonts w:ascii="Arial" w:cs="Arial" w:eastAsia="Arial" w:hAnsi="Arial"/>
          <w:sz w:val="17"/>
          <w:szCs w:val="17"/>
          <w:color w:val="000000"/>
        </w:rPr>
        <w:t>employee engagement;</w:t>
      </w:r>
    </w:p>
    <w:p>
      <w:pPr>
        <w:spacing w:after="0" w:line="51" w:lineRule="exact"/>
        <w:rPr>
          <w:sz w:val="20"/>
          <w:szCs w:val="20"/>
          <w:color w:val="auto"/>
        </w:rPr>
      </w:pPr>
    </w:p>
    <w:p>
      <w:pPr>
        <w:ind w:left="320" w:right="819" w:hanging="154"/>
        <w:spacing w:after="0" w:line="26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overseeing and approving the management</w:t>
      </w:r>
      <w:r>
        <w:rPr>
          <w:rFonts w:ascii="Arial" w:cs="Arial" w:eastAsia="Arial" w:hAnsi="Arial"/>
          <w:sz w:val="17"/>
          <w:szCs w:val="17"/>
          <w:color w:val="F0533D"/>
        </w:rPr>
        <w:t xml:space="preserve"> </w:t>
      </w:r>
      <w:r>
        <w:rPr>
          <w:rFonts w:ascii="Arial" w:cs="Arial" w:eastAsia="Arial" w:hAnsi="Arial"/>
          <w:sz w:val="17"/>
          <w:szCs w:val="17"/>
          <w:color w:val="000000"/>
        </w:rPr>
        <w:t>continuity planning process;</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overseeing the evaluation of management;</w:t>
      </w:r>
    </w:p>
    <w:p>
      <w:pPr>
        <w:spacing w:after="0" w:line="102" w:lineRule="exact"/>
        <w:rPr>
          <w:sz w:val="20"/>
          <w:szCs w:val="20"/>
          <w:color w:val="auto"/>
        </w:rPr>
      </w:pPr>
    </w:p>
    <w:p>
      <w:pPr>
        <w:jc w:val="both"/>
        <w:ind w:left="320" w:right="39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approving, by direct action or through delegation,</w:t>
      </w:r>
      <w:r>
        <w:rPr>
          <w:rFonts w:ascii="Arial" w:cs="Arial" w:eastAsia="Arial" w:hAnsi="Arial"/>
          <w:sz w:val="17"/>
          <w:szCs w:val="17"/>
          <w:color w:val="F0533D"/>
        </w:rPr>
        <w:t xml:space="preserve"> </w:t>
      </w:r>
      <w:r>
        <w:rPr>
          <w:rFonts w:ascii="Arial" w:cs="Arial" w:eastAsia="Arial" w:hAnsi="Arial"/>
          <w:sz w:val="17"/>
          <w:szCs w:val="17"/>
          <w:color w:val="000000"/>
        </w:rPr>
        <w:t>participation in and all awards, grants and related actions under our equity plan;</w:t>
      </w:r>
    </w:p>
    <w:p>
      <w:pPr>
        <w:spacing w:after="0" w:line="67" w:lineRule="exact"/>
        <w:rPr>
          <w:sz w:val="20"/>
          <w:szCs w:val="20"/>
          <w:color w:val="auto"/>
        </w:rPr>
      </w:pPr>
    </w:p>
    <w:p>
      <w:pPr>
        <w:ind w:left="320" w:right="539" w:hanging="154"/>
        <w:spacing w:after="0" w:line="24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monitoring compliance with stock ownership</w:t>
      </w:r>
      <w:r>
        <w:rPr>
          <w:rFonts w:ascii="Arial" w:cs="Arial" w:eastAsia="Arial" w:hAnsi="Arial"/>
          <w:sz w:val="17"/>
          <w:szCs w:val="17"/>
          <w:color w:val="F0533D"/>
        </w:rPr>
        <w:t xml:space="preserve"> </w:t>
      </w:r>
      <w:r>
        <w:rPr>
          <w:rFonts w:ascii="Arial" w:cs="Arial" w:eastAsia="Arial" w:hAnsi="Arial"/>
          <w:sz w:val="17"/>
          <w:szCs w:val="17"/>
          <w:color w:val="000000"/>
        </w:rPr>
        <w:t>guidelines and administering clawback policies; and</w:t>
      </w:r>
    </w:p>
    <w:p>
      <w:pPr>
        <w:spacing w:after="0" w:line="67" w:lineRule="exact"/>
        <w:rPr>
          <w:sz w:val="20"/>
          <w:szCs w:val="20"/>
          <w:color w:val="auto"/>
        </w:rPr>
      </w:pPr>
    </w:p>
    <w:p>
      <w:pPr>
        <w:ind w:left="320" w:right="279" w:hanging="154"/>
        <w:spacing w:after="0" w:line="239"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evaluating, on at least an annual basis, whether</w:t>
      </w:r>
      <w:r>
        <w:rPr>
          <w:rFonts w:ascii="Arial" w:cs="Arial" w:eastAsia="Arial" w:hAnsi="Arial"/>
          <w:sz w:val="17"/>
          <w:szCs w:val="17"/>
          <w:color w:val="F0533D"/>
        </w:rPr>
        <w:t xml:space="preserve"> </w:t>
      </w:r>
      <w:r>
        <w:rPr>
          <w:rFonts w:ascii="Arial" w:cs="Arial" w:eastAsia="Arial" w:hAnsi="Arial"/>
          <w:sz w:val="17"/>
          <w:szCs w:val="17"/>
          <w:color w:val="000000"/>
        </w:rPr>
        <w:t>any work provided by the Committee’s compensation consultant raised any conflict of interest and pre-approving any services to be provided to the Company or its subsidiaries by any of the Committee’s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438150</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340" w:space="240"/>
            <w:col w:w="4439"/>
          </w:cols>
          <w:pgMar w:left="1440" w:top="114" w:right="1440" w:bottom="1440" w:gutter="0" w:footer="0" w:header="0"/>
        </w:sectPr>
      </w:pPr>
    </w:p>
    <w:bookmarkStart w:id="33" w:name="page34"/>
    <w:bookmarkEnd w:id="3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right="419"/>
        <w:spacing w:after="0" w:line="290" w:lineRule="auto"/>
        <w:rPr>
          <w:sz w:val="20"/>
          <w:szCs w:val="20"/>
          <w:color w:val="auto"/>
        </w:rPr>
      </w:pPr>
      <w:r>
        <w:rPr>
          <w:rFonts w:ascii="Arial" w:cs="Arial" w:eastAsia="Arial" w:hAnsi="Arial"/>
          <w:sz w:val="31"/>
          <w:szCs w:val="31"/>
          <w:b w:val="1"/>
          <w:bCs w:val="1"/>
          <w:color w:val="auto"/>
        </w:rPr>
        <w:t>Compensation and Human Capital Committee Oversight of Kyndryl Compensation</w:t>
      </w:r>
    </w:p>
    <w:p>
      <w:pPr>
        <w:spacing w:after="0" w:line="33" w:lineRule="exact"/>
        <w:rPr>
          <w:sz w:val="20"/>
          <w:szCs w:val="20"/>
          <w:color w:val="auto"/>
        </w:rPr>
      </w:pPr>
    </w:p>
    <w:p>
      <w:pPr>
        <w:ind w:left="900" w:right="119" w:hanging="356"/>
        <w:spacing w:after="0" w:line="241" w:lineRule="auto"/>
        <w:tabs>
          <w:tab w:leader="none" w:pos="900" w:val="left"/>
        </w:tabs>
        <w:numPr>
          <w:ilvl w:val="0"/>
          <w:numId w:val="41"/>
        </w:numPr>
        <w:rPr>
          <w:rFonts w:ascii="Arial" w:cs="Arial" w:eastAsia="Arial" w:hAnsi="Arial"/>
          <w:sz w:val="17"/>
          <w:szCs w:val="17"/>
          <w:color w:val="F0533D"/>
        </w:rPr>
      </w:pPr>
      <w:r>
        <w:rPr>
          <w:rFonts w:ascii="Arial" w:cs="Arial" w:eastAsia="Arial" w:hAnsi="Arial"/>
          <w:sz w:val="17"/>
          <w:szCs w:val="17"/>
          <w:color w:val="auto"/>
        </w:rPr>
        <w:t>The Committee approves the individual salary, annual bonus and equity awards for our non-CEO executive officers and approves the aggregate annual bonus and annual long-term equity award pools for employees who are not executive officers. In setting the compensation of our non-CEO executive officers, the Committee considers the CEO’s review of each executive officer’s performance and recommendations with respect to his or her compensation.</w:t>
      </w:r>
    </w:p>
    <w:p>
      <w:pPr>
        <w:spacing w:after="0" w:line="71" w:lineRule="exact"/>
        <w:rPr>
          <w:rFonts w:ascii="Arial" w:cs="Arial" w:eastAsia="Arial" w:hAnsi="Arial"/>
          <w:sz w:val="17"/>
          <w:szCs w:val="17"/>
          <w:color w:val="F0533D"/>
        </w:rPr>
      </w:pPr>
    </w:p>
    <w:p>
      <w:pPr>
        <w:ind w:left="900" w:right="219" w:hanging="356"/>
        <w:spacing w:after="0" w:line="244" w:lineRule="auto"/>
        <w:tabs>
          <w:tab w:leader="none" w:pos="900" w:val="left"/>
        </w:tabs>
        <w:numPr>
          <w:ilvl w:val="0"/>
          <w:numId w:val="41"/>
        </w:numPr>
        <w:rPr>
          <w:rFonts w:ascii="Arial" w:cs="Arial" w:eastAsia="Arial" w:hAnsi="Arial"/>
          <w:sz w:val="17"/>
          <w:szCs w:val="17"/>
          <w:color w:val="F0533D"/>
        </w:rPr>
      </w:pPr>
      <w:r>
        <w:rPr>
          <w:rFonts w:ascii="Arial" w:cs="Arial" w:eastAsia="Arial" w:hAnsi="Arial"/>
          <w:sz w:val="17"/>
          <w:szCs w:val="17"/>
          <w:color w:val="auto"/>
        </w:rPr>
        <w:t>The Committee reviews and approves the corporate goals and objectives relevant to our CEO’s compensation, evaluates, together with the other independent members of the Board, his performance in light of those goals and objectives and, based on such evaluation, recommends his compensation level for approval by the independent members of the Board.</w:t>
      </w:r>
    </w:p>
    <w:p>
      <w:pPr>
        <w:spacing w:after="0" w:line="69" w:lineRule="exact"/>
        <w:rPr>
          <w:rFonts w:ascii="Arial" w:cs="Arial" w:eastAsia="Arial" w:hAnsi="Arial"/>
          <w:sz w:val="17"/>
          <w:szCs w:val="17"/>
          <w:color w:val="F0533D"/>
        </w:rPr>
      </w:pPr>
    </w:p>
    <w:p>
      <w:pPr>
        <w:ind w:left="900" w:right="459" w:hanging="356"/>
        <w:spacing w:after="0" w:line="239" w:lineRule="auto"/>
        <w:tabs>
          <w:tab w:leader="none" w:pos="900" w:val="left"/>
        </w:tabs>
        <w:numPr>
          <w:ilvl w:val="0"/>
          <w:numId w:val="41"/>
        </w:numPr>
        <w:rPr>
          <w:rFonts w:ascii="Arial" w:cs="Arial" w:eastAsia="Arial" w:hAnsi="Arial"/>
          <w:sz w:val="17"/>
          <w:szCs w:val="17"/>
          <w:color w:val="F0533D"/>
        </w:rPr>
      </w:pPr>
      <w:r>
        <w:rPr>
          <w:rFonts w:ascii="Arial" w:cs="Arial" w:eastAsia="Arial" w:hAnsi="Arial"/>
          <w:sz w:val="17"/>
          <w:szCs w:val="17"/>
          <w:color w:val="auto"/>
        </w:rPr>
        <w:t>The Committee has authority under its charter to retain outside consultants or advisors, as it deems necessary or advisable. In accordance with this authority, the Committee has engaged the services of Frederic W. Cook &amp; Co. (“FW Cook”) as its independent compensation consultant. For a detailed discussion regarding the role of compensation consultants with respect to executive and director compensation, see “2026 Executive Compensation — Compensation Discussion and Analysis — Executive Compensation Decision-Making and Oversight.”</w:t>
      </w:r>
    </w:p>
    <w:p>
      <w:pPr>
        <w:spacing w:after="0" w:line="74" w:lineRule="exact"/>
        <w:rPr>
          <w:rFonts w:ascii="Arial" w:cs="Arial" w:eastAsia="Arial" w:hAnsi="Arial"/>
          <w:sz w:val="17"/>
          <w:szCs w:val="17"/>
          <w:color w:val="F0533D"/>
        </w:rPr>
      </w:pPr>
    </w:p>
    <w:p>
      <w:pPr>
        <w:ind w:left="900" w:right="159" w:hanging="356"/>
        <w:spacing w:after="0" w:line="237" w:lineRule="auto"/>
        <w:tabs>
          <w:tab w:leader="none" w:pos="900" w:val="left"/>
        </w:tabs>
        <w:numPr>
          <w:ilvl w:val="0"/>
          <w:numId w:val="41"/>
        </w:numPr>
        <w:rPr>
          <w:rFonts w:ascii="Arial" w:cs="Arial" w:eastAsia="Arial" w:hAnsi="Arial"/>
          <w:sz w:val="17"/>
          <w:szCs w:val="17"/>
          <w:color w:val="F0533D"/>
        </w:rPr>
      </w:pPr>
      <w:r>
        <w:rPr>
          <w:rFonts w:ascii="Arial" w:cs="Arial" w:eastAsia="Arial" w:hAnsi="Arial"/>
          <w:sz w:val="17"/>
          <w:szCs w:val="17"/>
          <w:color w:val="auto"/>
        </w:rPr>
        <w:t>Pursuant to its charter and the Amended and Restated Kyndryl 2021 Long-Term Performance Plan, the Committee has delegated limited authority to each of the CEO and the Chief Human Resources Officer to make long-term incentives outside the annual grant process, or “off-cycle grants,” to employees and new hires who are not officers subject to Section 16 of the Securities Exchange Act of 1934, as amended (the “Exchange Act”). The delegation is subject to a cap on the aggregate grant date values of long-term incentives that may be awarded to any individual and a cap on the aggregate number of shares of all awards pursuant to the delegation. Any “off-cycle grants” are reported to the Committee at the next regularly scheduled meeting following such awards.</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Kyndryl Code of Conduct</w:t>
      </w:r>
    </w:p>
    <w:p>
      <w:pPr>
        <w:spacing w:after="0" w:line="173" w:lineRule="exact"/>
        <w:rPr>
          <w:sz w:val="20"/>
          <w:szCs w:val="20"/>
          <w:color w:val="auto"/>
        </w:rPr>
      </w:pPr>
    </w:p>
    <w:p>
      <w:pPr>
        <w:ind w:left="80" w:right="159"/>
        <w:spacing w:after="0" w:line="237" w:lineRule="auto"/>
        <w:rPr>
          <w:sz w:val="20"/>
          <w:szCs w:val="20"/>
          <w:color w:val="auto"/>
        </w:rPr>
      </w:pPr>
      <w:r>
        <w:rPr>
          <w:rFonts w:ascii="Arial" w:cs="Arial" w:eastAsia="Arial" w:hAnsi="Arial"/>
          <w:sz w:val="17"/>
          <w:szCs w:val="17"/>
          <w:color w:val="auto"/>
        </w:rPr>
        <w:t xml:space="preserve">Our code of ethics is The Kyndryl Code of Conduct. The Kyndryl Code of Conduct is applicable to all our directors, officers and employees, including our Chairman and Chief Executive Officer, Chief Financial Officer, Controller and other senior financial officers. The Kyndryl Code of Conduct sets forth our policies and expectations on a number of topics, including conflicts of interest, compliance with laws (including insider trading laws), use of our assets and business conduct and fair dealing. The Kyndryl Code of Conduct also satisfies the requirements for a code of ethics, as defined by Item 406 of Regulation S-K promulgated by the SEC. The Kyndryl Code of Conduct can be found on our Investor Relations website at </w:t>
      </w:r>
      <w:r>
        <w:rPr>
          <w:rFonts w:ascii="Arial" w:cs="Arial" w:eastAsia="Arial" w:hAnsi="Arial"/>
          <w:sz w:val="17"/>
          <w:szCs w:val="17"/>
          <w:b w:val="1"/>
          <w:bCs w:val="1"/>
          <w:i w:val="1"/>
          <w:iCs w:val="1"/>
          <w:color w:val="auto"/>
        </w:rPr>
        <w:t>investors.kyndryl.com</w:t>
      </w:r>
      <w:r>
        <w:rPr>
          <w:rFonts w:ascii="Arial" w:cs="Arial" w:eastAsia="Arial" w:hAnsi="Arial"/>
          <w:sz w:val="17"/>
          <w:szCs w:val="17"/>
          <w:color w:val="auto"/>
        </w:rPr>
        <w:t xml:space="preserve"> under Corporate Responsibility: Governance: Governance Documents: The Kyndryl Code of Conduct.</w:t>
      </w:r>
    </w:p>
    <w:p>
      <w:pPr>
        <w:spacing w:after="0" w:line="130" w:lineRule="exact"/>
        <w:rPr>
          <w:sz w:val="20"/>
          <w:szCs w:val="20"/>
          <w:color w:val="auto"/>
        </w:rPr>
      </w:pPr>
    </w:p>
    <w:p>
      <w:pPr>
        <w:ind w:left="80" w:right="99"/>
        <w:spacing w:after="0" w:line="239" w:lineRule="auto"/>
        <w:rPr>
          <w:sz w:val="20"/>
          <w:szCs w:val="20"/>
          <w:color w:val="auto"/>
        </w:rPr>
      </w:pPr>
      <w:r>
        <w:rPr>
          <w:rFonts w:ascii="Arial" w:cs="Arial" w:eastAsia="Arial" w:hAnsi="Arial"/>
          <w:sz w:val="17"/>
          <w:szCs w:val="17"/>
          <w:color w:val="auto"/>
        </w:rPr>
        <w:t>To the extent applicable, we will disclose within four business days any substantive changes in, or waivers of, The Kyndryl Code of Conduct granted to our principal executive officer, principal financial officer, principal accounting officer or controller or persons performing similar functions, by posting such information on our website as set forth above rather than by filing a Current Report on Form 8-K. In the case of a waiver for an executive officer or a director, the required disclosure also will be made available on our website within four business days of the date of such waiver.</w:t>
      </w:r>
    </w:p>
    <w:p>
      <w:pPr>
        <w:spacing w:after="0" w:line="20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Securities Trading Policy</w:t>
      </w:r>
    </w:p>
    <w:p>
      <w:pPr>
        <w:spacing w:after="0" w:line="173" w:lineRule="exact"/>
        <w:rPr>
          <w:sz w:val="20"/>
          <w:szCs w:val="20"/>
          <w:color w:val="auto"/>
        </w:rPr>
      </w:pPr>
    </w:p>
    <w:p>
      <w:pPr>
        <w:ind w:left="80" w:right="319"/>
        <w:spacing w:after="0" w:line="236" w:lineRule="auto"/>
        <w:rPr>
          <w:sz w:val="20"/>
          <w:szCs w:val="20"/>
          <w:color w:val="auto"/>
        </w:rPr>
      </w:pPr>
      <w:r>
        <w:rPr>
          <w:rFonts w:ascii="Arial" w:cs="Arial" w:eastAsia="Arial" w:hAnsi="Arial"/>
          <w:sz w:val="17"/>
          <w:szCs w:val="17"/>
          <w:color w:val="auto"/>
        </w:rPr>
        <w:t>The Company has adopted a securities trading policy and procedures applicable to our directors, officers and employees, and implemented processes for the Company that are designed to promote compliance with insider trading laws and regulations. The policy prohibits the purchase, sale and any other transactions in securities of Kyndryl and other companies by any person while in possession of material, non-public information. The policy establishes quarterly trading windows during which Company directors, executive officers and key employees are unable to perform any transactions regarding Kyndryl securities, which helps avoid trading in the Company’s securities while in possession of possibly sensitive information not yet public. Directors, executive officers and key employees must request pre-approval to perform any transactions with their Kyndryl securities during open trading periods. For information regarding the Company’s prohibition on the hedging and pledging of Company stock, see “2026 Executive Compensation — Compensation Discussion and Analysis — Additional Compensation Information — Prohibition on Hedging and Pledging of Company Stock” of this Proxy Statement.</w:t>
      </w:r>
    </w:p>
    <w:p>
      <w:pPr>
        <w:spacing w:after="0" w:line="285"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Board Corporate Governance Guidelines</w:t>
      </w:r>
    </w:p>
    <w:p>
      <w:pPr>
        <w:spacing w:after="0" w:line="173" w:lineRule="exact"/>
        <w:rPr>
          <w:sz w:val="20"/>
          <w:szCs w:val="20"/>
          <w:color w:val="auto"/>
        </w:rPr>
      </w:pPr>
    </w:p>
    <w:p>
      <w:pPr>
        <w:ind w:left="80" w:right="479"/>
        <w:spacing w:after="0" w:line="241" w:lineRule="auto"/>
        <w:rPr>
          <w:sz w:val="20"/>
          <w:szCs w:val="20"/>
          <w:color w:val="auto"/>
        </w:rPr>
      </w:pPr>
      <w:r>
        <w:rPr>
          <w:rFonts w:ascii="Arial" w:cs="Arial" w:eastAsia="Arial" w:hAnsi="Arial"/>
          <w:sz w:val="17"/>
          <w:szCs w:val="17"/>
          <w:color w:val="auto"/>
        </w:rPr>
        <w:t>Our Board Corporate Governance Guidelines assist the Board in guiding our governance practices. Our Board Corporate Governance Guidelines are periodically reviewed by the Nominating and Governance Committee and Board, and any changes determined by the Nominating and Governance Committee to be appropriate in light of emerging governance practices or otherwise are submitted to the full Board for consideration. These guidelines describe the Board’s views in a number of areas, including:</w:t>
      </w:r>
    </w:p>
    <w:p>
      <w:pPr>
        <w:spacing w:after="0" w:line="72" w:lineRule="exact"/>
        <w:rPr>
          <w:sz w:val="20"/>
          <w:szCs w:val="20"/>
          <w:color w:val="auto"/>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Board independence;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leadership structure;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composition (including director qualifications, skills, backgrounds, and experiences);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responsibilities and operations (including director commitments and duties);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director compensation and stock ownership;</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Chief Executive Officer evaluation and succession planning;</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Board committees;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director orientation and continuing education;</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director access to management and independent advisors; and</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2"/>
        </w:numPr>
        <w:rPr>
          <w:rFonts w:ascii="Arial" w:cs="Arial" w:eastAsia="Arial" w:hAnsi="Arial"/>
          <w:sz w:val="17"/>
          <w:szCs w:val="17"/>
          <w:color w:val="F0533D"/>
        </w:rPr>
      </w:pPr>
      <w:r>
        <w:rPr>
          <w:rFonts w:ascii="Arial" w:cs="Arial" w:eastAsia="Arial" w:hAnsi="Arial"/>
          <w:sz w:val="17"/>
          <w:szCs w:val="17"/>
          <w:color w:val="auto"/>
        </w:rPr>
        <w:t>annual Board and committee evaluations.</w:t>
      </w:r>
    </w:p>
    <w:p>
      <w:pPr>
        <w:spacing w:after="0" w:line="156" w:lineRule="exact"/>
        <w:rPr>
          <w:sz w:val="20"/>
          <w:szCs w:val="20"/>
          <w:color w:val="auto"/>
        </w:rPr>
      </w:pPr>
    </w:p>
    <w:p>
      <w:pPr>
        <w:ind w:left="80" w:right="419"/>
        <w:spacing w:after="0" w:line="249" w:lineRule="auto"/>
        <w:rPr>
          <w:sz w:val="20"/>
          <w:szCs w:val="20"/>
          <w:color w:val="auto"/>
        </w:rPr>
      </w:pPr>
      <w:r>
        <w:rPr>
          <w:rFonts w:ascii="Arial" w:cs="Arial" w:eastAsia="Arial" w:hAnsi="Arial"/>
          <w:sz w:val="17"/>
          <w:szCs w:val="17"/>
          <w:color w:val="auto"/>
        </w:rPr>
        <w:t xml:space="preserve">Our Board Corporate Governance Guidelines can be found on our Investor Relations website at </w:t>
      </w:r>
      <w:r>
        <w:rPr>
          <w:rFonts w:ascii="Arial" w:cs="Arial" w:eastAsia="Arial" w:hAnsi="Arial"/>
          <w:sz w:val="17"/>
          <w:szCs w:val="17"/>
          <w:b w:val="1"/>
          <w:bCs w:val="1"/>
          <w:i w:val="1"/>
          <w:iCs w:val="1"/>
          <w:color w:val="auto"/>
        </w:rPr>
        <w:t xml:space="preserve">investors.kyndryl.com </w:t>
      </w:r>
      <w:r>
        <w:rPr>
          <w:rFonts w:ascii="Arial" w:cs="Arial" w:eastAsia="Arial" w:hAnsi="Arial"/>
          <w:sz w:val="17"/>
          <w:szCs w:val="17"/>
          <w:color w:val="auto"/>
        </w:rPr>
        <w:t>under Corporate Responsibility: Governance: Governance Documents: Board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Guidelines.</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Director Education</w:t>
      </w:r>
    </w:p>
    <w:p>
      <w:pPr>
        <w:spacing w:after="0" w:line="173" w:lineRule="exact"/>
        <w:rPr>
          <w:sz w:val="20"/>
          <w:szCs w:val="20"/>
          <w:color w:val="auto"/>
        </w:rPr>
      </w:pPr>
    </w:p>
    <w:p>
      <w:pPr>
        <w:ind w:left="80" w:right="479"/>
        <w:spacing w:after="0" w:line="244" w:lineRule="auto"/>
        <w:rPr>
          <w:sz w:val="20"/>
          <w:szCs w:val="20"/>
          <w:color w:val="auto"/>
        </w:rPr>
      </w:pPr>
      <w:r>
        <w:rPr>
          <w:rFonts w:ascii="Arial" w:cs="Arial" w:eastAsia="Arial" w:hAnsi="Arial"/>
          <w:sz w:val="17"/>
          <w:szCs w:val="17"/>
          <w:color w:val="auto"/>
        </w:rPr>
        <w:t>The Board is committed to the ongoing education and development of its directors to support effective oversight, informed decision-making, and strong corporate governance. To maintain and enhance their knowledge of the Company, its industry, and emerging risks and opportunities, directors regularly participate in the following educational activities:</w:t>
      </w:r>
    </w:p>
    <w:p>
      <w:pPr>
        <w:spacing w:after="0" w:line="69" w:lineRule="exact"/>
        <w:rPr>
          <w:sz w:val="20"/>
          <w:szCs w:val="20"/>
          <w:color w:val="auto"/>
        </w:rPr>
      </w:pPr>
    </w:p>
    <w:p>
      <w:pPr>
        <w:ind w:left="900" w:right="459" w:hanging="356"/>
        <w:spacing w:after="0" w:line="267" w:lineRule="auto"/>
        <w:tabs>
          <w:tab w:leader="none" w:pos="900" w:val="left"/>
        </w:tabs>
        <w:numPr>
          <w:ilvl w:val="0"/>
          <w:numId w:val="43"/>
        </w:numPr>
        <w:rPr>
          <w:rFonts w:ascii="Arial" w:cs="Arial" w:eastAsia="Arial" w:hAnsi="Arial"/>
          <w:sz w:val="17"/>
          <w:szCs w:val="17"/>
          <w:color w:val="F0533D"/>
        </w:rPr>
      </w:pPr>
      <w:r>
        <w:rPr>
          <w:rFonts w:ascii="Arial" w:cs="Arial" w:eastAsia="Arial" w:hAnsi="Arial"/>
          <w:sz w:val="17"/>
          <w:szCs w:val="17"/>
          <w:color w:val="auto"/>
        </w:rPr>
        <w:t>Presentations on a variety of topics relevant to the Company from internal and external subject matter experts</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43"/>
        </w:numPr>
        <w:rPr>
          <w:rFonts w:ascii="Arial" w:cs="Arial" w:eastAsia="Arial" w:hAnsi="Arial"/>
          <w:sz w:val="17"/>
          <w:szCs w:val="17"/>
          <w:color w:val="F0533D"/>
        </w:rPr>
      </w:pPr>
      <w:r>
        <w:rPr>
          <w:rFonts w:ascii="Arial" w:cs="Arial" w:eastAsia="Arial" w:hAnsi="Arial"/>
          <w:sz w:val="17"/>
          <w:szCs w:val="17"/>
          <w:color w:val="auto"/>
        </w:rPr>
        <w:t>Annual strategy discussion to gain a deeper understanding of the business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43"/>
        </w:numPr>
        <w:rPr>
          <w:rFonts w:ascii="Arial" w:cs="Arial" w:eastAsia="Arial" w:hAnsi="Arial"/>
          <w:sz w:val="17"/>
          <w:szCs w:val="17"/>
          <w:color w:val="F0533D"/>
        </w:rPr>
      </w:pPr>
      <w:r>
        <w:rPr>
          <w:rFonts w:ascii="Arial" w:cs="Arial" w:eastAsia="Arial" w:hAnsi="Arial"/>
          <w:sz w:val="17"/>
          <w:szCs w:val="17"/>
          <w:color w:val="auto"/>
        </w:rPr>
        <w:t>Education sessions on technological trends provided by management at a majority of Board meetings</w:t>
      </w:r>
    </w:p>
    <w:p>
      <w:pPr>
        <w:spacing w:after="0" w:line="101" w:lineRule="exact"/>
        <w:rPr>
          <w:rFonts w:ascii="Arial" w:cs="Arial" w:eastAsia="Arial" w:hAnsi="Arial"/>
          <w:sz w:val="17"/>
          <w:szCs w:val="17"/>
          <w:color w:val="F0533D"/>
        </w:rPr>
      </w:pPr>
    </w:p>
    <w:p>
      <w:pPr>
        <w:ind w:left="900" w:right="99" w:hanging="356"/>
        <w:spacing w:after="0" w:line="267" w:lineRule="auto"/>
        <w:tabs>
          <w:tab w:leader="none" w:pos="900" w:val="left"/>
        </w:tabs>
        <w:numPr>
          <w:ilvl w:val="0"/>
          <w:numId w:val="43"/>
        </w:numPr>
        <w:rPr>
          <w:rFonts w:ascii="Arial" w:cs="Arial" w:eastAsia="Arial" w:hAnsi="Arial"/>
          <w:sz w:val="17"/>
          <w:szCs w:val="17"/>
          <w:color w:val="F0533D"/>
        </w:rPr>
      </w:pPr>
      <w:r>
        <w:rPr>
          <w:rFonts w:ascii="Arial" w:cs="Arial" w:eastAsia="Arial" w:hAnsi="Arial"/>
          <w:sz w:val="17"/>
          <w:szCs w:val="17"/>
          <w:color w:val="auto"/>
        </w:rPr>
        <w:t>External education programs to enhance knowledge and effectiveness, including third-party resources and programs</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43"/>
        </w:numPr>
        <w:rPr>
          <w:rFonts w:ascii="Arial" w:cs="Arial" w:eastAsia="Arial" w:hAnsi="Arial"/>
          <w:sz w:val="17"/>
          <w:szCs w:val="17"/>
          <w:color w:val="F0533D"/>
        </w:rPr>
      </w:pPr>
      <w:r>
        <w:rPr>
          <w:rFonts w:ascii="Arial" w:cs="Arial" w:eastAsia="Arial" w:hAnsi="Arial"/>
          <w:sz w:val="17"/>
          <w:szCs w:val="17"/>
          <w:color w:val="auto"/>
        </w:rPr>
        <w:t>Programs through the Company’s membership in the National Association of Corporate Directors</w:t>
      </w:r>
    </w:p>
    <w:p>
      <w:pPr>
        <w:spacing w:after="0" w:line="23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Investor Engagement</w:t>
      </w:r>
    </w:p>
    <w:p>
      <w:pPr>
        <w:spacing w:after="0" w:line="173" w:lineRule="exact"/>
        <w:rPr>
          <w:sz w:val="20"/>
          <w:szCs w:val="20"/>
          <w:color w:val="auto"/>
        </w:rPr>
      </w:pPr>
    </w:p>
    <w:p>
      <w:pPr>
        <w:ind w:left="80" w:right="459"/>
        <w:spacing w:after="0" w:line="239" w:lineRule="auto"/>
        <w:rPr>
          <w:sz w:val="20"/>
          <w:szCs w:val="20"/>
          <w:color w:val="auto"/>
        </w:rPr>
      </w:pPr>
      <w:r>
        <w:rPr>
          <w:rFonts w:ascii="Arial" w:cs="Arial" w:eastAsia="Arial" w:hAnsi="Arial"/>
          <w:sz w:val="17"/>
          <w:szCs w:val="17"/>
          <w:color w:val="auto"/>
        </w:rPr>
        <w:t>Throughout the year, we proactively engage with our investor community on a variety of topics, including our business transformation, strategy, industry trends, financial performance, corporate governance, executive compensation and corporate citizenship. We engage with existing and potential stockholders to ensure their understanding of our strategy, to seek their input and feedback, and to remain well-informed regarding their perspectives. Beyond governance-related outreach, we also make an effort to engage with members of the investment community on company strategy, results, outlook and progress on medium-term business objectives.</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YEAR-ROUND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31815" cy="3343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63181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  </w:t>
      </w:r>
    </w:p>
    <w:p>
      <w:pPr>
        <w:spacing w:after="0" w:line="272" w:lineRule="exact"/>
        <w:rPr>
          <w:sz w:val="20"/>
          <w:szCs w:val="20"/>
          <w:color w:val="auto"/>
        </w:rPr>
      </w:pPr>
    </w:p>
    <w:tbl>
      <w:tblPr>
        <w:tblLayout w:type="fixed"/>
        <w:tblInd w:w="80" w:type="dxa"/>
        <w:tblCellMar>
          <w:top w:w="0" w:type="dxa"/>
          <w:left w:w="0" w:type="dxa"/>
          <w:bottom w:w="0" w:type="dxa"/>
          <w:right w:w="0" w:type="dxa"/>
        </w:tblCellMar>
      </w:tblPr>
      <w:tr>
        <w:trPr>
          <w:trHeight w:val="108"/>
        </w:trPr>
        <w:tc>
          <w:tcPr>
            <w:tcW w:w="100" w:type="dxa"/>
            <w:vAlign w:val="bottom"/>
            <w:shd w:val="clear" w:color="auto" w:fill="E6E6E6"/>
          </w:tcPr>
          <w:p>
            <w:pPr>
              <w:spacing w:after="0"/>
              <w:rPr>
                <w:sz w:val="9"/>
                <w:szCs w:val="9"/>
                <w:color w:val="auto"/>
              </w:rPr>
            </w:pPr>
          </w:p>
        </w:tc>
        <w:tc>
          <w:tcPr>
            <w:tcW w:w="4340" w:type="dxa"/>
            <w:vAlign w:val="bottom"/>
            <w:tcBorders>
              <w:right w:val="single" w:sz="8" w:color="939598"/>
            </w:tcBorders>
            <w:shd w:val="clear" w:color="auto" w:fill="E6E6E6"/>
          </w:tcPr>
          <w:p>
            <w:pPr>
              <w:spacing w:after="0"/>
              <w:rPr>
                <w:sz w:val="9"/>
                <w:szCs w:val="9"/>
                <w:color w:val="auto"/>
              </w:rPr>
            </w:pPr>
          </w:p>
        </w:tc>
        <w:tc>
          <w:tcPr>
            <w:tcW w:w="4420" w:type="dxa"/>
            <w:vAlign w:val="bottom"/>
            <w:vMerge w:val="restart"/>
            <w:shd w:val="clear" w:color="auto" w:fill="E6E6E6"/>
          </w:tcPr>
          <w:p>
            <w:pPr>
              <w:ind w:left="160"/>
              <w:spacing w:after="0"/>
              <w:rPr>
                <w:sz w:val="20"/>
                <w:szCs w:val="20"/>
                <w:color w:val="auto"/>
              </w:rPr>
            </w:pPr>
            <w:r>
              <w:rPr>
                <w:rFonts w:ascii="Arial" w:cs="Arial" w:eastAsia="Arial" w:hAnsi="Arial"/>
                <w:sz w:val="16"/>
                <w:szCs w:val="16"/>
                <w:b w:val="1"/>
                <w:bCs w:val="1"/>
                <w:color w:val="F0533D"/>
              </w:rPr>
              <w:t>Additional participating company attendees on a</w:t>
            </w:r>
          </w:p>
        </w:tc>
        <w:tc>
          <w:tcPr>
            <w:tcW w:w="0" w:type="dxa"/>
            <w:vAlign w:val="bottom"/>
          </w:tcPr>
          <w:p>
            <w:pPr>
              <w:spacing w:after="0"/>
              <w:rPr>
                <w:sz w:val="1"/>
                <w:szCs w:val="1"/>
                <w:color w:val="auto"/>
              </w:rPr>
            </w:pPr>
          </w:p>
        </w:tc>
      </w:tr>
      <w:tr>
        <w:trPr>
          <w:trHeight w:val="175"/>
        </w:trPr>
        <w:tc>
          <w:tcPr>
            <w:tcW w:w="100" w:type="dxa"/>
            <w:vAlign w:val="bottom"/>
            <w:shd w:val="clear" w:color="auto" w:fill="E6E6E6"/>
          </w:tcPr>
          <w:p>
            <w:pPr>
              <w:spacing w:after="0"/>
              <w:rPr>
                <w:sz w:val="15"/>
                <w:szCs w:val="15"/>
                <w:color w:val="auto"/>
              </w:rPr>
            </w:pPr>
          </w:p>
        </w:tc>
        <w:tc>
          <w:tcPr>
            <w:tcW w:w="4340" w:type="dxa"/>
            <w:vAlign w:val="bottom"/>
            <w:tcBorders>
              <w:right w:val="single" w:sz="8" w:color="E6E6E6"/>
            </w:tcBorders>
            <w:shd w:val="clear" w:color="auto" w:fill="E6E6E6"/>
          </w:tcPr>
          <w:p>
            <w:pPr>
              <w:spacing w:after="0"/>
              <w:rPr>
                <w:sz w:val="15"/>
                <w:szCs w:val="15"/>
                <w:color w:val="auto"/>
              </w:rPr>
            </w:pPr>
          </w:p>
        </w:tc>
        <w:tc>
          <w:tcPr>
            <w:tcW w:w="4420" w:type="dxa"/>
            <w:vAlign w:val="bottom"/>
            <w:vMerge w:val="continue"/>
            <w:shd w:val="clear" w:color="auto" w:fill="E6E6E6"/>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00" w:type="dxa"/>
            <w:vAlign w:val="bottom"/>
            <w:tcBorders>
              <w:bottom w:val="single" w:sz="8" w:color="E6E6E6"/>
            </w:tcBorders>
            <w:shd w:val="clear" w:color="auto" w:fill="E6E6E6"/>
          </w:tcPr>
          <w:p>
            <w:pPr>
              <w:spacing w:after="0"/>
              <w:rPr>
                <w:sz w:val="23"/>
                <w:szCs w:val="23"/>
                <w:color w:val="auto"/>
              </w:rPr>
            </w:pPr>
          </w:p>
        </w:tc>
        <w:tc>
          <w:tcPr>
            <w:tcW w:w="4340" w:type="dxa"/>
            <w:vAlign w:val="bottom"/>
            <w:tcBorders>
              <w:bottom w:val="single" w:sz="8" w:color="E6E6E6"/>
              <w:right w:val="single" w:sz="8" w:color="E6E6E6"/>
            </w:tcBorders>
            <w:shd w:val="clear" w:color="auto" w:fill="E6E6E6"/>
          </w:tcPr>
          <w:p>
            <w:pPr>
              <w:ind w:left="60"/>
              <w:spacing w:after="0"/>
              <w:rPr>
                <w:sz w:val="20"/>
                <w:szCs w:val="20"/>
                <w:color w:val="auto"/>
              </w:rPr>
            </w:pPr>
            <w:r>
              <w:rPr>
                <w:rFonts w:ascii="Arial" w:cs="Arial" w:eastAsia="Arial" w:hAnsi="Arial"/>
                <w:sz w:val="16"/>
                <w:szCs w:val="16"/>
                <w:b w:val="1"/>
                <w:bCs w:val="1"/>
                <w:color w:val="F0533D"/>
              </w:rPr>
              <w:t>Our engagement is primarily conducted by:</w:t>
            </w:r>
          </w:p>
        </w:tc>
        <w:tc>
          <w:tcPr>
            <w:tcW w:w="442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6"/>
                <w:szCs w:val="16"/>
                <w:b w:val="1"/>
                <w:bCs w:val="1"/>
                <w:color w:val="F0533D"/>
              </w:rPr>
              <w:t>periodic basis:</w:t>
            </w:r>
          </w:p>
        </w:tc>
        <w:tc>
          <w:tcPr>
            <w:tcW w:w="0" w:type="dxa"/>
            <w:vAlign w:val="bottom"/>
          </w:tcPr>
          <w:p>
            <w:pPr>
              <w:spacing w:after="0"/>
              <w:rPr>
                <w:sz w:val="1"/>
                <w:szCs w:val="1"/>
                <w:color w:val="auto"/>
              </w:rPr>
            </w:pPr>
          </w:p>
        </w:tc>
      </w:tr>
      <w:tr>
        <w:trPr>
          <w:trHeight w:val="236"/>
        </w:trPr>
        <w:tc>
          <w:tcPr>
            <w:tcW w:w="100" w:type="dxa"/>
            <w:vAlign w:val="bottom"/>
            <w:tcBorders>
              <w:top w:val="single" w:sz="8" w:color="F0533D"/>
            </w:tcBorders>
          </w:tcPr>
          <w:p>
            <w:pPr>
              <w:spacing w:after="0"/>
              <w:rPr>
                <w:sz w:val="20"/>
                <w:szCs w:val="20"/>
                <w:color w:val="auto"/>
              </w:rPr>
            </w:pPr>
          </w:p>
        </w:tc>
        <w:tc>
          <w:tcPr>
            <w:tcW w:w="4340" w:type="dxa"/>
            <w:vAlign w:val="bottom"/>
            <w:tcBorders>
              <w:top w:val="single" w:sz="8" w:color="F0533D"/>
              <w:right w:val="single" w:sz="8" w:color="939598"/>
            </w:tcBorders>
          </w:tcPr>
          <w:p>
            <w:pPr>
              <w:ind w:left="60"/>
              <w:spacing w:after="0"/>
              <w:rPr>
                <w:sz w:val="20"/>
                <w:szCs w:val="20"/>
                <w:color w:val="auto"/>
              </w:rPr>
            </w:pPr>
            <w:r>
              <w:rPr>
                <w:rFonts w:ascii="Arial" w:cs="Arial" w:eastAsia="Arial" w:hAnsi="Arial"/>
                <w:sz w:val="16"/>
                <w:szCs w:val="16"/>
                <w:color w:val="auto"/>
              </w:rPr>
              <w:t>  Chief Executive Officer</w:t>
            </w:r>
          </w:p>
        </w:tc>
        <w:tc>
          <w:tcPr>
            <w:tcW w:w="4420" w:type="dxa"/>
            <w:vAlign w:val="bottom"/>
            <w:tcBorders>
              <w:top w:val="single" w:sz="8" w:color="F0533D"/>
            </w:tcBorders>
          </w:tcPr>
          <w:p>
            <w:pPr>
              <w:ind w:left="160"/>
              <w:spacing w:after="0"/>
              <w:rPr>
                <w:sz w:val="20"/>
                <w:szCs w:val="20"/>
                <w:color w:val="auto"/>
              </w:rPr>
            </w:pPr>
            <w:r>
              <w:rPr>
                <w:rFonts w:ascii="Arial" w:cs="Arial" w:eastAsia="Arial" w:hAnsi="Arial"/>
                <w:sz w:val="16"/>
                <w:szCs w:val="16"/>
                <w:color w:val="auto"/>
              </w:rPr>
              <w:t>  The Board of Directors including the Lead</w:t>
            </w: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4340" w:type="dxa"/>
            <w:vAlign w:val="bottom"/>
            <w:tcBorders>
              <w:right w:val="single" w:sz="8" w:color="939598"/>
            </w:tcBorders>
            <w:vMerge w:val="restart"/>
          </w:tcPr>
          <w:p>
            <w:pPr>
              <w:ind w:left="60"/>
              <w:spacing w:after="0"/>
              <w:rPr>
                <w:sz w:val="20"/>
                <w:szCs w:val="20"/>
                <w:color w:val="auto"/>
              </w:rPr>
            </w:pPr>
            <w:r>
              <w:rPr>
                <w:rFonts w:ascii="Arial" w:cs="Arial" w:eastAsia="Arial" w:hAnsi="Arial"/>
                <w:sz w:val="16"/>
                <w:szCs w:val="16"/>
                <w:color w:val="auto"/>
              </w:rPr>
              <w:t>  Chief Financial Officer</w:t>
            </w:r>
          </w:p>
        </w:tc>
        <w:tc>
          <w:tcPr>
            <w:tcW w:w="4420" w:type="dxa"/>
            <w:vAlign w:val="bottom"/>
          </w:tcPr>
          <w:p>
            <w:pPr>
              <w:ind w:left="360"/>
              <w:spacing w:after="0"/>
              <w:rPr>
                <w:sz w:val="20"/>
                <w:szCs w:val="20"/>
                <w:color w:val="auto"/>
              </w:rPr>
            </w:pPr>
            <w:r>
              <w:rPr>
                <w:rFonts w:ascii="Arial" w:cs="Arial" w:eastAsia="Arial" w:hAnsi="Arial"/>
                <w:sz w:val="16"/>
                <w:szCs w:val="16"/>
                <w:color w:val="auto"/>
              </w:rPr>
              <w:t>Independent Director</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4340" w:type="dxa"/>
            <w:vAlign w:val="bottom"/>
            <w:tcBorders>
              <w:right w:val="single" w:sz="8" w:color="939598"/>
            </w:tcBorders>
            <w:vMerge w:val="continue"/>
          </w:tcPr>
          <w:p>
            <w:pPr>
              <w:spacing w:after="0"/>
              <w:rPr>
                <w:sz w:val="14"/>
                <w:szCs w:val="14"/>
                <w:color w:val="auto"/>
              </w:rPr>
            </w:pPr>
          </w:p>
        </w:tc>
        <w:tc>
          <w:tcPr>
            <w:tcW w:w="4420" w:type="dxa"/>
            <w:vAlign w:val="bottom"/>
            <w:vMerge w:val="restart"/>
          </w:tcPr>
          <w:p>
            <w:pPr>
              <w:ind w:left="160"/>
              <w:spacing w:after="0"/>
              <w:rPr>
                <w:sz w:val="20"/>
                <w:szCs w:val="20"/>
                <w:color w:val="auto"/>
              </w:rPr>
            </w:pPr>
            <w:r>
              <w:rPr>
                <w:rFonts w:ascii="Arial" w:cs="Arial" w:eastAsia="Arial" w:hAnsi="Arial"/>
                <w:sz w:val="16"/>
                <w:szCs w:val="16"/>
                <w:color w:val="auto"/>
              </w:rPr>
              <w:t>  Corporate Secretary team</w:t>
            </w: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4340" w:type="dxa"/>
            <w:vAlign w:val="bottom"/>
            <w:tcBorders>
              <w:right w:val="single" w:sz="8" w:color="939598"/>
            </w:tcBorders>
            <w:vMerge w:val="restart"/>
          </w:tcPr>
          <w:p>
            <w:pPr>
              <w:ind w:left="60"/>
              <w:spacing w:after="0"/>
              <w:rPr>
                <w:sz w:val="20"/>
                <w:szCs w:val="20"/>
                <w:color w:val="auto"/>
              </w:rPr>
            </w:pPr>
            <w:r>
              <w:rPr>
                <w:rFonts w:ascii="Arial" w:cs="Arial" w:eastAsia="Arial" w:hAnsi="Arial"/>
                <w:sz w:val="16"/>
                <w:szCs w:val="16"/>
                <w:color w:val="auto"/>
              </w:rPr>
              <w:t>  Global Head of Investor Relations</w:t>
            </w:r>
          </w:p>
        </w:tc>
        <w:tc>
          <w:tcPr>
            <w:tcW w:w="4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4340" w:type="dxa"/>
            <w:vAlign w:val="bottom"/>
            <w:tcBorders>
              <w:right w:val="single" w:sz="8" w:color="939598"/>
            </w:tcBorders>
            <w:vMerge w:val="continue"/>
          </w:tcPr>
          <w:p>
            <w:pPr>
              <w:spacing w:after="0"/>
              <w:rPr>
                <w:sz w:val="14"/>
                <w:szCs w:val="14"/>
                <w:color w:val="auto"/>
              </w:rPr>
            </w:pPr>
          </w:p>
        </w:tc>
        <w:tc>
          <w:tcPr>
            <w:tcW w:w="4420" w:type="dxa"/>
            <w:vAlign w:val="bottom"/>
            <w:vMerge w:val="restart"/>
          </w:tcPr>
          <w:p>
            <w:pPr>
              <w:ind w:left="160"/>
              <w:spacing w:after="0"/>
              <w:rPr>
                <w:sz w:val="20"/>
                <w:szCs w:val="20"/>
                <w:color w:val="auto"/>
              </w:rPr>
            </w:pPr>
            <w:r>
              <w:rPr>
                <w:rFonts w:ascii="Arial" w:cs="Arial" w:eastAsia="Arial" w:hAnsi="Arial"/>
                <w:sz w:val="16"/>
                <w:szCs w:val="16"/>
                <w:color w:val="auto"/>
              </w:rPr>
              <w:t>  Executive Compensation and Human Resources team</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4340" w:type="dxa"/>
            <w:vAlign w:val="bottom"/>
            <w:tcBorders>
              <w:right w:val="single" w:sz="8" w:color="939598"/>
            </w:tcBorders>
          </w:tcPr>
          <w:p>
            <w:pPr>
              <w:spacing w:after="0"/>
              <w:rPr>
                <w:sz w:val="10"/>
                <w:szCs w:val="10"/>
                <w:color w:val="auto"/>
              </w:rPr>
            </w:pPr>
          </w:p>
        </w:tc>
        <w:tc>
          <w:tcPr>
            <w:tcW w:w="4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00" w:type="dxa"/>
            <w:vAlign w:val="bottom"/>
            <w:tcBorders>
              <w:bottom w:val="single" w:sz="8" w:color="F0533D"/>
            </w:tcBorders>
          </w:tcPr>
          <w:p>
            <w:pPr>
              <w:spacing w:after="0"/>
              <w:rPr>
                <w:sz w:val="24"/>
                <w:szCs w:val="24"/>
                <w:color w:val="auto"/>
              </w:rPr>
            </w:pPr>
          </w:p>
        </w:tc>
        <w:tc>
          <w:tcPr>
            <w:tcW w:w="4340" w:type="dxa"/>
            <w:vAlign w:val="bottom"/>
            <w:tcBorders>
              <w:bottom w:val="single" w:sz="8" w:color="F0533D"/>
              <w:right w:val="single" w:sz="8" w:color="939598"/>
            </w:tcBorders>
          </w:tcPr>
          <w:p>
            <w:pPr>
              <w:spacing w:after="0"/>
              <w:rPr>
                <w:sz w:val="24"/>
                <w:szCs w:val="24"/>
                <w:color w:val="auto"/>
              </w:rPr>
            </w:pPr>
          </w:p>
        </w:tc>
        <w:tc>
          <w:tcPr>
            <w:tcW w:w="4420" w:type="dxa"/>
            <w:vAlign w:val="bottom"/>
            <w:tcBorders>
              <w:bottom w:val="single" w:sz="8" w:color="F0533D"/>
            </w:tcBorders>
          </w:tcPr>
          <w:p>
            <w:pPr>
              <w:ind w:left="160"/>
              <w:spacing w:after="0"/>
              <w:rPr>
                <w:sz w:val="20"/>
                <w:szCs w:val="20"/>
                <w:color w:val="auto"/>
              </w:rPr>
            </w:pPr>
            <w:r>
              <w:rPr>
                <w:rFonts w:ascii="Arial" w:cs="Arial" w:eastAsia="Arial" w:hAnsi="Arial"/>
                <w:sz w:val="16"/>
                <w:szCs w:val="16"/>
                <w:color w:val="auto"/>
              </w:rPr>
              <w:t>  Senior Business and Operational Leaders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-1169670</wp:posOffset>
            </wp:positionV>
            <wp:extent cx="34290" cy="3168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4290" cy="316865"/>
                    </a:xfrm>
                    <a:prstGeom prst="rect">
                      <a:avLst/>
                    </a:prstGeom>
                    <a:noFill/>
                  </pic:spPr>
                </pic:pic>
              </a:graphicData>
            </a:graphic>
          </wp:anchor>
        </w:drawing>
      </w:r>
    </w:p>
    <w:p>
      <w:pPr>
        <w:spacing w:after="0" w:line="17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FISCAL 2026 ENGAGEMENT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97" w:lineRule="exact"/>
        <w:rPr>
          <w:sz w:val="20"/>
          <w:szCs w:val="20"/>
          <w:color w:val="auto"/>
        </w:rPr>
      </w:pPr>
    </w:p>
    <w:tbl>
      <w:tblPr>
        <w:tblLayout w:type="fixed"/>
        <w:tblInd w:w="80" w:type="dxa"/>
        <w:tblCellMar>
          <w:top w:w="0" w:type="dxa"/>
          <w:left w:w="0" w:type="dxa"/>
          <w:bottom w:w="0" w:type="dxa"/>
          <w:right w:w="0" w:type="dxa"/>
        </w:tblCellMar>
      </w:tblPr>
      <w:tr>
        <w:trPr>
          <w:trHeight w:val="377"/>
        </w:trPr>
        <w:tc>
          <w:tcPr>
            <w:tcW w:w="4000" w:type="dxa"/>
            <w:vAlign w:val="bottom"/>
            <w:shd w:val="clear" w:color="auto" w:fill="F0533D"/>
          </w:tcPr>
          <w:p>
            <w:pPr>
              <w:ind w:left="320"/>
              <w:spacing w:after="0"/>
              <w:rPr>
                <w:sz w:val="20"/>
                <w:szCs w:val="20"/>
                <w:color w:val="auto"/>
              </w:rPr>
            </w:pPr>
            <w:r>
              <w:rPr>
                <w:rFonts w:ascii="Arial" w:cs="Arial" w:eastAsia="Arial" w:hAnsi="Arial"/>
                <w:sz w:val="16"/>
                <w:szCs w:val="16"/>
                <w:color w:val="FFFFFF"/>
              </w:rPr>
              <w:t xml:space="preserve">Met, in-person or virtually, with more than </w:t>
            </w:r>
            <w:r>
              <w:rPr>
                <w:rFonts w:ascii="Arial" w:cs="Arial" w:eastAsia="Arial" w:hAnsi="Arial"/>
                <w:sz w:val="16"/>
                <w:szCs w:val="16"/>
                <w:b w:val="1"/>
                <w:bCs w:val="1"/>
                <w:color w:val="FFFFFF"/>
              </w:rPr>
              <w:t>125</w:t>
            </w:r>
          </w:p>
        </w:tc>
        <w:tc>
          <w:tcPr>
            <w:tcW w:w="740" w:type="dxa"/>
            <w:vAlign w:val="bottom"/>
          </w:tcPr>
          <w:p>
            <w:pPr>
              <w:spacing w:after="0"/>
              <w:rPr>
                <w:sz w:val="24"/>
                <w:szCs w:val="24"/>
                <w:color w:val="auto"/>
              </w:rPr>
            </w:pPr>
          </w:p>
        </w:tc>
        <w:tc>
          <w:tcPr>
            <w:tcW w:w="4120" w:type="dxa"/>
            <w:vAlign w:val="bottom"/>
            <w:shd w:val="clear" w:color="auto" w:fill="F0533D"/>
          </w:tcPr>
          <w:p>
            <w:pPr>
              <w:ind w:left="340"/>
              <w:spacing w:after="0"/>
              <w:rPr>
                <w:sz w:val="20"/>
                <w:szCs w:val="20"/>
                <w:color w:val="auto"/>
              </w:rPr>
            </w:pPr>
            <w:r>
              <w:rPr>
                <w:rFonts w:ascii="Arial" w:cs="Arial" w:eastAsia="Arial" w:hAnsi="Arial"/>
                <w:sz w:val="16"/>
                <w:szCs w:val="16"/>
                <w:color w:val="FFFFFF"/>
              </w:rPr>
              <w:t>Year-round engagement covered greater</w:t>
            </w:r>
          </w:p>
        </w:tc>
      </w:tr>
      <w:tr>
        <w:trPr>
          <w:trHeight w:val="203"/>
        </w:trPr>
        <w:tc>
          <w:tcPr>
            <w:tcW w:w="4000" w:type="dxa"/>
            <w:vAlign w:val="bottom"/>
            <w:shd w:val="clear" w:color="auto" w:fill="F0533D"/>
          </w:tcPr>
          <w:p>
            <w:pPr>
              <w:ind w:left="320"/>
              <w:spacing w:after="0"/>
              <w:rPr>
                <w:sz w:val="20"/>
                <w:szCs w:val="20"/>
                <w:color w:val="auto"/>
              </w:rPr>
            </w:pPr>
            <w:r>
              <w:rPr>
                <w:rFonts w:ascii="Arial" w:cs="Arial" w:eastAsia="Arial" w:hAnsi="Arial"/>
                <w:sz w:val="16"/>
                <w:szCs w:val="16"/>
                <w:color w:val="FFFFFF"/>
              </w:rPr>
              <w:t>investment firms</w:t>
            </w:r>
          </w:p>
        </w:tc>
        <w:tc>
          <w:tcPr>
            <w:tcW w:w="740" w:type="dxa"/>
            <w:vAlign w:val="bottom"/>
          </w:tcPr>
          <w:p>
            <w:pPr>
              <w:spacing w:after="0"/>
              <w:rPr>
                <w:sz w:val="17"/>
                <w:szCs w:val="17"/>
                <w:color w:val="auto"/>
              </w:rPr>
            </w:pPr>
          </w:p>
        </w:tc>
        <w:tc>
          <w:tcPr>
            <w:tcW w:w="4120" w:type="dxa"/>
            <w:vAlign w:val="bottom"/>
            <w:shd w:val="clear" w:color="auto" w:fill="F0533D"/>
          </w:tcPr>
          <w:p>
            <w:pPr>
              <w:ind w:left="340"/>
              <w:spacing w:after="0"/>
              <w:rPr>
                <w:sz w:val="20"/>
                <w:szCs w:val="20"/>
                <w:color w:val="auto"/>
              </w:rPr>
            </w:pPr>
            <w:r>
              <w:rPr>
                <w:rFonts w:ascii="Arial" w:cs="Arial" w:eastAsia="Arial" w:hAnsi="Arial"/>
                <w:sz w:val="16"/>
                <w:szCs w:val="16"/>
                <w:color w:val="FFFFFF"/>
              </w:rPr>
              <w:t xml:space="preserve">than </w:t>
            </w:r>
            <w:r>
              <w:rPr>
                <w:rFonts w:ascii="Arial" w:cs="Arial" w:eastAsia="Arial" w:hAnsi="Arial"/>
                <w:sz w:val="16"/>
                <w:szCs w:val="16"/>
                <w:b w:val="1"/>
                <w:bCs w:val="1"/>
                <w:color w:val="FFFFFF"/>
              </w:rPr>
              <w:t>50%</w:t>
            </w:r>
            <w:r>
              <w:rPr>
                <w:rFonts w:ascii="Arial" w:cs="Arial" w:eastAsia="Arial" w:hAnsi="Arial"/>
                <w:sz w:val="16"/>
                <w:szCs w:val="16"/>
                <w:color w:val="FFFFFF"/>
              </w:rPr>
              <w:t xml:space="preserve"> of our shares outstanding</w:t>
            </w:r>
          </w:p>
        </w:tc>
      </w:tr>
      <w:tr>
        <w:trPr>
          <w:trHeight w:val="149"/>
        </w:trPr>
        <w:tc>
          <w:tcPr>
            <w:tcW w:w="4000" w:type="dxa"/>
            <w:vAlign w:val="bottom"/>
            <w:shd w:val="clear" w:color="auto" w:fill="F0533D"/>
          </w:tcPr>
          <w:p>
            <w:pPr>
              <w:spacing w:after="0"/>
              <w:rPr>
                <w:sz w:val="12"/>
                <w:szCs w:val="12"/>
                <w:color w:val="auto"/>
              </w:rPr>
            </w:pPr>
          </w:p>
        </w:tc>
        <w:tc>
          <w:tcPr>
            <w:tcW w:w="740" w:type="dxa"/>
            <w:vAlign w:val="bottom"/>
          </w:tcPr>
          <w:p>
            <w:pPr>
              <w:spacing w:after="0"/>
              <w:rPr>
                <w:sz w:val="12"/>
                <w:szCs w:val="12"/>
                <w:color w:val="auto"/>
              </w:rPr>
            </w:pPr>
          </w:p>
        </w:tc>
        <w:tc>
          <w:tcPr>
            <w:tcW w:w="4120" w:type="dxa"/>
            <w:vAlign w:val="bottom"/>
            <w:shd w:val="clear" w:color="auto" w:fill="F0533D"/>
          </w:tcPr>
          <w:p>
            <w:pPr>
              <w:spacing w:after="0"/>
              <w:rPr>
                <w:sz w:val="12"/>
                <w:szCs w:val="12"/>
                <w:color w:val="auto"/>
              </w:rPr>
            </w:pPr>
          </w:p>
        </w:tc>
      </w:tr>
    </w:tbl>
    <w:p>
      <w:pPr>
        <w:spacing w:after="0" w:line="215"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Corporate Citizenship at Kyndryl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72390</wp:posOffset>
            </wp:positionV>
            <wp:extent cx="5623560" cy="685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623560" cy="68580"/>
                    </a:xfrm>
                    <a:prstGeom prst="rect">
                      <a:avLst/>
                    </a:prstGeom>
                    <a:noFill/>
                  </pic:spPr>
                </pic:pic>
              </a:graphicData>
            </a:graphic>
          </wp:anchor>
        </w:drawing>
      </w:r>
    </w:p>
    <w:p>
      <w:pPr>
        <w:spacing w:after="0" w:line="56"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23114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231140"/>
                    </a:xfrm>
                    <a:prstGeom prst="rect">
                      <a:avLst/>
                    </a:prstGeom>
                    <a:noFill/>
                    <a:ln>
                      <a:noFill/>
                    </a:ln>
                  </pic:spPr>
                </pic:pic>
              </a:graphicData>
            </a:graphic>
          </wp:inline>
        </w:drawing>
      </w:r>
      <w:r>
        <w:rPr>
          <w:rFonts w:ascii="Arial" w:cs="Arial" w:eastAsia="Arial" w:hAnsi="Arial"/>
          <w:sz w:val="18"/>
          <w:szCs w:val="18"/>
          <w:b w:val="1"/>
          <w:bCs w:val="1"/>
          <w:color w:val="FFFFFF"/>
        </w:rPr>
        <w:t xml:space="preserve"> ALIGNING OUR CORPORATE CITIZENSHIP STRATEGY WITH OUR 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-161925</wp:posOffset>
            </wp:positionV>
            <wp:extent cx="5554980" cy="1625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554980" cy="162560"/>
                    </a:xfrm>
                    <a:prstGeom prst="rect">
                      <a:avLst/>
                    </a:prstGeom>
                    <a:noFill/>
                  </pic:spPr>
                </pic:pic>
              </a:graphicData>
            </a:graphic>
          </wp:anchor>
        </w:drawing>
      </w:r>
    </w:p>
    <w:p>
      <w:pPr>
        <w:spacing w:after="0" w:line="228" w:lineRule="exact"/>
        <w:rPr>
          <w:sz w:val="20"/>
          <w:szCs w:val="20"/>
          <w:color w:val="auto"/>
        </w:rPr>
      </w:pPr>
    </w:p>
    <w:p>
      <w:pPr>
        <w:ind w:left="600" w:right="339"/>
        <w:spacing w:after="0" w:line="232" w:lineRule="auto"/>
        <w:rPr>
          <w:sz w:val="20"/>
          <w:szCs w:val="20"/>
          <w:color w:val="auto"/>
        </w:rPr>
      </w:pPr>
      <w:r>
        <w:rPr>
          <w:rFonts w:ascii="Arial" w:cs="Arial" w:eastAsia="Arial" w:hAnsi="Arial"/>
          <w:sz w:val="17"/>
          <w:szCs w:val="17"/>
          <w:color w:val="auto"/>
        </w:rPr>
        <w:t>We are powering human progress and driving long-term business value by supporting environmental stewardship, fostering employees’ sense of belonging and promoting good governance practices. Kyndryl’s Corporate Citizenship strategy is aligned with our strategic business priorities and designed to strengthen operational performance, enhance risk management, and support sustainable growth. We focus on three interconnected domains: Environment, People and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-585470</wp:posOffset>
            </wp:positionV>
            <wp:extent cx="197485" cy="5918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97485" cy="591820"/>
                    </a:xfrm>
                    <a:prstGeom prst="rect">
                      <a:avLst/>
                    </a:prstGeom>
                    <a:noFill/>
                  </pic:spPr>
                </pic:pic>
              </a:graphicData>
            </a:graphic>
          </wp:anchor>
        </w:drawing>
      </w:r>
    </w:p>
    <w:p>
      <w:pPr>
        <w:ind w:left="600" w:hanging="353"/>
        <w:spacing w:after="0"/>
        <w:tabs>
          <w:tab w:leader="none" w:pos="6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 </w:t>
      </w:r>
    </w:p>
    <w:p>
      <w:pPr>
        <w:spacing w:after="0" w:line="7" w:lineRule="exact"/>
        <w:rPr>
          <w:rFonts w:ascii="Arial" w:cs="Arial" w:eastAsia="Arial" w:hAnsi="Arial"/>
          <w:sz w:val="17"/>
          <w:szCs w:val="17"/>
          <w:color w:val="auto"/>
        </w:rPr>
      </w:pPr>
    </w:p>
    <w:p>
      <w:pPr>
        <w:ind w:left="600" w:right="239"/>
        <w:spacing w:after="0" w:line="232" w:lineRule="auto"/>
        <w:rPr>
          <w:rFonts w:ascii="Arial" w:cs="Arial" w:eastAsia="Arial" w:hAnsi="Arial"/>
          <w:sz w:val="17"/>
          <w:szCs w:val="17"/>
          <w:color w:val="auto"/>
        </w:rPr>
      </w:pPr>
      <w:r>
        <w:rPr>
          <w:rFonts w:ascii="Arial" w:cs="Arial" w:eastAsia="Arial" w:hAnsi="Arial"/>
          <w:sz w:val="17"/>
          <w:szCs w:val="17"/>
          <w:b w:val="1"/>
          <w:bCs w:val="1"/>
          <w:color w:val="auto"/>
        </w:rPr>
        <w:t xml:space="preserve">Environment </w:t>
      </w:r>
      <w:r>
        <w:rPr>
          <w:rFonts w:ascii="Arial" w:cs="Arial" w:eastAsia="Arial" w:hAnsi="Arial"/>
          <w:sz w:val="17"/>
          <w:szCs w:val="17"/>
          <w:color w:val="auto"/>
        </w:rPr>
        <w:t>advances sustainable business practices that improve operational efficiency, strengthen our</w:t>
      </w:r>
      <w:r>
        <w:rPr>
          <w:rFonts w:ascii="Arial" w:cs="Arial" w:eastAsia="Arial" w:hAnsi="Arial"/>
          <w:sz w:val="17"/>
          <w:szCs w:val="17"/>
          <w:b w:val="1"/>
          <w:bCs w:val="1"/>
          <w:color w:val="auto"/>
        </w:rPr>
        <w:t xml:space="preserve"> </w:t>
      </w:r>
      <w:r>
        <w:rPr>
          <w:rFonts w:ascii="Arial" w:cs="Arial" w:eastAsia="Arial" w:hAnsi="Arial"/>
          <w:sz w:val="17"/>
          <w:szCs w:val="17"/>
          <w:color w:val="auto"/>
        </w:rPr>
        <w:t>supply chain, and reduce risk. By embedding sustainability into our operations and service delivery, we enhance resilience, manage costs and support regulatory readiness. We also develop and deliver innovative sustainability solutions that help our customers meet their own environmental goals, strengthening relationships and creating growth opportunities.</w:t>
      </w:r>
    </w:p>
    <w:p>
      <w:pPr>
        <w:ind w:left="600"/>
        <w:spacing w:after="0" w:line="232" w:lineRule="auto"/>
        <w:rPr>
          <w:rFonts w:ascii="Arial" w:cs="Arial" w:eastAsia="Arial" w:hAnsi="Arial"/>
          <w:sz w:val="17"/>
          <w:szCs w:val="17"/>
          <w:color w:val="auto"/>
        </w:rPr>
      </w:pPr>
      <w:r>
        <w:rPr>
          <w:rFonts w:ascii="Arial" w:cs="Arial" w:eastAsia="Arial" w:hAnsi="Arial"/>
          <w:sz w:val="17"/>
          <w:szCs w:val="17"/>
          <w:color w:val="auto"/>
        </w:rPr>
        <w:t> </w:t>
      </w:r>
    </w:p>
    <w:p>
      <w:pPr>
        <w:ind w:left="600" w:right="159"/>
        <w:spacing w:after="0" w:line="232" w:lineRule="auto"/>
        <w:rPr>
          <w:rFonts w:ascii="Arial" w:cs="Arial" w:eastAsia="Arial" w:hAnsi="Arial"/>
          <w:sz w:val="17"/>
          <w:szCs w:val="17"/>
          <w:color w:val="auto"/>
        </w:rPr>
      </w:pPr>
      <w:r>
        <w:rPr>
          <w:rFonts w:ascii="Arial" w:cs="Arial" w:eastAsia="Arial" w:hAnsi="Arial"/>
          <w:sz w:val="17"/>
          <w:szCs w:val="17"/>
          <w:b w:val="1"/>
          <w:bCs w:val="1"/>
          <w:color w:val="auto"/>
        </w:rPr>
        <w:t xml:space="preserve">People </w:t>
      </w:r>
      <w:r>
        <w:rPr>
          <w:rFonts w:ascii="Arial" w:cs="Arial" w:eastAsia="Arial" w:hAnsi="Arial"/>
          <w:sz w:val="17"/>
          <w:szCs w:val="17"/>
          <w:color w:val="auto"/>
        </w:rPr>
        <w:t>strengthen our ability to attract, develop, and retain skilled talent in a competitive market. By investing</w:t>
      </w:r>
      <w:r>
        <w:rPr>
          <w:rFonts w:ascii="Arial" w:cs="Arial" w:eastAsia="Arial" w:hAnsi="Arial"/>
          <w:sz w:val="17"/>
          <w:szCs w:val="17"/>
          <w:b w:val="1"/>
          <w:bCs w:val="1"/>
          <w:color w:val="auto"/>
        </w:rPr>
        <w:t xml:space="preserve"> </w:t>
      </w:r>
      <w:r>
        <w:rPr>
          <w:rFonts w:ascii="Arial" w:cs="Arial" w:eastAsia="Arial" w:hAnsi="Arial"/>
          <w:sz w:val="17"/>
          <w:szCs w:val="17"/>
          <w:color w:val="auto"/>
        </w:rPr>
        <w:t>in skills development, employee engagement, well-being, and an inclusive workplace culture, we enhance productivity, innovation and collaboration. Our commitment to health and safety, human rights and community impact supports workforce stability and reinforces our reputation as an employer of choice.</w:t>
      </w:r>
    </w:p>
    <w:p>
      <w:pPr>
        <w:ind w:left="600"/>
        <w:spacing w:after="0" w:line="232" w:lineRule="auto"/>
        <w:rPr>
          <w:rFonts w:ascii="Arial" w:cs="Arial" w:eastAsia="Arial" w:hAnsi="Arial"/>
          <w:sz w:val="17"/>
          <w:szCs w:val="17"/>
          <w:color w:val="auto"/>
        </w:rPr>
      </w:pPr>
      <w:r>
        <w:rPr>
          <w:rFonts w:ascii="Arial" w:cs="Arial" w:eastAsia="Arial" w:hAnsi="Arial"/>
          <w:sz w:val="17"/>
          <w:szCs w:val="17"/>
          <w:color w:val="auto"/>
        </w:rPr>
        <w:t> </w:t>
      </w:r>
    </w:p>
    <w:p>
      <w:pPr>
        <w:ind w:left="600" w:right="119"/>
        <w:spacing w:after="0"/>
        <w:rPr>
          <w:rFonts w:ascii="Arial" w:cs="Arial" w:eastAsia="Arial" w:hAnsi="Arial"/>
          <w:sz w:val="17"/>
          <w:szCs w:val="17"/>
          <w:color w:val="auto"/>
        </w:rPr>
      </w:pPr>
      <w:r>
        <w:rPr>
          <w:rFonts w:ascii="Arial" w:cs="Arial" w:eastAsia="Arial" w:hAnsi="Arial"/>
          <w:sz w:val="17"/>
          <w:szCs w:val="17"/>
          <w:b w:val="1"/>
          <w:bCs w:val="1"/>
          <w:color w:val="auto"/>
        </w:rPr>
        <w:t xml:space="preserve">Trust </w:t>
      </w:r>
      <w:r>
        <w:rPr>
          <w:rFonts w:ascii="Arial" w:cs="Arial" w:eastAsia="Arial" w:hAnsi="Arial"/>
          <w:sz w:val="17"/>
          <w:szCs w:val="17"/>
          <w:color w:val="auto"/>
        </w:rPr>
        <w:t>is foundational to delivering value in mission-critical services. Through governance, ethical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and compliance programs, we mitigate risk, safeguard our reputation and maintain relations with our customers, shareholders and other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68580</wp:posOffset>
            </wp:positionV>
            <wp:extent cx="5623560" cy="6858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623560" cy="68580"/>
                    </a:xfrm>
                    <a:prstGeom prst="rect">
                      <a:avLst/>
                    </a:prstGeom>
                    <a:noFill/>
                  </pic:spPr>
                </pic:pic>
              </a:graphicData>
            </a:graphic>
          </wp:anchor>
        </w:drawing>
      </w:r>
    </w:p>
    <w:p>
      <w:pPr>
        <w:spacing w:after="0" w:line="50"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23114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231140"/>
                    </a:xfrm>
                    <a:prstGeom prst="rect">
                      <a:avLst/>
                    </a:prstGeom>
                    <a:noFill/>
                    <a:ln>
                      <a:noFill/>
                    </a:ln>
                  </pic:spPr>
                </pic:pic>
              </a:graphicData>
            </a:graphic>
          </wp:inline>
        </w:drawing>
      </w:r>
      <w:r>
        <w:rPr>
          <w:rFonts w:ascii="Arial" w:cs="Arial" w:eastAsia="Arial" w:hAnsi="Arial"/>
          <w:sz w:val="18"/>
          <w:szCs w:val="18"/>
          <w:b w:val="1"/>
          <w:bCs w:val="1"/>
          <w:color w:val="FFFFFF"/>
        </w:rPr>
        <w:t xml:space="preserve"> BOARD OVERSIGHT OF CORPORATE CITIZENSHIP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-162560</wp:posOffset>
            </wp:positionV>
            <wp:extent cx="5554980" cy="1631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120" w:lineRule="exact"/>
        <w:rPr>
          <w:sz w:val="20"/>
          <w:szCs w:val="20"/>
          <w:color w:val="auto"/>
        </w:rPr>
      </w:pPr>
    </w:p>
    <w:p>
      <w:pPr>
        <w:ind w:left="80" w:right="119"/>
        <w:spacing w:after="0" w:line="249" w:lineRule="auto"/>
        <w:rPr>
          <w:sz w:val="20"/>
          <w:szCs w:val="20"/>
          <w:color w:val="auto"/>
        </w:rPr>
      </w:pPr>
      <w:r>
        <w:rPr>
          <w:rFonts w:ascii="Arial" w:cs="Arial" w:eastAsia="Arial" w:hAnsi="Arial"/>
          <w:sz w:val="17"/>
          <w:szCs w:val="17"/>
          <w:color w:val="auto"/>
        </w:rPr>
        <w:t>An essential aspect of executing our Corporate Citizenship strategy is the role our Board plays. Our Board has oversight of our strategy and the effective implementation of our plans. The Board established the oversight structure below to support management’s execution of our Corporate Citizenship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184785</wp:posOffset>
            </wp:positionV>
            <wp:extent cx="4500245" cy="2322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50024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52705</wp:posOffset>
            </wp:positionV>
            <wp:extent cx="5623560" cy="6858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623560" cy="68580"/>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sz w:val="1"/>
          <w:szCs w:val="1"/>
          <w:color w:val="auto"/>
        </w:rPr>
        <w:drawing>
          <wp:inline distT="0" distB="0" distL="0" distR="0">
            <wp:extent cx="68580" cy="231775"/>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231775"/>
                    </a:xfrm>
                    <a:prstGeom prst="rect">
                      <a:avLst/>
                    </a:prstGeom>
                    <a:noFill/>
                    <a:ln>
                      <a:noFill/>
                    </a:ln>
                  </pic:spPr>
                </pic:pic>
              </a:graphicData>
            </a:graphic>
          </wp:inline>
        </w:drawing>
      </w:r>
      <w:r>
        <w:rPr>
          <w:rFonts w:ascii="Arial" w:cs="Arial" w:eastAsia="Arial" w:hAnsi="Arial"/>
          <w:sz w:val="18"/>
          <w:szCs w:val="18"/>
          <w:b w:val="1"/>
          <w:bCs w:val="1"/>
          <w:color w:val="FFFFFF"/>
        </w:rPr>
        <w:t xml:space="preserve"> LEARN MORE ABOUT OUR CORPORATE 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-162560</wp:posOffset>
            </wp:positionV>
            <wp:extent cx="5554980" cy="1631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120" w:lineRule="exact"/>
        <w:rPr>
          <w:sz w:val="20"/>
          <w:szCs w:val="20"/>
          <w:color w:val="auto"/>
        </w:rPr>
      </w:pPr>
    </w:p>
    <w:p>
      <w:pPr>
        <w:ind w:left="80" w:right="459"/>
        <w:spacing w:after="0" w:line="256" w:lineRule="auto"/>
        <w:rPr>
          <w:sz w:val="20"/>
          <w:szCs w:val="20"/>
          <w:color w:val="auto"/>
        </w:rPr>
      </w:pPr>
      <w:r>
        <w:rPr>
          <w:rFonts w:ascii="Arial" w:cs="Arial" w:eastAsia="Arial" w:hAnsi="Arial"/>
          <w:sz w:val="17"/>
          <w:szCs w:val="17"/>
          <w:color w:val="auto"/>
        </w:rPr>
        <w:t xml:space="preserve">Since our inception as a public company, we have taken meaningful steps to practice and report about corporate citizenship, both within our organization and among our stakeholders. Find more information on the Company’s website at </w:t>
      </w:r>
      <w:r>
        <w:rPr>
          <w:rFonts w:ascii="Arial" w:cs="Arial" w:eastAsia="Arial" w:hAnsi="Arial"/>
          <w:sz w:val="17"/>
          <w:szCs w:val="17"/>
          <w:b w:val="1"/>
          <w:bCs w:val="1"/>
          <w:i w:val="1"/>
          <w:iCs w:val="1"/>
          <w:color w:val="auto"/>
        </w:rPr>
        <w:t>www.kyndryl.com</w:t>
      </w:r>
      <w:r>
        <w:rPr>
          <w:rFonts w:ascii="Arial" w:cs="Arial" w:eastAsia="Arial" w:hAnsi="Arial"/>
          <w:sz w:val="17"/>
          <w:szCs w:val="17"/>
          <w:color w:val="auto"/>
        </w:rPr>
        <w:t xml:space="preserve"> under About Us: Corporate Citizenship.</w:t>
      </w:r>
    </w:p>
    <w:p>
      <w:pPr>
        <w:spacing w:after="0" w:line="17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Certain Relationships and Related Person Transactions</w:t>
      </w:r>
    </w:p>
    <w:p>
      <w:pPr>
        <w:spacing w:after="0" w:line="173" w:lineRule="exact"/>
        <w:rPr>
          <w:sz w:val="20"/>
          <w:szCs w:val="20"/>
          <w:color w:val="auto"/>
        </w:rPr>
      </w:pPr>
    </w:p>
    <w:p>
      <w:pPr>
        <w:ind w:left="80" w:right="139"/>
        <w:spacing w:after="0" w:line="244" w:lineRule="auto"/>
        <w:rPr>
          <w:sz w:val="20"/>
          <w:szCs w:val="20"/>
          <w:color w:val="auto"/>
        </w:rPr>
      </w:pPr>
      <w:r>
        <w:rPr>
          <w:rFonts w:ascii="Arial" w:cs="Arial" w:eastAsia="Arial" w:hAnsi="Arial"/>
          <w:sz w:val="17"/>
          <w:szCs w:val="17"/>
          <w:color w:val="auto"/>
        </w:rPr>
        <w:t>Our Board adopted a written Policy on Related Person Transactions to guide its review, approval and ratification of related person transactions. The Policy on Related Person Transactions does not prohibit related person transactions, but provides that such transactions must be reviewed, approved or ratified and disclosed in accordance with the SEC’s rules regarding related person transactions.</w:t>
      </w:r>
    </w:p>
    <w:p>
      <w:pPr>
        <w:spacing w:after="0" w:line="123" w:lineRule="exact"/>
        <w:rPr>
          <w:sz w:val="20"/>
          <w:szCs w:val="20"/>
          <w:color w:val="auto"/>
        </w:rPr>
      </w:pPr>
    </w:p>
    <w:p>
      <w:pPr>
        <w:ind w:left="80" w:right="139"/>
        <w:spacing w:after="0" w:line="238" w:lineRule="auto"/>
        <w:rPr>
          <w:sz w:val="20"/>
          <w:szCs w:val="20"/>
          <w:color w:val="auto"/>
        </w:rPr>
      </w:pPr>
      <w:r>
        <w:rPr>
          <w:rFonts w:ascii="Arial" w:cs="Arial" w:eastAsia="Arial" w:hAnsi="Arial"/>
          <w:sz w:val="17"/>
          <w:szCs w:val="17"/>
          <w:color w:val="auto"/>
        </w:rPr>
        <w:t>Under our Policy on Related Person Transactions, information about transactions in which the Company was or is to be a participant and in which any related person had, has, or will have a direct or indirect material interest, are reviewed, approved or ratified by the independent directors on our Board or by any committee designated by the Board that is comprised solely of independent directors. Related persons include our directors, director nominees and executive officers, beneficial owners of more than five percent of our common stock, as well as immediate family members of any of the foregoing. If the related person at issue is a director, or a family member of a director, then that specific director will not participate in any Board discussions involving the transaction at issue.</w:t>
      </w:r>
    </w:p>
    <w:p>
      <w:pPr>
        <w:spacing w:after="0" w:line="128" w:lineRule="exact"/>
        <w:rPr>
          <w:sz w:val="20"/>
          <w:szCs w:val="20"/>
          <w:color w:val="auto"/>
        </w:rPr>
      </w:pPr>
    </w:p>
    <w:p>
      <w:pPr>
        <w:ind w:left="80" w:right="259"/>
        <w:spacing w:after="0" w:line="267" w:lineRule="auto"/>
        <w:rPr>
          <w:sz w:val="20"/>
          <w:szCs w:val="20"/>
          <w:color w:val="auto"/>
        </w:rPr>
      </w:pPr>
      <w:r>
        <w:rPr>
          <w:rFonts w:ascii="Arial" w:cs="Arial" w:eastAsia="Arial" w:hAnsi="Arial"/>
          <w:sz w:val="17"/>
          <w:szCs w:val="17"/>
          <w:color w:val="auto"/>
        </w:rPr>
        <w:t>In reviewing related person transactions, the independent directors on our Board (or the designated committee) will consider all relevant facts and circumstances, including:</w:t>
      </w:r>
    </w:p>
    <w:p>
      <w:pPr>
        <w:spacing w:after="0" w:line="51" w:lineRule="exact"/>
        <w:rPr>
          <w:sz w:val="20"/>
          <w:szCs w:val="20"/>
          <w:color w:val="auto"/>
        </w:rPr>
      </w:pPr>
    </w:p>
    <w:p>
      <w:pPr>
        <w:ind w:left="900" w:hanging="356"/>
        <w:spacing w:after="0"/>
        <w:tabs>
          <w:tab w:leader="none" w:pos="900" w:val="left"/>
        </w:tabs>
        <w:numPr>
          <w:ilvl w:val="0"/>
          <w:numId w:val="45"/>
        </w:numPr>
        <w:rPr>
          <w:rFonts w:ascii="Arial" w:cs="Arial" w:eastAsia="Arial" w:hAnsi="Arial"/>
          <w:sz w:val="17"/>
          <w:szCs w:val="17"/>
          <w:color w:val="F0533D"/>
        </w:rPr>
      </w:pPr>
      <w:r>
        <w:rPr>
          <w:rFonts w:ascii="Arial" w:cs="Arial" w:eastAsia="Arial" w:hAnsi="Arial"/>
          <w:sz w:val="17"/>
          <w:szCs w:val="17"/>
          <w:color w:val="auto"/>
        </w:rPr>
        <w:t>the relationship of the related person to the Company;</w:t>
      </w:r>
    </w:p>
    <w:p>
      <w:pPr>
        <w:spacing w:after="0" w:line="101" w:lineRule="exact"/>
        <w:rPr>
          <w:rFonts w:ascii="Arial" w:cs="Arial" w:eastAsia="Arial" w:hAnsi="Arial"/>
          <w:sz w:val="17"/>
          <w:szCs w:val="17"/>
          <w:color w:val="F0533D"/>
        </w:rPr>
      </w:pPr>
    </w:p>
    <w:p>
      <w:pPr>
        <w:ind w:left="900" w:right="939" w:hanging="356"/>
        <w:spacing w:after="0" w:line="267" w:lineRule="auto"/>
        <w:tabs>
          <w:tab w:leader="none" w:pos="900" w:val="left"/>
        </w:tabs>
        <w:numPr>
          <w:ilvl w:val="0"/>
          <w:numId w:val="45"/>
        </w:numPr>
        <w:rPr>
          <w:rFonts w:ascii="Arial" w:cs="Arial" w:eastAsia="Arial" w:hAnsi="Arial"/>
          <w:sz w:val="17"/>
          <w:szCs w:val="17"/>
          <w:color w:val="F0533D"/>
        </w:rPr>
      </w:pPr>
      <w:r>
        <w:rPr>
          <w:rFonts w:ascii="Arial" w:cs="Arial" w:eastAsia="Arial" w:hAnsi="Arial"/>
          <w:sz w:val="17"/>
          <w:szCs w:val="17"/>
          <w:color w:val="auto"/>
        </w:rPr>
        <w:t>the nature and extent of the related person’s interest and business rationale for engaging in the transaction;</w:t>
      </w:r>
    </w:p>
    <w:p>
      <w:pPr>
        <w:spacing w:after="0" w:line="51" w:lineRule="exact"/>
        <w:rPr>
          <w:rFonts w:ascii="Arial" w:cs="Arial" w:eastAsia="Arial" w:hAnsi="Arial"/>
          <w:sz w:val="17"/>
          <w:szCs w:val="17"/>
          <w:color w:val="F0533D"/>
        </w:rPr>
      </w:pPr>
    </w:p>
    <w:p>
      <w:pPr>
        <w:ind w:left="900" w:right="859" w:hanging="356"/>
        <w:spacing w:after="0" w:line="267" w:lineRule="auto"/>
        <w:tabs>
          <w:tab w:leader="none" w:pos="900" w:val="left"/>
        </w:tabs>
        <w:numPr>
          <w:ilvl w:val="0"/>
          <w:numId w:val="45"/>
        </w:numPr>
        <w:rPr>
          <w:rFonts w:ascii="Arial" w:cs="Arial" w:eastAsia="Arial" w:hAnsi="Arial"/>
          <w:sz w:val="17"/>
          <w:szCs w:val="17"/>
          <w:color w:val="F0533D"/>
        </w:rPr>
      </w:pPr>
      <w:r>
        <w:rPr>
          <w:rFonts w:ascii="Arial" w:cs="Arial" w:eastAsia="Arial" w:hAnsi="Arial"/>
          <w:sz w:val="17"/>
          <w:szCs w:val="17"/>
          <w:color w:val="auto"/>
        </w:rPr>
        <w:t>the material terms of the transaction and whether the value and terms are similar to transactions previously entered into by the Company with non-related persons;</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45"/>
        </w:numPr>
        <w:rPr>
          <w:rFonts w:ascii="Arial" w:cs="Arial" w:eastAsia="Arial" w:hAnsi="Arial"/>
          <w:sz w:val="17"/>
          <w:szCs w:val="17"/>
          <w:color w:val="F0533D"/>
        </w:rPr>
      </w:pPr>
      <w:r>
        <w:rPr>
          <w:rFonts w:ascii="Arial" w:cs="Arial" w:eastAsia="Arial" w:hAnsi="Arial"/>
          <w:sz w:val="17"/>
          <w:szCs w:val="17"/>
          <w:color w:val="auto"/>
        </w:rPr>
        <w:t>the importance and fairness of the transaction both to the Company and to the related person; and</w:t>
      </w:r>
    </w:p>
    <w:p>
      <w:pPr>
        <w:spacing w:after="0" w:line="101" w:lineRule="exact"/>
        <w:rPr>
          <w:rFonts w:ascii="Arial" w:cs="Arial" w:eastAsia="Arial" w:hAnsi="Arial"/>
          <w:sz w:val="17"/>
          <w:szCs w:val="17"/>
          <w:color w:val="F0533D"/>
        </w:rPr>
      </w:pPr>
    </w:p>
    <w:p>
      <w:pPr>
        <w:ind w:left="900" w:right="159" w:hanging="356"/>
        <w:spacing w:after="0" w:line="249" w:lineRule="auto"/>
        <w:tabs>
          <w:tab w:leader="none" w:pos="900" w:val="left"/>
        </w:tabs>
        <w:numPr>
          <w:ilvl w:val="0"/>
          <w:numId w:val="45"/>
        </w:numPr>
        <w:rPr>
          <w:rFonts w:ascii="Arial" w:cs="Arial" w:eastAsia="Arial" w:hAnsi="Arial"/>
          <w:sz w:val="17"/>
          <w:szCs w:val="17"/>
          <w:color w:val="F0533D"/>
        </w:rPr>
      </w:pPr>
      <w:r>
        <w:rPr>
          <w:rFonts w:ascii="Arial" w:cs="Arial" w:eastAsia="Arial" w:hAnsi="Arial"/>
          <w:sz w:val="17"/>
          <w:szCs w:val="17"/>
          <w:color w:val="auto"/>
        </w:rPr>
        <w:t>whether the transaction would likely impair the judgment of a director or executive officer to act in the best interest of the Company and whether the transaction would compromise the director’s independence under the NYSE rules (including those applicable to committee service).</w:t>
      </w:r>
    </w:p>
    <w:p>
      <w:pPr>
        <w:spacing w:after="0" w:line="121" w:lineRule="exact"/>
        <w:rPr>
          <w:sz w:val="20"/>
          <w:szCs w:val="20"/>
          <w:color w:val="auto"/>
        </w:rPr>
      </w:pPr>
    </w:p>
    <w:p>
      <w:pPr>
        <w:ind w:left="80" w:right="119"/>
        <w:spacing w:after="0" w:line="241" w:lineRule="auto"/>
        <w:rPr>
          <w:sz w:val="20"/>
          <w:szCs w:val="20"/>
          <w:color w:val="auto"/>
        </w:rPr>
      </w:pPr>
      <w:r>
        <w:rPr>
          <w:rFonts w:ascii="Arial" w:cs="Arial" w:eastAsia="Arial" w:hAnsi="Arial"/>
          <w:sz w:val="17"/>
          <w:szCs w:val="17"/>
          <w:color w:val="auto"/>
        </w:rPr>
        <w:t>The independent directors on our Board (or the designated committee) will not approve or ratify a related person transaction unless they determine that the transaction is consistent with the best interests of the Company and its stockholders. In addition to our Policy on Related Person Transactions, the Company’s directors and officers complete an annual questionnaire and disclose all potential related person transactions and are required to notify the General Counsel throughout the year of any potential related person transactions of which they become aware.</w:t>
      </w:r>
    </w:p>
    <w:p>
      <w:pPr>
        <w:spacing w:after="0" w:line="126"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Also, the Kyndryl Code of Conduct requires that all employees, officers and directors avoid any situation that involves or appears to involve a conflict of interest between their personal and professional relationships. Our Audit Committee provides oversight regarding compliance with the Kyndryl Code of Conduct. Membership on the board of directors, advisory board, advisory council or similar position at another company or entity requires the prior review and approval of an employee’s manager and Kyndryl counsel.</w:t>
      </w:r>
    </w:p>
    <w:p>
      <w:pPr>
        <w:spacing w:after="0" w:line="126" w:lineRule="exact"/>
        <w:rPr>
          <w:sz w:val="20"/>
          <w:szCs w:val="20"/>
          <w:color w:val="auto"/>
        </w:rPr>
      </w:pPr>
    </w:p>
    <w:p>
      <w:pPr>
        <w:ind w:left="80" w:right="539"/>
        <w:spacing w:after="0" w:line="267" w:lineRule="auto"/>
        <w:rPr>
          <w:sz w:val="20"/>
          <w:szCs w:val="20"/>
          <w:color w:val="auto"/>
        </w:rPr>
      </w:pPr>
      <w:r>
        <w:rPr>
          <w:rFonts w:ascii="Arial" w:cs="Arial" w:eastAsia="Arial" w:hAnsi="Arial"/>
          <w:sz w:val="17"/>
          <w:szCs w:val="17"/>
          <w:color w:val="auto"/>
        </w:rPr>
        <w:t>Since April 1, 2025, there have been no related person transactions or pending related person transactions that required disclosure.</w:t>
      </w:r>
    </w:p>
    <w:p>
      <w:pPr>
        <w:spacing w:after="0" w:line="18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Director Compensation</w:t>
      </w:r>
    </w:p>
    <w:p>
      <w:pPr>
        <w:spacing w:after="0" w:line="173" w:lineRule="exact"/>
        <w:rPr>
          <w:sz w:val="20"/>
          <w:szCs w:val="20"/>
          <w:color w:val="auto"/>
        </w:rPr>
      </w:pPr>
    </w:p>
    <w:p>
      <w:pPr>
        <w:ind w:left="80" w:right="159"/>
        <w:spacing w:after="0" w:line="244" w:lineRule="auto"/>
        <w:rPr>
          <w:sz w:val="20"/>
          <w:szCs w:val="20"/>
          <w:color w:val="auto"/>
        </w:rPr>
      </w:pPr>
      <w:r>
        <w:rPr>
          <w:rFonts w:ascii="Arial" w:cs="Arial" w:eastAsia="Arial" w:hAnsi="Arial"/>
          <w:sz w:val="17"/>
          <w:szCs w:val="17"/>
          <w:color w:val="auto"/>
        </w:rPr>
        <w:t>The director compensation program for fiscal 2026, as adopted by the Board and described below, provides that each of our non-employee directors receives a cash retainer and an annual equity award in the form of restricted stock units (“RSUs”) for their services to the Board and its committees. Mr. Schroeter, Chairman and Chief Executive Officer, does not receive separate compensation for his service on the Board.</w:t>
      </w:r>
    </w:p>
    <w:p>
      <w:pPr>
        <w:spacing w:after="0" w:line="123" w:lineRule="exact"/>
        <w:rPr>
          <w:sz w:val="20"/>
          <w:szCs w:val="20"/>
          <w:color w:val="auto"/>
        </w:rPr>
      </w:pPr>
    </w:p>
    <w:p>
      <w:pPr>
        <w:ind w:left="80" w:right="179"/>
        <w:spacing w:after="0" w:line="241" w:lineRule="auto"/>
        <w:rPr>
          <w:sz w:val="20"/>
          <w:szCs w:val="20"/>
          <w:color w:val="auto"/>
        </w:rPr>
      </w:pPr>
      <w:r>
        <w:rPr>
          <w:rFonts w:ascii="Arial" w:cs="Arial" w:eastAsia="Arial" w:hAnsi="Arial"/>
          <w:sz w:val="17"/>
          <w:szCs w:val="17"/>
          <w:color w:val="auto"/>
        </w:rPr>
        <w:t>The Board believes that annual compensation for non-employee directors should consist of both a cash component, designed to compensate members for their service on the Board and for serving as Lead Independent Director or as the chair of a Board committee, and an equity component, designed to align the interests of directors and stockholders. In addition, each director will be reimbursed for out-of-pocket expenses in connection with his or her services.</w:t>
      </w:r>
    </w:p>
    <w:p>
      <w:pPr>
        <w:spacing w:after="0" w:line="126" w:lineRule="exact"/>
        <w:rPr>
          <w:sz w:val="20"/>
          <w:szCs w:val="20"/>
          <w:color w:val="auto"/>
        </w:rPr>
      </w:pPr>
    </w:p>
    <w:p>
      <w:pPr>
        <w:jc w:val="both"/>
        <w:ind w:left="80" w:right="299"/>
        <w:spacing w:after="0" w:line="210" w:lineRule="auto"/>
        <w:rPr>
          <w:sz w:val="20"/>
          <w:szCs w:val="20"/>
          <w:color w:val="auto"/>
        </w:rPr>
      </w:pPr>
      <w:r>
        <w:rPr>
          <w:rFonts w:ascii="Arial" w:cs="Arial" w:eastAsia="Arial" w:hAnsi="Arial"/>
          <w:sz w:val="17"/>
          <w:szCs w:val="17"/>
          <w:color w:val="auto"/>
        </w:rPr>
        <w:t>This program enables continued attraction and retention of highly qualified directors and to address the time, effort and responsibility required by active board membership. Director compensation is reviewed by the Nominating and Governance Committee and the Board on an annual basis.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66040</wp:posOffset>
            </wp:positionV>
            <wp:extent cx="5627370" cy="17614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627370" cy="17614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75" w:lineRule="exact"/>
        <w:rPr>
          <w:sz w:val="20"/>
          <w:szCs w:val="20"/>
          <w:color w:val="auto"/>
        </w:rPr>
      </w:pPr>
    </w:p>
    <w:p>
      <w:pPr>
        <w:jc w:val="right"/>
        <w:ind w:right="640"/>
        <w:spacing w:after="0"/>
        <w:rPr>
          <w:sz w:val="20"/>
          <w:szCs w:val="20"/>
          <w:color w:val="auto"/>
        </w:rPr>
      </w:pPr>
      <w:r>
        <w:rPr>
          <w:rFonts w:ascii="Arial" w:cs="Arial" w:eastAsia="Arial" w:hAnsi="Arial"/>
          <w:sz w:val="17"/>
          <w:szCs w:val="17"/>
          <w:b w:val="1"/>
          <w:bCs w:val="1"/>
          <w:color w:val="F0533D"/>
        </w:rPr>
        <w:t>Fiscal 2026 Annual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Arial" w:cs="Arial" w:eastAsia="Arial" w:hAnsi="Arial"/>
          <w:sz w:val="17"/>
          <w:szCs w:val="17"/>
          <w:color w:val="auto"/>
        </w:rPr>
        <w:t> </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F0533D"/>
        </w:rPr>
        <w:t>Fiscal 2026 Additional Annual Cash Retainers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60" w:type="dxa"/>
            <w:vAlign w:val="bottom"/>
          </w:tcPr>
          <w:p>
            <w:pPr>
              <w:spacing w:after="0"/>
              <w:rPr>
                <w:sz w:val="20"/>
                <w:szCs w:val="20"/>
                <w:color w:val="auto"/>
              </w:rPr>
            </w:pPr>
            <w:r>
              <w:rPr>
                <w:rFonts w:ascii="Arial" w:cs="Arial" w:eastAsia="Arial" w:hAnsi="Arial"/>
                <w:sz w:val="14"/>
                <w:szCs w:val="14"/>
                <w:b w:val="1"/>
                <w:bCs w:val="1"/>
                <w:color w:val="auto"/>
              </w:rPr>
              <w:t>Board Committee</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Lead</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20"/>
                <w:szCs w:val="20"/>
                <w:color w:val="auto"/>
              </w:rPr>
            </w:pPr>
            <w:r>
              <w:rPr>
                <w:rFonts w:ascii="Arial" w:cs="Arial" w:eastAsia="Arial" w:hAnsi="Arial"/>
                <w:sz w:val="14"/>
                <w:szCs w:val="14"/>
                <w:b w:val="1"/>
                <w:bCs w:val="1"/>
                <w:color w:val="auto"/>
              </w:rPr>
              <w:t>Chairmanship</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Independent</w:t>
            </w:r>
          </w:p>
        </w:tc>
        <w:tc>
          <w:tcPr>
            <w:tcW w:w="0" w:type="dxa"/>
            <w:vAlign w:val="bottom"/>
          </w:tcPr>
          <w:p>
            <w:pPr>
              <w:spacing w:after="0"/>
              <w:rPr>
                <w:sz w:val="1"/>
                <w:szCs w:val="1"/>
                <w:color w:val="auto"/>
              </w:rPr>
            </w:pPr>
          </w:p>
        </w:tc>
      </w:tr>
      <w:tr>
        <w:trPr>
          <w:trHeight w:val="190"/>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Audit</w:t>
            </w:r>
          </w:p>
        </w:tc>
        <w:tc>
          <w:tcPr>
            <w:tcW w:w="1140" w:type="dxa"/>
            <w:vAlign w:val="bottom"/>
          </w:tcPr>
          <w:p>
            <w:pPr>
              <w:ind w:left="280"/>
              <w:spacing w:after="0"/>
              <w:rPr>
                <w:sz w:val="20"/>
                <w:szCs w:val="20"/>
                <w:color w:val="auto"/>
              </w:rPr>
            </w:pPr>
            <w:r>
              <w:rPr>
                <w:rFonts w:ascii="Arial" w:cs="Arial" w:eastAsia="Arial" w:hAnsi="Arial"/>
                <w:sz w:val="14"/>
                <w:szCs w:val="14"/>
                <w:b w:val="1"/>
                <w:bCs w:val="1"/>
                <w:color w:val="auto"/>
              </w:rPr>
              <w:t>Director</w:t>
            </w: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1140" w:type="dxa"/>
            <w:vAlign w:val="bottom"/>
            <w:vMerge w:val="restart"/>
          </w:tcPr>
          <w:p>
            <w:pPr>
              <w:ind w:left="280"/>
              <w:spacing w:after="0"/>
              <w:rPr>
                <w:sz w:val="20"/>
                <w:szCs w:val="20"/>
                <w:color w:val="auto"/>
              </w:rPr>
            </w:pPr>
            <w:r>
              <w:rPr>
                <w:rFonts w:ascii="Arial" w:cs="Arial" w:eastAsia="Arial" w:hAnsi="Arial"/>
                <w:sz w:val="17"/>
                <w:szCs w:val="17"/>
                <w:b w:val="1"/>
                <w:bCs w:val="1"/>
                <w:color w:val="F0533D"/>
              </w:rPr>
              <w:t>$75,000</w:t>
            </w:r>
          </w:p>
        </w:tc>
        <w:tc>
          <w:tcPr>
            <w:tcW w:w="0" w:type="dxa"/>
            <w:vAlign w:val="bottom"/>
          </w:tcPr>
          <w:p>
            <w:pPr>
              <w:spacing w:after="0"/>
              <w:rPr>
                <w:sz w:val="1"/>
                <w:szCs w:val="1"/>
                <w:color w:val="auto"/>
              </w:rPr>
            </w:pPr>
          </w:p>
        </w:tc>
      </w:tr>
      <w:tr>
        <w:trPr>
          <w:trHeight w:val="140"/>
        </w:trPr>
        <w:tc>
          <w:tcPr>
            <w:tcW w:w="1560" w:type="dxa"/>
            <w:vAlign w:val="bottom"/>
            <w:vMerge w:val="restart"/>
          </w:tcPr>
          <w:p>
            <w:pPr>
              <w:spacing w:after="0"/>
              <w:rPr>
                <w:sz w:val="20"/>
                <w:szCs w:val="20"/>
                <w:color w:val="auto"/>
              </w:rPr>
            </w:pPr>
            <w:r>
              <w:rPr>
                <w:rFonts w:ascii="Arial" w:cs="Arial" w:eastAsia="Arial" w:hAnsi="Arial"/>
                <w:sz w:val="17"/>
                <w:szCs w:val="17"/>
                <w:b w:val="1"/>
                <w:bCs w:val="1"/>
                <w:color w:val="F0533D"/>
              </w:rPr>
              <w:t>$30,000</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5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4"/>
                <w:szCs w:val="14"/>
                <w:b w:val="1"/>
                <w:bCs w:val="1"/>
                <w:color w:val="auto"/>
              </w:rPr>
              <w:t>Compensation and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560" w:type="dxa"/>
            <w:vAlign w:val="bottom"/>
          </w:tcPr>
          <w:p>
            <w:pPr>
              <w:spacing w:after="0"/>
              <w:rPr>
                <w:sz w:val="20"/>
                <w:szCs w:val="20"/>
                <w:color w:val="auto"/>
              </w:rPr>
            </w:pPr>
            <w:r>
              <w:rPr>
                <w:rFonts w:ascii="Arial" w:cs="Arial" w:eastAsia="Arial" w:hAnsi="Arial"/>
                <w:sz w:val="14"/>
                <w:szCs w:val="14"/>
                <w:b w:val="1"/>
                <w:bCs w:val="1"/>
                <w:color w:val="auto"/>
              </w:rPr>
              <w:t>Human Capital</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560" w:type="dxa"/>
            <w:vAlign w:val="bottom"/>
          </w:tcPr>
          <w:p>
            <w:pPr>
              <w:spacing w:after="0"/>
              <w:rPr>
                <w:sz w:val="20"/>
                <w:szCs w:val="20"/>
                <w:color w:val="auto"/>
              </w:rPr>
            </w:pPr>
            <w:r>
              <w:rPr>
                <w:rFonts w:ascii="Arial" w:cs="Arial" w:eastAsia="Arial" w:hAnsi="Arial"/>
                <w:sz w:val="17"/>
                <w:szCs w:val="17"/>
                <w:b w:val="1"/>
                <w:bCs w:val="1"/>
                <w:color w:val="F0533D"/>
              </w:rPr>
              <w:t>$22,500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60" w:type="dxa"/>
            <w:vAlign w:val="bottom"/>
          </w:tcPr>
          <w:p>
            <w:pPr>
              <w:spacing w:after="0"/>
              <w:rPr>
                <w:sz w:val="20"/>
                <w:szCs w:val="20"/>
                <w:color w:val="auto"/>
              </w:rPr>
            </w:pPr>
            <w:r>
              <w:rPr>
                <w:rFonts w:ascii="Arial" w:cs="Arial" w:eastAsia="Arial" w:hAnsi="Arial"/>
                <w:sz w:val="14"/>
                <w:szCs w:val="14"/>
                <w:b w:val="1"/>
                <w:bCs w:val="1"/>
                <w:color w:val="auto"/>
              </w:rPr>
              <w:t>Nominating and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560" w:type="dxa"/>
            <w:vAlign w:val="bottom"/>
          </w:tcPr>
          <w:p>
            <w:pPr>
              <w:spacing w:after="0"/>
              <w:rPr>
                <w:sz w:val="20"/>
                <w:szCs w:val="20"/>
                <w:color w:val="auto"/>
              </w:rPr>
            </w:pPr>
            <w:r>
              <w:rPr>
                <w:rFonts w:ascii="Arial" w:cs="Arial" w:eastAsia="Arial" w:hAnsi="Arial"/>
                <w:sz w:val="14"/>
                <w:szCs w:val="14"/>
                <w:b w:val="1"/>
                <w:bCs w:val="1"/>
                <w:color w:val="auto"/>
              </w:rPr>
              <w:t>Governance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560" w:type="dxa"/>
            <w:vAlign w:val="bottom"/>
          </w:tcPr>
          <w:p>
            <w:pPr>
              <w:spacing w:after="0"/>
              <w:rPr>
                <w:sz w:val="20"/>
                <w:szCs w:val="20"/>
                <w:color w:val="auto"/>
              </w:rPr>
            </w:pPr>
            <w:r>
              <w:rPr>
                <w:rFonts w:ascii="Arial" w:cs="Arial" w:eastAsia="Arial" w:hAnsi="Arial"/>
                <w:sz w:val="17"/>
                <w:szCs w:val="17"/>
                <w:b w:val="1"/>
                <w:bCs w:val="1"/>
                <w:color w:val="F0533D"/>
              </w:rPr>
              <w:t>$22,500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360" w:space="720"/>
            <w:col w:w="3939"/>
          </w:cols>
          <w:pgMar w:left="1440" w:top="114" w:right="1440" w:bottom="1440" w:gutter="0" w:footer="0" w:header="0"/>
          <w:type w:val="continuous"/>
        </w:sectPr>
      </w:pPr>
    </w:p>
    <w:p>
      <w:pPr>
        <w:spacing w:after="0" w:line="119" w:lineRule="exact"/>
        <w:rPr>
          <w:sz w:val="20"/>
          <w:szCs w:val="20"/>
          <w:color w:val="auto"/>
        </w:rPr>
      </w:pPr>
    </w:p>
    <w:p>
      <w:pPr>
        <w:ind w:left="80" w:right="119"/>
        <w:spacing w:after="0" w:line="239" w:lineRule="auto"/>
        <w:rPr>
          <w:sz w:val="20"/>
          <w:szCs w:val="20"/>
          <w:color w:val="auto"/>
        </w:rPr>
      </w:pPr>
      <w:r>
        <w:rPr>
          <w:rFonts w:ascii="Arial" w:cs="Arial" w:eastAsia="Arial" w:hAnsi="Arial"/>
          <w:sz w:val="17"/>
          <w:szCs w:val="17"/>
          <w:color w:val="auto"/>
        </w:rPr>
        <w:t>The cash retainer is paid in installments and prorated for partial years of service. The annual RSU grant is made on the date of the annual meeting each year, has an annual target value of $240,000 and fully vests on the earlier of the anniversary of the grant date or the date of our next annual meeting following the grant date (provided that the date of the meeting is at least 50 weeks after the grant date). Accordingly, on July 31, 2025, we granted each of our non-employee directors 6,296 RSUs that will vest in full on July 30, 2026, the date of the 2026 Annual Meeting, subject to the director’s continued service through such date.</w:t>
      </w:r>
    </w:p>
    <w:p>
      <w:pPr>
        <w:spacing w:after="0" w:line="128" w:lineRule="exact"/>
        <w:rPr>
          <w:sz w:val="20"/>
          <w:szCs w:val="20"/>
          <w:color w:val="auto"/>
        </w:rPr>
      </w:pPr>
    </w:p>
    <w:p>
      <w:pPr>
        <w:ind w:left="80" w:right="319"/>
        <w:spacing w:after="0" w:line="241" w:lineRule="auto"/>
        <w:rPr>
          <w:sz w:val="20"/>
          <w:szCs w:val="20"/>
          <w:color w:val="auto"/>
        </w:rPr>
      </w:pPr>
      <w:r>
        <w:rPr>
          <w:rFonts w:ascii="Arial" w:cs="Arial" w:eastAsia="Arial" w:hAnsi="Arial"/>
          <w:sz w:val="17"/>
          <w:szCs w:val="17"/>
          <w:color w:val="auto"/>
        </w:rPr>
        <w:t>Our directors are subject to the Stock Ownership Guidelines described under “2026 Executive Compensation — Compensation Discussion and Analysis — Additional Compensation Information — Stock Ownership Guidelines.” Pursuant to such guidelines, our non-employee directors are required to retain 100% of the shares of our common stock underlying the RSUs, net of any amounts required to pay taxes, until they achieve the ownership required by the guidelines. As of March 31, 2026, all of our directors have met the guidelines.</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9" w:name="page40"/>
    <w:bookmarkEnd w:id="3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479"/>
        <w:spacing w:after="0" w:line="267" w:lineRule="auto"/>
        <w:rPr>
          <w:sz w:val="20"/>
          <w:szCs w:val="20"/>
          <w:color w:val="auto"/>
        </w:rPr>
      </w:pPr>
      <w:r>
        <w:rPr>
          <w:rFonts w:ascii="Arial" w:cs="Arial" w:eastAsia="Arial" w:hAnsi="Arial"/>
          <w:sz w:val="17"/>
          <w:szCs w:val="17"/>
          <w:color w:val="auto"/>
        </w:rPr>
        <w:t>The table below sets forth information regarding the compensation of each of our non-employee directors for the fiscal year ended March 31, 2026.</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180" w:type="dxa"/>
            <w:vAlign w:val="bottom"/>
          </w:tcPr>
          <w:p>
            <w:pPr>
              <w:jc w:val="right"/>
              <w:ind w:right="618"/>
              <w:spacing w:after="0"/>
              <w:rPr>
                <w:sz w:val="20"/>
                <w:szCs w:val="20"/>
                <w:color w:val="auto"/>
              </w:rPr>
            </w:pPr>
            <w:r>
              <w:rPr>
                <w:rFonts w:ascii="Arial" w:cs="Arial" w:eastAsia="Arial" w:hAnsi="Arial"/>
                <w:sz w:val="14"/>
                <w:szCs w:val="14"/>
                <w:b w:val="1"/>
                <w:bCs w:val="1"/>
                <w:color w:val="F0533D"/>
              </w:rPr>
              <w:t>Fees Earned or</w:t>
            </w:r>
          </w:p>
        </w:tc>
        <w:tc>
          <w:tcPr>
            <w:tcW w:w="2140" w:type="dxa"/>
            <w:vAlign w:val="bottom"/>
          </w:tcPr>
          <w:p>
            <w:pPr>
              <w:jc w:val="center"/>
              <w:ind w:right="58"/>
              <w:spacing w:after="0"/>
              <w:rPr>
                <w:sz w:val="20"/>
                <w:szCs w:val="20"/>
                <w:color w:val="auto"/>
              </w:rPr>
            </w:pPr>
            <w:r>
              <w:rPr>
                <w:rFonts w:ascii="Arial" w:cs="Arial" w:eastAsia="Arial" w:hAnsi="Arial"/>
                <w:sz w:val="14"/>
                <w:szCs w:val="14"/>
                <w:b w:val="1"/>
                <w:bCs w:val="1"/>
                <w:color w:val="F0533D"/>
              </w:rPr>
              <w:t>Stock</w:t>
            </w:r>
          </w:p>
        </w:tc>
        <w:tc>
          <w:tcPr>
            <w:tcW w:w="2300" w:type="dxa"/>
            <w:vAlign w:val="bottom"/>
          </w:tcPr>
          <w:p>
            <w:pPr>
              <w:spacing w:after="0"/>
              <w:rPr>
                <w:sz w:val="14"/>
                <w:szCs w:val="14"/>
                <w:color w:val="auto"/>
              </w:rPr>
            </w:pPr>
          </w:p>
        </w:tc>
      </w:tr>
      <w:tr>
        <w:trPr>
          <w:trHeight w:val="192"/>
        </w:trPr>
        <w:tc>
          <w:tcPr>
            <w:tcW w:w="2240" w:type="dxa"/>
            <w:vAlign w:val="bottom"/>
          </w:tcPr>
          <w:p>
            <w:pPr>
              <w:spacing w:after="0"/>
              <w:rPr>
                <w:sz w:val="16"/>
                <w:szCs w:val="16"/>
                <w:color w:val="auto"/>
              </w:rPr>
            </w:pPr>
          </w:p>
        </w:tc>
        <w:tc>
          <w:tcPr>
            <w:tcW w:w="2180" w:type="dxa"/>
            <w:vAlign w:val="bottom"/>
          </w:tcPr>
          <w:p>
            <w:pPr>
              <w:jc w:val="right"/>
              <w:ind w:right="618"/>
              <w:spacing w:after="0" w:line="192" w:lineRule="exact"/>
              <w:rPr>
                <w:sz w:val="20"/>
                <w:szCs w:val="20"/>
                <w:color w:val="auto"/>
              </w:rPr>
            </w:pPr>
            <w:r>
              <w:rPr>
                <w:rFonts w:ascii="Arial" w:cs="Arial" w:eastAsia="Arial" w:hAnsi="Arial"/>
                <w:sz w:val="14"/>
                <w:szCs w:val="14"/>
                <w:b w:val="1"/>
                <w:bCs w:val="1"/>
                <w:color w:val="F0533D"/>
              </w:rPr>
              <w:t>Paid in Cash</w:t>
            </w:r>
            <w:r>
              <w:rPr>
                <w:rFonts w:ascii="Arial" w:cs="Arial" w:eastAsia="Arial" w:hAnsi="Arial"/>
                <w:sz w:val="22"/>
                <w:szCs w:val="22"/>
                <w:b w:val="1"/>
                <w:bCs w:val="1"/>
                <w:color w:val="F0533D"/>
                <w:vertAlign w:val="superscript"/>
              </w:rPr>
              <w:t>(1)</w:t>
            </w:r>
          </w:p>
        </w:tc>
        <w:tc>
          <w:tcPr>
            <w:tcW w:w="2140" w:type="dxa"/>
            <w:vAlign w:val="bottom"/>
          </w:tcPr>
          <w:p>
            <w:pPr>
              <w:jc w:val="center"/>
              <w:spacing w:after="0" w:line="192" w:lineRule="exact"/>
              <w:rPr>
                <w:sz w:val="20"/>
                <w:szCs w:val="20"/>
                <w:color w:val="auto"/>
              </w:rPr>
            </w:pPr>
            <w:r>
              <w:rPr>
                <w:rFonts w:ascii="Arial" w:cs="Arial" w:eastAsia="Arial" w:hAnsi="Arial"/>
                <w:sz w:val="14"/>
                <w:szCs w:val="14"/>
                <w:b w:val="1"/>
                <w:bCs w:val="1"/>
                <w:color w:val="F0533D"/>
                <w:w w:val="96"/>
              </w:rPr>
              <w:t>Awards</w:t>
            </w:r>
            <w:r>
              <w:rPr>
                <w:rFonts w:ascii="Arial" w:cs="Arial" w:eastAsia="Arial" w:hAnsi="Arial"/>
                <w:sz w:val="22"/>
                <w:szCs w:val="22"/>
                <w:b w:val="1"/>
                <w:bCs w:val="1"/>
                <w:color w:val="F0533D"/>
                <w:w w:val="96"/>
                <w:vertAlign w:val="superscript"/>
              </w:rPr>
              <w:t>(2)</w:t>
            </w:r>
          </w:p>
        </w:tc>
        <w:tc>
          <w:tcPr>
            <w:tcW w:w="2300" w:type="dxa"/>
            <w:vAlign w:val="bottom"/>
          </w:tcPr>
          <w:p>
            <w:pPr>
              <w:ind w:left="920"/>
              <w:spacing w:after="0"/>
              <w:rPr>
                <w:sz w:val="20"/>
                <w:szCs w:val="20"/>
                <w:color w:val="auto"/>
              </w:rPr>
            </w:pPr>
            <w:r>
              <w:rPr>
                <w:rFonts w:ascii="Arial" w:cs="Arial" w:eastAsia="Arial" w:hAnsi="Arial"/>
                <w:sz w:val="14"/>
                <w:szCs w:val="14"/>
                <w:b w:val="1"/>
                <w:bCs w:val="1"/>
                <w:color w:val="F0533D"/>
              </w:rPr>
              <w:t>Total</w:t>
            </w:r>
          </w:p>
        </w:tc>
      </w:tr>
      <w:tr>
        <w:trPr>
          <w:trHeight w:val="205"/>
        </w:trPr>
        <w:tc>
          <w:tcPr>
            <w:tcW w:w="224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Name</w:t>
            </w:r>
          </w:p>
        </w:tc>
        <w:tc>
          <w:tcPr>
            <w:tcW w:w="2180" w:type="dxa"/>
            <w:vAlign w:val="bottom"/>
            <w:tcBorders>
              <w:bottom w:val="single" w:sz="8" w:color="F0533D"/>
            </w:tcBorders>
          </w:tcPr>
          <w:p>
            <w:pPr>
              <w:jc w:val="center"/>
              <w:ind w:right="158"/>
              <w:spacing w:after="0"/>
              <w:rPr>
                <w:sz w:val="20"/>
                <w:szCs w:val="20"/>
                <w:color w:val="auto"/>
              </w:rPr>
            </w:pPr>
            <w:r>
              <w:rPr>
                <w:rFonts w:ascii="Arial" w:cs="Arial" w:eastAsia="Arial" w:hAnsi="Arial"/>
                <w:sz w:val="14"/>
                <w:szCs w:val="14"/>
                <w:b w:val="1"/>
                <w:bCs w:val="1"/>
                <w:color w:val="F0533D"/>
              </w:rPr>
              <w:t>($)</w:t>
            </w:r>
          </w:p>
        </w:tc>
        <w:tc>
          <w:tcPr>
            <w:tcW w:w="214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23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r>
      <w:tr>
        <w:trPr>
          <w:trHeight w:val="236"/>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Dominic J. Caruso</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155,000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395,004</w:t>
            </w:r>
          </w:p>
        </w:tc>
      </w:tr>
      <w:tr>
        <w:trPr>
          <w:trHeight w:val="237"/>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John D. Harris II</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125,000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365,004</w:t>
            </w:r>
          </w:p>
        </w:tc>
      </w:tr>
      <w:tr>
        <w:trPr>
          <w:trHeight w:val="237"/>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Stephen A.M. Hester</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222,500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462,504</w:t>
            </w:r>
          </w:p>
        </w:tc>
      </w:tr>
      <w:tr>
        <w:trPr>
          <w:trHeight w:val="237"/>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Shirley Ann Jackson</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125,000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365,004</w:t>
            </w:r>
          </w:p>
        </w:tc>
      </w:tr>
      <w:tr>
        <w:trPr>
          <w:trHeight w:val="236"/>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Janina Kugel</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125,000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365,004</w:t>
            </w:r>
          </w:p>
        </w:tc>
      </w:tr>
      <w:tr>
        <w:trPr>
          <w:trHeight w:val="237"/>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Denis Machuel</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125,000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365,004</w:t>
            </w:r>
          </w:p>
        </w:tc>
      </w:tr>
      <w:tr>
        <w:trPr>
          <w:trHeight w:val="237"/>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Rahul N. Merchant</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125,000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365,004</w:t>
            </w:r>
          </w:p>
        </w:tc>
      </w:tr>
      <w:tr>
        <w:trPr>
          <w:trHeight w:val="237"/>
        </w:trPr>
        <w:tc>
          <w:tcPr>
            <w:tcW w:w="22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Jana Schreuder</w:t>
            </w:r>
          </w:p>
        </w:tc>
        <w:tc>
          <w:tcPr>
            <w:tcW w:w="2180" w:type="dxa"/>
            <w:vAlign w:val="bottom"/>
            <w:tcBorders>
              <w:bottom w:val="single" w:sz="8" w:color="939598"/>
            </w:tcBorders>
          </w:tcPr>
          <w:p>
            <w:pPr>
              <w:jc w:val="center"/>
              <w:ind w:right="158"/>
              <w:spacing w:after="0"/>
              <w:rPr>
                <w:sz w:val="20"/>
                <w:szCs w:val="20"/>
                <w:color w:val="auto"/>
              </w:rPr>
            </w:pPr>
            <w:r>
              <w:rPr>
                <w:rFonts w:ascii="Arial" w:cs="Arial" w:eastAsia="Arial" w:hAnsi="Arial"/>
                <w:sz w:val="17"/>
                <w:szCs w:val="17"/>
                <w:color w:val="auto"/>
              </w:rPr>
              <w:t>147,500</w:t>
            </w:r>
          </w:p>
        </w:tc>
        <w:tc>
          <w:tcPr>
            <w:tcW w:w="2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387,504</w:t>
            </w:r>
          </w:p>
        </w:tc>
      </w:tr>
      <w:tr>
        <w:trPr>
          <w:trHeight w:val="216"/>
        </w:trPr>
        <w:tc>
          <w:tcPr>
            <w:tcW w:w="2240" w:type="dxa"/>
            <w:vAlign w:val="bottom"/>
            <w:tcBorders>
              <w:bottom w:val="single" w:sz="8" w:color="F0533D"/>
            </w:tcBorders>
          </w:tcPr>
          <w:p>
            <w:pPr>
              <w:ind w:left="160"/>
              <w:spacing w:after="0"/>
              <w:rPr>
                <w:sz w:val="20"/>
                <w:szCs w:val="20"/>
                <w:color w:val="auto"/>
              </w:rPr>
            </w:pPr>
            <w:r>
              <w:rPr>
                <w:rFonts w:ascii="Arial" w:cs="Arial" w:eastAsia="Arial" w:hAnsi="Arial"/>
                <w:sz w:val="17"/>
                <w:szCs w:val="17"/>
                <w:color w:val="auto"/>
              </w:rPr>
              <w:t>Howard I. Ungerleider</w:t>
            </w:r>
          </w:p>
        </w:tc>
        <w:tc>
          <w:tcPr>
            <w:tcW w:w="2180" w:type="dxa"/>
            <w:vAlign w:val="bottom"/>
            <w:tcBorders>
              <w:bottom w:val="single" w:sz="8" w:color="F0533D"/>
            </w:tcBorders>
          </w:tcPr>
          <w:p>
            <w:pPr>
              <w:jc w:val="center"/>
              <w:ind w:right="158"/>
              <w:spacing w:after="0"/>
              <w:rPr>
                <w:sz w:val="20"/>
                <w:szCs w:val="20"/>
                <w:color w:val="auto"/>
              </w:rPr>
            </w:pPr>
            <w:r>
              <w:rPr>
                <w:rFonts w:ascii="Arial" w:cs="Arial" w:eastAsia="Arial" w:hAnsi="Arial"/>
                <w:sz w:val="17"/>
                <w:szCs w:val="17"/>
                <w:color w:val="auto"/>
              </w:rPr>
              <w:t>125,000</w:t>
            </w:r>
          </w:p>
        </w:tc>
        <w:tc>
          <w:tcPr>
            <w:tcW w:w="2140" w:type="dxa"/>
            <w:vAlign w:val="bottom"/>
            <w:tcBorders>
              <w:bottom w:val="single" w:sz="8" w:color="F0533D"/>
            </w:tcBorders>
          </w:tcPr>
          <w:p>
            <w:pPr>
              <w:jc w:val="center"/>
              <w:spacing w:after="0"/>
              <w:rPr>
                <w:sz w:val="20"/>
                <w:szCs w:val="20"/>
                <w:color w:val="auto"/>
              </w:rPr>
            </w:pPr>
            <w:r>
              <w:rPr>
                <w:rFonts w:ascii="Arial" w:cs="Arial" w:eastAsia="Arial" w:hAnsi="Arial"/>
                <w:sz w:val="17"/>
                <w:szCs w:val="17"/>
                <w:color w:val="auto"/>
              </w:rPr>
              <w:t>240,004</w:t>
            </w:r>
          </w:p>
        </w:tc>
        <w:tc>
          <w:tcPr>
            <w:tcW w:w="2300" w:type="dxa"/>
            <w:vAlign w:val="bottom"/>
            <w:tcBorders>
              <w:bottom w:val="single" w:sz="8" w:color="F0533D"/>
            </w:tcBorders>
          </w:tcPr>
          <w:p>
            <w:pPr>
              <w:jc w:val="center"/>
              <w:spacing w:after="0"/>
              <w:rPr>
                <w:sz w:val="20"/>
                <w:szCs w:val="20"/>
                <w:color w:val="auto"/>
              </w:rPr>
            </w:pPr>
            <w:r>
              <w:rPr>
                <w:rFonts w:ascii="Arial" w:cs="Arial" w:eastAsia="Arial" w:hAnsi="Arial"/>
                <w:sz w:val="17"/>
                <w:szCs w:val="17"/>
                <w:color w:val="auto"/>
              </w:rPr>
              <w:t>365,004</w:t>
            </w:r>
          </w:p>
        </w:tc>
      </w:tr>
    </w:tbl>
    <w:p>
      <w:pPr>
        <w:spacing w:after="0" w:line="307" w:lineRule="exact"/>
        <w:rPr>
          <w:sz w:val="20"/>
          <w:szCs w:val="20"/>
          <w:color w:val="auto"/>
        </w:rPr>
      </w:pPr>
    </w:p>
    <w:p>
      <w:pPr>
        <w:ind w:left="540" w:right="459" w:hanging="356"/>
        <w:spacing w:after="0" w:line="199" w:lineRule="auto"/>
        <w:tabs>
          <w:tab w:leader="none" w:pos="540" w:val="left"/>
        </w:tabs>
        <w:numPr>
          <w:ilvl w:val="0"/>
          <w:numId w:val="46"/>
        </w:numPr>
        <w:rPr>
          <w:rFonts w:ascii="Arial" w:cs="Arial" w:eastAsia="Arial" w:hAnsi="Arial"/>
          <w:sz w:val="23"/>
          <w:szCs w:val="23"/>
          <w:color w:val="auto"/>
          <w:vertAlign w:val="superscript"/>
        </w:rPr>
      </w:pPr>
      <w:r>
        <w:rPr>
          <w:rFonts w:ascii="Arial" w:cs="Arial" w:eastAsia="Arial" w:hAnsi="Arial"/>
          <w:sz w:val="15"/>
          <w:szCs w:val="15"/>
          <w:color w:val="auto"/>
        </w:rPr>
        <w:t>Represents the aggregate dollar amount of all fees earned or paid in cash to each non-employee director, including the annual cash retainer, committee and/or chairmanship fees.</w:t>
      </w:r>
    </w:p>
    <w:p>
      <w:pPr>
        <w:spacing w:after="0" w:line="69" w:lineRule="exact"/>
        <w:rPr>
          <w:rFonts w:ascii="Arial" w:cs="Arial" w:eastAsia="Arial" w:hAnsi="Arial"/>
          <w:sz w:val="23"/>
          <w:szCs w:val="23"/>
          <w:color w:val="auto"/>
          <w:vertAlign w:val="superscript"/>
        </w:rPr>
      </w:pPr>
    </w:p>
    <w:p>
      <w:pPr>
        <w:ind w:left="540" w:right="239" w:hanging="356"/>
        <w:spacing w:after="0" w:line="216" w:lineRule="auto"/>
        <w:tabs>
          <w:tab w:leader="none" w:pos="540" w:val="left"/>
        </w:tabs>
        <w:numPr>
          <w:ilvl w:val="0"/>
          <w:numId w:val="46"/>
        </w:numPr>
        <w:rPr>
          <w:rFonts w:ascii="Arial" w:cs="Arial" w:eastAsia="Arial" w:hAnsi="Arial"/>
          <w:sz w:val="23"/>
          <w:szCs w:val="23"/>
          <w:color w:val="auto"/>
          <w:vertAlign w:val="superscript"/>
        </w:rPr>
      </w:pPr>
      <w:r>
        <w:rPr>
          <w:rFonts w:ascii="Arial" w:cs="Arial" w:eastAsia="Arial" w:hAnsi="Arial"/>
          <w:sz w:val="15"/>
          <w:szCs w:val="15"/>
          <w:color w:val="auto"/>
        </w:rPr>
        <w:t>Represents the aggregate grant date fair value of RSUs granted during fiscal 2026 computed in accordance with Financial Accounting Standards Board Accounting Standards Codification Topic 718, Compensation — Stock Compensation (“Topic 718”). The assumptions used in the valuation are discussed under “Stock-Based Compensation” in Note 1 — “Significant Accounting Policies” and Note 16 — “Stock-Based Compensation” to the financial statements included in our Annual Report on Form 10-K for the fiscal year ended March 31, 2026 (“Fiscal 2026 Form 10-K”). As of March 31, 2026, each of our non-employee directors had 6,296 RSUs outstanding, which will vest on July 30, 2026, subject to continued service through such date.</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2026 Executive Compensation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COMPENSATION CONTENTS</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680" w:right="400" w:hanging="442"/>
        <w:spacing w:after="0" w:line="296" w:lineRule="auto"/>
        <w:tabs>
          <w:tab w:leader="none" w:pos="680" w:val="left"/>
        </w:tabs>
        <w:numPr>
          <w:ilvl w:val="0"/>
          <w:numId w:val="47"/>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PROPOSAL 2 — ADVISORY VOTE TO APPROVE EXECUTIVE COMPENSATION</w:t>
      </w:r>
    </w:p>
    <w:p>
      <w:pPr>
        <w:spacing w:after="0" w:line="180" w:lineRule="exact"/>
        <w:rPr>
          <w:rFonts w:ascii="Arial" w:cs="Arial" w:eastAsia="Arial" w:hAnsi="Arial"/>
          <w:sz w:val="16"/>
          <w:szCs w:val="16"/>
          <w:b w:val="1"/>
          <w:bCs w:val="1"/>
          <w:u w:val="single" w:color="auto"/>
          <w:color w:val="0000EE"/>
        </w:rPr>
      </w:pPr>
    </w:p>
    <w:p>
      <w:pPr>
        <w:ind w:left="680" w:right="740" w:hanging="442"/>
        <w:spacing w:after="0" w:line="296" w:lineRule="auto"/>
        <w:tabs>
          <w:tab w:leader="none" w:pos="680" w:val="left"/>
        </w:tabs>
        <w:numPr>
          <w:ilvl w:val="0"/>
          <w:numId w:val="47"/>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-407035</wp:posOffset>
            </wp:positionV>
            <wp:extent cx="26060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-4445</wp:posOffset>
            </wp:positionV>
            <wp:extent cx="26060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2" w:lineRule="exact"/>
        <w:rPr>
          <w:sz w:val="20"/>
          <w:szCs w:val="20"/>
          <w:color w:val="auto"/>
        </w:rPr>
      </w:pPr>
    </w:p>
    <w:p>
      <w:pPr>
        <w:ind w:left="240"/>
        <w:spacing w:after="0"/>
        <w:tabs>
          <w:tab w:leader="none" w:pos="660" w:val="left"/>
          <w:tab w:leader="none" w:pos="1020" w:val="left"/>
        </w:tabs>
        <w:rPr>
          <w:sz w:val="20"/>
          <w:szCs w:val="20"/>
          <w:color w:val="auto"/>
        </w:rPr>
      </w:pPr>
      <w:r>
        <w:rPr>
          <w:rFonts w:ascii="Arial" w:cs="Arial" w:eastAsia="Arial" w:hAnsi="Arial"/>
          <w:sz w:val="16"/>
          <w:szCs w:val="16"/>
          <w:b w:val="1"/>
          <w:bCs w:val="1"/>
          <w:u w:val="single" w:color="auto"/>
          <w:color w:val="0000EE"/>
        </w:rPr>
        <w:t>38</w:t>
        <w:tab/>
        <w:t>I.</w:t>
      </w:r>
      <w:r>
        <w:rPr>
          <w:sz w:val="20"/>
          <w:szCs w:val="20"/>
          <w:color w:val="auto"/>
        </w:rPr>
        <w:tab/>
      </w:r>
      <w:r>
        <w:rPr>
          <w:rFonts w:ascii="Arial" w:cs="Arial" w:eastAsia="Arial" w:hAnsi="Arial"/>
          <w:sz w:val="16"/>
          <w:szCs w:val="16"/>
          <w:b w:val="1"/>
          <w:bCs w:val="1"/>
          <w:u w:val="single" w:color="auto"/>
          <w:color w:val="0000EE"/>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46355</wp:posOffset>
            </wp:positionV>
            <wp:extent cx="26060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95" w:lineRule="exact"/>
        <w:rPr>
          <w:sz w:val="20"/>
          <w:szCs w:val="20"/>
          <w:color w:val="auto"/>
        </w:rPr>
      </w:pPr>
    </w:p>
    <w:p>
      <w:pPr>
        <w:ind w:left="1040" w:hanging="802"/>
        <w:spacing w:after="0"/>
        <w:tabs>
          <w:tab w:leader="none" w:pos="1040" w:val="left"/>
        </w:tabs>
        <w:numPr>
          <w:ilvl w:val="0"/>
          <w:numId w:val="48"/>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NEOs</w:t>
      </w:r>
    </w:p>
    <w:p>
      <w:pPr>
        <w:spacing w:after="0" w:line="113" w:lineRule="exact"/>
        <w:rPr>
          <w:rFonts w:ascii="Arial" w:cs="Arial" w:eastAsia="Arial" w:hAnsi="Arial"/>
          <w:sz w:val="16"/>
          <w:szCs w:val="16"/>
          <w:i w:val="1"/>
          <w:iCs w:val="1"/>
          <w:u w:val="single" w:color="auto"/>
          <w:color w:val="0000EE"/>
        </w:rPr>
      </w:pPr>
    </w:p>
    <w:p>
      <w:pPr>
        <w:ind w:left="1040" w:hanging="802"/>
        <w:spacing w:after="0"/>
        <w:tabs>
          <w:tab w:leader="none" w:pos="1040" w:val="left"/>
        </w:tabs>
        <w:numPr>
          <w:ilvl w:val="0"/>
          <w:numId w:val="48"/>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Our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-142875</wp:posOffset>
            </wp:positionV>
            <wp:extent cx="260604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45085</wp:posOffset>
            </wp:positionV>
            <wp:extent cx="260604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1040" w:right="380" w:hanging="802"/>
        <w:spacing w:after="0" w:line="283" w:lineRule="auto"/>
        <w:tabs>
          <w:tab w:leader="none" w:pos="1040" w:val="left"/>
        </w:tabs>
        <w:numPr>
          <w:ilvl w:val="0"/>
          <w:numId w:val="49"/>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Stockholder Engagement and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wp:posOffset>
            </wp:positionV>
            <wp:extent cx="260604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960" w:type="dxa"/>
            <w:vAlign w:val="bottom"/>
            <w:gridSpan w:val="3"/>
          </w:tcPr>
          <w:p>
            <w:pPr>
              <w:jc w:val="right"/>
              <w:ind w:right="620"/>
              <w:spacing w:after="0"/>
              <w:rPr>
                <w:sz w:val="20"/>
                <w:szCs w:val="20"/>
                <w:color w:val="auto"/>
              </w:rPr>
            </w:pPr>
            <w:r>
              <w:rPr>
                <w:rFonts w:ascii="Arial" w:cs="Arial" w:eastAsia="Arial" w:hAnsi="Arial"/>
                <w:sz w:val="16"/>
                <w:szCs w:val="16"/>
                <w:i w:val="1"/>
                <w:iCs w:val="1"/>
                <w:color w:val="0000EE"/>
              </w:rPr>
              <w:t>40</w:t>
            </w:r>
          </w:p>
        </w:tc>
        <w:tc>
          <w:tcPr>
            <w:tcW w:w="3140" w:type="dxa"/>
            <w:vAlign w:val="bottom"/>
            <w:gridSpan w:val="8"/>
          </w:tcPr>
          <w:p>
            <w:pPr>
              <w:spacing w:after="0"/>
              <w:rPr>
                <w:sz w:val="20"/>
                <w:szCs w:val="20"/>
                <w:color w:val="auto"/>
              </w:rPr>
            </w:pPr>
            <w:r>
              <w:rPr>
                <w:rFonts w:ascii="Arial" w:cs="Arial" w:eastAsia="Arial" w:hAnsi="Arial"/>
                <w:sz w:val="16"/>
                <w:szCs w:val="16"/>
                <w:i w:val="1"/>
                <w:iCs w:val="1"/>
                <w:color w:val="0000EE"/>
              </w:rPr>
              <w:t>How Our NEOs Are Paid</w:t>
            </w:r>
          </w:p>
        </w:tc>
      </w:tr>
      <w:tr>
        <w:trPr>
          <w:trHeight w:val="61"/>
        </w:trPr>
        <w:tc>
          <w:tcPr>
            <w:tcW w:w="160" w:type="dxa"/>
            <w:vAlign w:val="bottom"/>
            <w:tcBorders>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680" w:type="dxa"/>
            <w:vAlign w:val="bottom"/>
            <w:tcBorders>
              <w:top w:val="single" w:sz="8" w:color="0000EE"/>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940" w:type="dxa"/>
            <w:vAlign w:val="bottom"/>
            <w:tcBorders>
              <w:top w:val="single" w:sz="8" w:color="0000EE"/>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r>
      <w:tr>
        <w:trPr>
          <w:trHeight w:val="196"/>
        </w:trPr>
        <w:tc>
          <w:tcPr>
            <w:tcW w:w="960" w:type="dxa"/>
            <w:vAlign w:val="bottom"/>
            <w:gridSpan w:val="3"/>
          </w:tcPr>
          <w:p>
            <w:pPr>
              <w:jc w:val="right"/>
              <w:ind w:right="620"/>
              <w:spacing w:after="0"/>
              <w:rPr>
                <w:sz w:val="20"/>
                <w:szCs w:val="20"/>
                <w:color w:val="auto"/>
              </w:rPr>
            </w:pPr>
            <w:r>
              <w:rPr>
                <w:rFonts w:ascii="Arial" w:cs="Arial" w:eastAsia="Arial" w:hAnsi="Arial"/>
                <w:sz w:val="16"/>
                <w:szCs w:val="16"/>
                <w:i w:val="1"/>
                <w:iCs w:val="1"/>
                <w:color w:val="0000EE"/>
              </w:rPr>
              <w:t>40</w:t>
            </w:r>
          </w:p>
        </w:tc>
        <w:tc>
          <w:tcPr>
            <w:tcW w:w="860" w:type="dxa"/>
            <w:vAlign w:val="bottom"/>
            <w:gridSpan w:val="2"/>
          </w:tcPr>
          <w:p>
            <w:pPr>
              <w:spacing w:after="0"/>
              <w:rPr>
                <w:sz w:val="20"/>
                <w:szCs w:val="20"/>
                <w:color w:val="auto"/>
              </w:rPr>
            </w:pPr>
            <w:r>
              <w:rPr>
                <w:rFonts w:ascii="Arial" w:cs="Arial" w:eastAsia="Arial" w:hAnsi="Arial"/>
                <w:sz w:val="16"/>
                <w:szCs w:val="16"/>
                <w:i w:val="1"/>
                <w:iCs w:val="1"/>
                <w:color w:val="0000EE"/>
              </w:rPr>
              <w:t>Fiscal 2026</w:t>
            </w:r>
          </w:p>
        </w:tc>
        <w:tc>
          <w:tcPr>
            <w:tcW w:w="2280" w:type="dxa"/>
            <w:vAlign w:val="bottom"/>
            <w:gridSpan w:val="6"/>
          </w:tcPr>
          <w:p>
            <w:pPr>
              <w:ind w:left="20"/>
              <w:spacing w:after="0"/>
              <w:rPr>
                <w:sz w:val="20"/>
                <w:szCs w:val="20"/>
                <w:color w:val="auto"/>
              </w:rPr>
            </w:pPr>
            <w:r>
              <w:rPr>
                <w:rFonts w:ascii="Arial" w:cs="Arial" w:eastAsia="Arial" w:hAnsi="Arial"/>
                <w:sz w:val="16"/>
                <w:szCs w:val="16"/>
                <w:i w:val="1"/>
                <w:iCs w:val="1"/>
                <w:color w:val="0000EE"/>
              </w:rPr>
              <w:t>Developments</w:t>
            </w:r>
          </w:p>
        </w:tc>
      </w:tr>
      <w:tr>
        <w:trPr>
          <w:trHeight w:val="61"/>
        </w:trPr>
        <w:tc>
          <w:tcPr>
            <w:tcW w:w="160" w:type="dxa"/>
            <w:vAlign w:val="bottom"/>
            <w:tcBorders>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680" w:type="dxa"/>
            <w:vAlign w:val="bottom"/>
            <w:tcBorders>
              <w:top w:val="single" w:sz="8" w:color="0000EE"/>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940" w:type="dxa"/>
            <w:vAlign w:val="bottom"/>
            <w:tcBorders>
              <w:top w:val="single" w:sz="8" w:color="0000EE"/>
              <w:bottom w:val="single" w:sz="8" w:color="CCCCCC"/>
            </w:tcBorders>
          </w:tcPr>
          <w:p>
            <w:pPr>
              <w:spacing w:after="0"/>
              <w:rPr>
                <w:sz w:val="5"/>
                <w:szCs w:val="5"/>
                <w:color w:val="auto"/>
              </w:rPr>
            </w:pPr>
          </w:p>
        </w:tc>
        <w:tc>
          <w:tcPr>
            <w:tcW w:w="120" w:type="dxa"/>
            <w:vAlign w:val="bottom"/>
            <w:tcBorders>
              <w:top w:val="single" w:sz="8" w:color="0000EE"/>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r>
      <w:tr>
        <w:trPr>
          <w:trHeight w:val="196"/>
        </w:trPr>
        <w:tc>
          <w:tcPr>
            <w:tcW w:w="960" w:type="dxa"/>
            <w:vAlign w:val="bottom"/>
            <w:gridSpan w:val="3"/>
          </w:tcPr>
          <w:p>
            <w:pPr>
              <w:jc w:val="right"/>
              <w:ind w:right="620"/>
              <w:spacing w:after="0"/>
              <w:rPr>
                <w:sz w:val="20"/>
                <w:szCs w:val="20"/>
                <w:color w:val="auto"/>
              </w:rPr>
            </w:pPr>
            <w:r>
              <w:rPr>
                <w:rFonts w:ascii="Arial" w:cs="Arial" w:eastAsia="Arial" w:hAnsi="Arial"/>
                <w:sz w:val="16"/>
                <w:szCs w:val="16"/>
                <w:i w:val="1"/>
                <w:iCs w:val="1"/>
                <w:color w:val="0000EE"/>
              </w:rPr>
              <w:t>42</w:t>
            </w:r>
          </w:p>
        </w:tc>
        <w:tc>
          <w:tcPr>
            <w:tcW w:w="860" w:type="dxa"/>
            <w:vAlign w:val="bottom"/>
            <w:gridSpan w:val="2"/>
          </w:tcPr>
          <w:p>
            <w:pPr>
              <w:spacing w:after="0"/>
              <w:rPr>
                <w:sz w:val="20"/>
                <w:szCs w:val="20"/>
                <w:color w:val="auto"/>
              </w:rPr>
            </w:pPr>
            <w:r>
              <w:rPr>
                <w:rFonts w:ascii="Arial" w:cs="Arial" w:eastAsia="Arial" w:hAnsi="Arial"/>
                <w:sz w:val="16"/>
                <w:szCs w:val="16"/>
                <w:i w:val="1"/>
                <w:iCs w:val="1"/>
                <w:color w:val="0000EE"/>
              </w:rPr>
              <w:t>Fiscal 2026</w:t>
            </w:r>
          </w:p>
        </w:tc>
        <w:tc>
          <w:tcPr>
            <w:tcW w:w="2280" w:type="dxa"/>
            <w:vAlign w:val="bottom"/>
            <w:gridSpan w:val="6"/>
          </w:tcPr>
          <w:p>
            <w:pPr>
              <w:ind w:left="20"/>
              <w:spacing w:after="0"/>
              <w:rPr>
                <w:sz w:val="20"/>
                <w:szCs w:val="20"/>
                <w:color w:val="auto"/>
              </w:rPr>
            </w:pPr>
            <w:r>
              <w:rPr>
                <w:rFonts w:ascii="Arial" w:cs="Arial" w:eastAsia="Arial" w:hAnsi="Arial"/>
                <w:sz w:val="16"/>
                <w:szCs w:val="16"/>
                <w:i w:val="1"/>
                <w:iCs w:val="1"/>
                <w:color w:val="0000EE"/>
              </w:rPr>
              <w:t>Performance Highlights</w:t>
            </w:r>
          </w:p>
        </w:tc>
      </w:tr>
      <w:tr>
        <w:trPr>
          <w:trHeight w:val="61"/>
        </w:trPr>
        <w:tc>
          <w:tcPr>
            <w:tcW w:w="160" w:type="dxa"/>
            <w:vAlign w:val="bottom"/>
            <w:tcBorders>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680" w:type="dxa"/>
            <w:vAlign w:val="bottom"/>
            <w:tcBorders>
              <w:top w:val="single" w:sz="8" w:color="0000EE"/>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940" w:type="dxa"/>
            <w:vAlign w:val="bottom"/>
            <w:tcBorders>
              <w:top w:val="single" w:sz="8" w:color="0000EE"/>
              <w:bottom w:val="single" w:sz="8" w:color="CCCCCC"/>
            </w:tcBorders>
          </w:tcPr>
          <w:p>
            <w:pPr>
              <w:spacing w:after="0"/>
              <w:rPr>
                <w:sz w:val="5"/>
                <w:szCs w:val="5"/>
                <w:color w:val="auto"/>
              </w:rPr>
            </w:pPr>
          </w:p>
        </w:tc>
        <w:tc>
          <w:tcPr>
            <w:tcW w:w="120" w:type="dxa"/>
            <w:vAlign w:val="bottom"/>
            <w:tcBorders>
              <w:top w:val="single" w:sz="8" w:color="0000EE"/>
              <w:bottom w:val="single" w:sz="8" w:color="CCCCCC"/>
            </w:tcBorders>
          </w:tcPr>
          <w:p>
            <w:pPr>
              <w:spacing w:after="0"/>
              <w:rPr>
                <w:sz w:val="5"/>
                <w:szCs w:val="5"/>
                <w:color w:val="auto"/>
              </w:rPr>
            </w:pPr>
          </w:p>
        </w:tc>
        <w:tc>
          <w:tcPr>
            <w:tcW w:w="560" w:type="dxa"/>
            <w:vAlign w:val="bottom"/>
            <w:tcBorders>
              <w:top w:val="single" w:sz="8" w:color="0000EE"/>
              <w:bottom w:val="single" w:sz="8" w:color="CCCCCC"/>
            </w:tcBorders>
          </w:tcPr>
          <w:p>
            <w:pPr>
              <w:spacing w:after="0"/>
              <w:rPr>
                <w:sz w:val="5"/>
                <w:szCs w:val="5"/>
                <w:color w:val="auto"/>
              </w:rPr>
            </w:pPr>
          </w:p>
        </w:tc>
        <w:tc>
          <w:tcPr>
            <w:tcW w:w="80" w:type="dxa"/>
            <w:vAlign w:val="bottom"/>
            <w:tcBorders>
              <w:top w:val="single" w:sz="8" w:color="0000EE"/>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r>
      <w:tr>
        <w:trPr>
          <w:trHeight w:val="196"/>
        </w:trPr>
        <w:tc>
          <w:tcPr>
            <w:tcW w:w="960" w:type="dxa"/>
            <w:vAlign w:val="bottom"/>
            <w:gridSpan w:val="3"/>
          </w:tcPr>
          <w:p>
            <w:pPr>
              <w:jc w:val="right"/>
              <w:ind w:right="620"/>
              <w:spacing w:after="0"/>
              <w:rPr>
                <w:sz w:val="20"/>
                <w:szCs w:val="20"/>
                <w:color w:val="auto"/>
              </w:rPr>
            </w:pPr>
            <w:r>
              <w:rPr>
                <w:rFonts w:ascii="Arial" w:cs="Arial" w:eastAsia="Arial" w:hAnsi="Arial"/>
                <w:sz w:val="16"/>
                <w:szCs w:val="16"/>
                <w:i w:val="1"/>
                <w:iCs w:val="1"/>
                <w:color w:val="0000EE"/>
              </w:rPr>
              <w:t>43</w:t>
            </w:r>
          </w:p>
        </w:tc>
        <w:tc>
          <w:tcPr>
            <w:tcW w:w="860" w:type="dxa"/>
            <w:vAlign w:val="bottom"/>
            <w:gridSpan w:val="2"/>
          </w:tcPr>
          <w:p>
            <w:pPr>
              <w:spacing w:after="0"/>
              <w:rPr>
                <w:sz w:val="20"/>
                <w:szCs w:val="20"/>
                <w:color w:val="auto"/>
              </w:rPr>
            </w:pPr>
            <w:r>
              <w:rPr>
                <w:rFonts w:ascii="Arial" w:cs="Arial" w:eastAsia="Arial" w:hAnsi="Arial"/>
                <w:sz w:val="16"/>
                <w:szCs w:val="16"/>
                <w:i w:val="1"/>
                <w:iCs w:val="1"/>
                <w:color w:val="0000EE"/>
              </w:rPr>
              <w:t>Fiscal 2026</w:t>
            </w:r>
          </w:p>
        </w:tc>
        <w:tc>
          <w:tcPr>
            <w:tcW w:w="2280" w:type="dxa"/>
            <w:vAlign w:val="bottom"/>
            <w:gridSpan w:val="6"/>
          </w:tcPr>
          <w:p>
            <w:pPr>
              <w:ind w:left="20"/>
              <w:spacing w:after="0"/>
              <w:rPr>
                <w:sz w:val="20"/>
                <w:szCs w:val="20"/>
                <w:color w:val="auto"/>
              </w:rPr>
            </w:pPr>
            <w:r>
              <w:rPr>
                <w:rFonts w:ascii="Arial" w:cs="Arial" w:eastAsia="Arial" w:hAnsi="Arial"/>
                <w:sz w:val="16"/>
                <w:szCs w:val="16"/>
                <w:i w:val="1"/>
                <w:iCs w:val="1"/>
                <w:color w:val="0000EE"/>
              </w:rPr>
              <w:t>Target Compensation Mix</w:t>
            </w:r>
          </w:p>
        </w:tc>
      </w:tr>
      <w:tr>
        <w:trPr>
          <w:trHeight w:val="61"/>
        </w:trPr>
        <w:tc>
          <w:tcPr>
            <w:tcW w:w="160" w:type="dxa"/>
            <w:vAlign w:val="bottom"/>
            <w:tcBorders>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680" w:type="dxa"/>
            <w:vAlign w:val="bottom"/>
            <w:tcBorders>
              <w:top w:val="single" w:sz="8" w:color="0000EE"/>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940" w:type="dxa"/>
            <w:vAlign w:val="bottom"/>
            <w:tcBorders>
              <w:top w:val="single" w:sz="8" w:color="0000EE"/>
              <w:bottom w:val="single" w:sz="8" w:color="CCCCCC"/>
            </w:tcBorders>
          </w:tcPr>
          <w:p>
            <w:pPr>
              <w:spacing w:after="0"/>
              <w:rPr>
                <w:sz w:val="5"/>
                <w:szCs w:val="5"/>
                <w:color w:val="auto"/>
              </w:rPr>
            </w:pPr>
          </w:p>
        </w:tc>
        <w:tc>
          <w:tcPr>
            <w:tcW w:w="120" w:type="dxa"/>
            <w:vAlign w:val="bottom"/>
            <w:tcBorders>
              <w:top w:val="single" w:sz="8" w:color="0000EE"/>
              <w:bottom w:val="single" w:sz="8" w:color="CCCCCC"/>
            </w:tcBorders>
          </w:tcPr>
          <w:p>
            <w:pPr>
              <w:spacing w:after="0"/>
              <w:rPr>
                <w:sz w:val="5"/>
                <w:szCs w:val="5"/>
                <w:color w:val="auto"/>
              </w:rPr>
            </w:pPr>
          </w:p>
        </w:tc>
        <w:tc>
          <w:tcPr>
            <w:tcW w:w="560" w:type="dxa"/>
            <w:vAlign w:val="bottom"/>
            <w:tcBorders>
              <w:top w:val="single" w:sz="8" w:color="0000EE"/>
              <w:bottom w:val="single" w:sz="8" w:color="CCCCCC"/>
            </w:tcBorders>
          </w:tcPr>
          <w:p>
            <w:pPr>
              <w:spacing w:after="0"/>
              <w:rPr>
                <w:sz w:val="5"/>
                <w:szCs w:val="5"/>
                <w:color w:val="auto"/>
              </w:rPr>
            </w:pPr>
          </w:p>
        </w:tc>
        <w:tc>
          <w:tcPr>
            <w:tcW w:w="8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r>
      <w:tr>
        <w:trPr>
          <w:trHeight w:val="196"/>
        </w:trPr>
        <w:tc>
          <w:tcPr>
            <w:tcW w:w="960" w:type="dxa"/>
            <w:vAlign w:val="bottom"/>
            <w:gridSpan w:val="3"/>
          </w:tcPr>
          <w:p>
            <w:pPr>
              <w:jc w:val="right"/>
              <w:ind w:right="620"/>
              <w:spacing w:after="0"/>
              <w:rPr>
                <w:sz w:val="20"/>
                <w:szCs w:val="20"/>
                <w:color w:val="auto"/>
              </w:rPr>
            </w:pPr>
            <w:r>
              <w:rPr>
                <w:rFonts w:ascii="Arial" w:cs="Arial" w:eastAsia="Arial" w:hAnsi="Arial"/>
                <w:sz w:val="16"/>
                <w:szCs w:val="16"/>
                <w:i w:val="1"/>
                <w:iCs w:val="1"/>
                <w:color w:val="0000EE"/>
              </w:rPr>
              <w:t>43</w:t>
            </w:r>
          </w:p>
        </w:tc>
        <w:tc>
          <w:tcPr>
            <w:tcW w:w="3140" w:type="dxa"/>
            <w:vAlign w:val="bottom"/>
            <w:gridSpan w:val="8"/>
          </w:tcPr>
          <w:p>
            <w:pPr>
              <w:spacing w:after="0"/>
              <w:rPr>
                <w:sz w:val="20"/>
                <w:szCs w:val="20"/>
                <w:color w:val="auto"/>
              </w:rPr>
            </w:pPr>
            <w:r>
              <w:rPr>
                <w:rFonts w:ascii="Arial" w:cs="Arial" w:eastAsia="Arial" w:hAnsi="Arial"/>
                <w:sz w:val="16"/>
                <w:szCs w:val="16"/>
                <w:i w:val="1"/>
                <w:iCs w:val="1"/>
                <w:color w:val="0000EE"/>
              </w:rPr>
              <w:t>Our Executive Compensation Best</w:t>
            </w:r>
          </w:p>
        </w:tc>
      </w:tr>
      <w:tr>
        <w:trPr>
          <w:trHeight w:val="169"/>
        </w:trPr>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i w:val="1"/>
                <w:iCs w:val="1"/>
                <w:color w:val="0000EE"/>
              </w:rPr>
              <w:t>Practices</w:t>
            </w:r>
          </w:p>
        </w:tc>
        <w:tc>
          <w:tcPr>
            <w:tcW w:w="9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61"/>
        </w:trPr>
        <w:tc>
          <w:tcPr>
            <w:tcW w:w="16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680" w:type="dxa"/>
            <w:vAlign w:val="bottom"/>
            <w:tcBorders>
              <w:top w:val="single" w:sz="8" w:color="0000EE"/>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940" w:type="dxa"/>
            <w:vAlign w:val="bottom"/>
            <w:tcBorders>
              <w:bottom w:val="single" w:sz="8" w:color="CCCCCC"/>
            </w:tcBorders>
          </w:tcPr>
          <w:p>
            <w:pPr>
              <w:spacing w:after="0"/>
              <w:rPr>
                <w:sz w:val="5"/>
                <w:szCs w:val="5"/>
                <w:color w:val="auto"/>
              </w:rPr>
            </w:pPr>
          </w:p>
        </w:tc>
        <w:tc>
          <w:tcPr>
            <w:tcW w:w="120" w:type="dxa"/>
            <w:vAlign w:val="bottom"/>
            <w:tcBorders>
              <w:bottom w:val="single" w:sz="8" w:color="CCCCCC"/>
            </w:tcBorders>
          </w:tcPr>
          <w:p>
            <w:pPr>
              <w:spacing w:after="0"/>
              <w:rPr>
                <w:sz w:val="5"/>
                <w:szCs w:val="5"/>
                <w:color w:val="auto"/>
              </w:rPr>
            </w:pPr>
          </w:p>
        </w:tc>
        <w:tc>
          <w:tcPr>
            <w:tcW w:w="560" w:type="dxa"/>
            <w:vAlign w:val="bottom"/>
            <w:tcBorders>
              <w:bottom w:val="single" w:sz="8" w:color="CCCCCC"/>
            </w:tcBorders>
          </w:tcPr>
          <w:p>
            <w:pPr>
              <w:spacing w:after="0"/>
              <w:rPr>
                <w:sz w:val="5"/>
                <w:szCs w:val="5"/>
                <w:color w:val="auto"/>
              </w:rPr>
            </w:pPr>
          </w:p>
        </w:tc>
        <w:tc>
          <w:tcPr>
            <w:tcW w:w="8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r>
    </w:tbl>
    <w:p>
      <w:pPr>
        <w:spacing w:after="0" w:line="26" w:lineRule="exact"/>
        <w:rPr>
          <w:sz w:val="20"/>
          <w:szCs w:val="20"/>
          <w:color w:val="auto"/>
        </w:rPr>
      </w:pPr>
    </w:p>
    <w:p>
      <w:pPr>
        <w:ind w:left="1040" w:right="440" w:hanging="802"/>
        <w:spacing w:after="0" w:line="296" w:lineRule="auto"/>
        <w:tabs>
          <w:tab w:leader="none" w:pos="662" w:val="left"/>
        </w:tabs>
        <w:numPr>
          <w:ilvl w:val="0"/>
          <w:numId w:val="50"/>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II. Executive Compensation Decision-Making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-4445</wp:posOffset>
            </wp:positionV>
            <wp:extent cx="260604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4" w:lineRule="exact"/>
        <w:rPr>
          <w:sz w:val="20"/>
          <w:szCs w:val="20"/>
          <w:color w:val="auto"/>
        </w:rPr>
      </w:pPr>
    </w:p>
    <w:p>
      <w:pPr>
        <w:ind w:left="1040" w:right="240" w:hanging="802"/>
        <w:spacing w:after="0" w:line="283" w:lineRule="auto"/>
        <w:tabs>
          <w:tab w:leader="none" w:pos="1040" w:val="left"/>
        </w:tabs>
        <w:numPr>
          <w:ilvl w:val="0"/>
          <w:numId w:val="51"/>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Role of Our CHC Committee, Our Independent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wp:posOffset>
            </wp:positionV>
            <wp:extent cx="26060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2" w:lineRule="exact"/>
        <w:rPr>
          <w:sz w:val="20"/>
          <w:szCs w:val="20"/>
          <w:color w:val="auto"/>
        </w:rPr>
      </w:pPr>
    </w:p>
    <w:p>
      <w:pPr>
        <w:ind w:left="1040" w:hanging="802"/>
        <w:spacing w:after="0"/>
        <w:tabs>
          <w:tab w:leader="none" w:pos="1040" w:val="left"/>
        </w:tabs>
        <w:numPr>
          <w:ilvl w:val="0"/>
          <w:numId w:val="52"/>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Role of Compensation Consultants</w:t>
      </w:r>
    </w:p>
    <w:p>
      <w:pPr>
        <w:spacing w:after="0" w:line="113" w:lineRule="exact"/>
        <w:rPr>
          <w:rFonts w:ascii="Arial" w:cs="Arial" w:eastAsia="Arial" w:hAnsi="Arial"/>
          <w:sz w:val="16"/>
          <w:szCs w:val="16"/>
          <w:i w:val="1"/>
          <w:iCs w:val="1"/>
          <w:u w:val="single" w:color="auto"/>
          <w:color w:val="0000EE"/>
        </w:rPr>
      </w:pPr>
    </w:p>
    <w:p>
      <w:pPr>
        <w:ind w:left="1040" w:hanging="802"/>
        <w:spacing w:after="0"/>
        <w:tabs>
          <w:tab w:leader="none" w:pos="1040" w:val="left"/>
        </w:tabs>
        <w:numPr>
          <w:ilvl w:val="0"/>
          <w:numId w:val="52"/>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Use of Competitive Data</w:t>
      </w:r>
    </w:p>
    <w:p>
      <w:pPr>
        <w:spacing w:after="0" w:line="113" w:lineRule="exact"/>
        <w:rPr>
          <w:rFonts w:ascii="Arial" w:cs="Arial" w:eastAsia="Arial" w:hAnsi="Arial"/>
          <w:sz w:val="16"/>
          <w:szCs w:val="16"/>
          <w:i w:val="1"/>
          <w:iCs w:val="1"/>
          <w:u w:val="single" w:color="auto"/>
          <w:color w:val="0000EE"/>
        </w:rPr>
      </w:pPr>
    </w:p>
    <w:p>
      <w:pPr>
        <w:ind w:left="1040" w:hanging="802"/>
        <w:spacing w:after="0"/>
        <w:tabs>
          <w:tab w:leader="none" w:pos="1040" w:val="left"/>
        </w:tabs>
        <w:numPr>
          <w:ilvl w:val="0"/>
          <w:numId w:val="52"/>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Assessing Performance Results</w:t>
      </w:r>
    </w:p>
    <w:p>
      <w:pPr>
        <w:spacing w:after="0" w:line="111" w:lineRule="exact"/>
        <w:rPr>
          <w:rFonts w:ascii="Arial" w:cs="Arial" w:eastAsia="Arial" w:hAnsi="Arial"/>
          <w:sz w:val="16"/>
          <w:szCs w:val="16"/>
          <w:i w:val="1"/>
          <w:iCs w:val="1"/>
          <w:u w:val="single" w:color="auto"/>
          <w:color w:val="0000EE"/>
        </w:rPr>
      </w:pPr>
    </w:p>
    <w:p>
      <w:pPr>
        <w:ind w:left="1040" w:right="720" w:hanging="802"/>
        <w:spacing w:after="0" w:line="296" w:lineRule="auto"/>
        <w:tabs>
          <w:tab w:leader="none" w:pos="662" w:val="left"/>
        </w:tabs>
        <w:numPr>
          <w:ilvl w:val="0"/>
          <w:numId w:val="52"/>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III. Elements of Compensation and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-690245</wp:posOffset>
            </wp:positionV>
            <wp:extent cx="260604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-501650</wp:posOffset>
            </wp:positionV>
            <wp:extent cx="260604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-313055</wp:posOffset>
            </wp:positionV>
            <wp:extent cx="260604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-4445</wp:posOffset>
            </wp:positionV>
            <wp:extent cx="260604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14" w:lineRule="exact"/>
        <w:rPr>
          <w:sz w:val="20"/>
          <w:szCs w:val="20"/>
          <w:color w:val="auto"/>
        </w:rPr>
      </w:pPr>
    </w:p>
    <w:p>
      <w:pPr>
        <w:ind w:left="240"/>
        <w:spacing w:after="0"/>
        <w:tabs>
          <w:tab w:leader="none" w:pos="1020" w:val="left"/>
        </w:tabs>
        <w:rPr>
          <w:sz w:val="20"/>
          <w:szCs w:val="20"/>
          <w:color w:val="auto"/>
        </w:rPr>
      </w:pPr>
      <w:r>
        <w:rPr>
          <w:rFonts w:ascii="Arial" w:cs="Arial" w:eastAsia="Arial" w:hAnsi="Arial"/>
          <w:sz w:val="16"/>
          <w:szCs w:val="16"/>
          <w:i w:val="1"/>
          <w:iCs w:val="1"/>
          <w:u w:val="single" w:color="auto"/>
          <w:color w:val="0000EE"/>
        </w:rPr>
        <w:t>47</w:t>
      </w:r>
      <w:r>
        <w:rPr>
          <w:sz w:val="20"/>
          <w:szCs w:val="20"/>
          <w:color w:val="auto"/>
        </w:rPr>
        <w:tab/>
      </w:r>
      <w:r>
        <w:rPr>
          <w:rFonts w:ascii="Arial" w:cs="Arial" w:eastAsia="Arial" w:hAnsi="Arial"/>
          <w:sz w:val="16"/>
          <w:szCs w:val="16"/>
          <w:i w:val="1"/>
          <w:iCs w:val="1"/>
          <w:u w:val="single" w:color="auto"/>
          <w:color w:val="0000EE"/>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45085</wp:posOffset>
            </wp:positionV>
            <wp:extent cx="26060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1040" w:right="600" w:hanging="802"/>
        <w:spacing w:after="0" w:line="283" w:lineRule="auto"/>
        <w:tabs>
          <w:tab w:leader="none" w:pos="1040" w:val="left"/>
        </w:tabs>
        <w:numPr>
          <w:ilvl w:val="0"/>
          <w:numId w:val="53"/>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Supplemental Monthly Cash Bonus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wp:posOffset>
            </wp:positionV>
            <wp:extent cx="260604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40" w:type="dxa"/>
            <w:vAlign w:val="bottom"/>
            <w:gridSpan w:val="2"/>
          </w:tcPr>
          <w:p>
            <w:pPr>
              <w:jc w:val="right"/>
              <w:spacing w:after="0"/>
              <w:rPr>
                <w:sz w:val="20"/>
                <w:szCs w:val="20"/>
                <w:color w:val="auto"/>
              </w:rPr>
            </w:pPr>
            <w:r>
              <w:rPr>
                <w:rFonts w:ascii="Arial" w:cs="Arial" w:eastAsia="Arial" w:hAnsi="Arial"/>
                <w:sz w:val="16"/>
                <w:szCs w:val="16"/>
                <w:i w:val="1"/>
                <w:iCs w:val="1"/>
                <w:color w:val="0000EE"/>
              </w:rPr>
              <w:t>47</w:t>
            </w:r>
          </w:p>
        </w:tc>
        <w:tc>
          <w:tcPr>
            <w:tcW w:w="620" w:type="dxa"/>
            <w:vAlign w:val="bottom"/>
          </w:tcPr>
          <w:p>
            <w:pPr>
              <w:spacing w:after="0"/>
              <w:rPr>
                <w:sz w:val="16"/>
                <w:szCs w:val="16"/>
                <w:color w:val="auto"/>
              </w:rPr>
            </w:pPr>
          </w:p>
        </w:tc>
        <w:tc>
          <w:tcPr>
            <w:tcW w:w="3140" w:type="dxa"/>
            <w:vAlign w:val="bottom"/>
            <w:gridSpan w:val="3"/>
          </w:tcPr>
          <w:p>
            <w:pPr>
              <w:spacing w:after="0"/>
              <w:rPr>
                <w:sz w:val="20"/>
                <w:szCs w:val="20"/>
                <w:color w:val="auto"/>
              </w:rPr>
            </w:pPr>
            <w:r>
              <w:rPr>
                <w:rFonts w:ascii="Arial" w:cs="Arial" w:eastAsia="Arial" w:hAnsi="Arial"/>
                <w:sz w:val="16"/>
                <w:szCs w:val="16"/>
                <w:i w:val="1"/>
                <w:iCs w:val="1"/>
                <w:color w:val="0000EE"/>
              </w:rPr>
              <w:t>Annual Cash Bonus</w:t>
            </w:r>
          </w:p>
        </w:tc>
      </w:tr>
      <w:tr>
        <w:trPr>
          <w:trHeight w:val="61"/>
        </w:trPr>
        <w:tc>
          <w:tcPr>
            <w:tcW w:w="160" w:type="dxa"/>
            <w:vAlign w:val="bottom"/>
            <w:tcBorders>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440" w:type="dxa"/>
            <w:vAlign w:val="bottom"/>
            <w:tcBorders>
              <w:top w:val="single" w:sz="8" w:color="0000EE"/>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080" w:type="dxa"/>
            <w:vAlign w:val="bottom"/>
            <w:tcBorders>
              <w:bottom w:val="single" w:sz="8" w:color="CCCCCC"/>
            </w:tcBorders>
          </w:tcPr>
          <w:p>
            <w:pPr>
              <w:spacing w:after="0"/>
              <w:rPr>
                <w:sz w:val="5"/>
                <w:szCs w:val="5"/>
                <w:color w:val="auto"/>
              </w:rPr>
            </w:pPr>
          </w:p>
        </w:tc>
      </w:tr>
      <w:tr>
        <w:trPr>
          <w:trHeight w:val="196"/>
        </w:trPr>
        <w:tc>
          <w:tcPr>
            <w:tcW w:w="340" w:type="dxa"/>
            <w:vAlign w:val="bottom"/>
            <w:gridSpan w:val="2"/>
          </w:tcPr>
          <w:p>
            <w:pPr>
              <w:jc w:val="right"/>
              <w:spacing w:after="0"/>
              <w:rPr>
                <w:sz w:val="20"/>
                <w:szCs w:val="20"/>
                <w:color w:val="auto"/>
              </w:rPr>
            </w:pPr>
            <w:r>
              <w:rPr>
                <w:rFonts w:ascii="Arial" w:cs="Arial" w:eastAsia="Arial" w:hAnsi="Arial"/>
                <w:sz w:val="16"/>
                <w:szCs w:val="16"/>
                <w:i w:val="1"/>
                <w:iCs w:val="1"/>
                <w:color w:val="0000EE"/>
              </w:rPr>
              <w:t>51</w:t>
            </w:r>
          </w:p>
        </w:tc>
        <w:tc>
          <w:tcPr>
            <w:tcW w:w="620" w:type="dxa"/>
            <w:vAlign w:val="bottom"/>
          </w:tcPr>
          <w:p>
            <w:pPr>
              <w:spacing w:after="0"/>
              <w:rPr>
                <w:sz w:val="17"/>
                <w:szCs w:val="17"/>
                <w:color w:val="auto"/>
              </w:rPr>
            </w:pPr>
          </w:p>
        </w:tc>
        <w:tc>
          <w:tcPr>
            <w:tcW w:w="3140" w:type="dxa"/>
            <w:vAlign w:val="bottom"/>
            <w:gridSpan w:val="3"/>
          </w:tcPr>
          <w:p>
            <w:pPr>
              <w:spacing w:after="0"/>
              <w:rPr>
                <w:sz w:val="20"/>
                <w:szCs w:val="20"/>
                <w:color w:val="auto"/>
              </w:rPr>
            </w:pPr>
            <w:r>
              <w:rPr>
                <w:rFonts w:ascii="Arial" w:cs="Arial" w:eastAsia="Arial" w:hAnsi="Arial"/>
                <w:sz w:val="16"/>
                <w:szCs w:val="16"/>
                <w:i w:val="1"/>
                <w:iCs w:val="1"/>
                <w:color w:val="0000EE"/>
              </w:rPr>
              <w:t>Long-Term Equity Incentives</w:t>
            </w: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0000EE"/>
              </w:rPr>
              <w:t>59</w:t>
            </w:r>
          </w:p>
        </w:tc>
        <w:tc>
          <w:tcPr>
            <w:tcW w:w="3520" w:type="dxa"/>
            <w:vAlign w:val="bottom"/>
            <w:gridSpan w:val="11"/>
          </w:tcPr>
          <w:p>
            <w:pPr>
              <w:spacing w:after="0"/>
              <w:rPr>
                <w:sz w:val="20"/>
                <w:szCs w:val="20"/>
                <w:color w:val="auto"/>
              </w:rPr>
            </w:pPr>
            <w:r>
              <w:rPr>
                <w:rFonts w:ascii="Arial" w:cs="Arial" w:eastAsia="Arial" w:hAnsi="Arial"/>
                <w:sz w:val="16"/>
                <w:szCs w:val="16"/>
                <w:b w:val="1"/>
                <w:bCs w:val="1"/>
                <w:color w:val="0000EE"/>
              </w:rPr>
              <w:t>IV.  Additional Compensation Information</w:t>
            </w:r>
          </w:p>
        </w:tc>
      </w:tr>
      <w:tr>
        <w:trPr>
          <w:trHeight w:val="61"/>
        </w:trPr>
        <w:tc>
          <w:tcPr>
            <w:tcW w:w="160" w:type="dxa"/>
            <w:vAlign w:val="bottom"/>
            <w:tcBorders>
              <w:bottom w:val="single" w:sz="8" w:color="CCCCCC"/>
            </w:tcBorders>
          </w:tcPr>
          <w:p>
            <w:pPr>
              <w:spacing w:after="0"/>
              <w:rPr>
                <w:sz w:val="5"/>
                <w:szCs w:val="5"/>
                <w:color w:val="auto"/>
              </w:rPr>
            </w:pPr>
          </w:p>
        </w:tc>
        <w:tc>
          <w:tcPr>
            <w:tcW w:w="200" w:type="dxa"/>
            <w:vAlign w:val="bottom"/>
            <w:tcBorders>
              <w:top w:val="single" w:sz="8" w:color="0000EE"/>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880" w:type="dxa"/>
            <w:vAlign w:val="bottom"/>
            <w:tcBorders>
              <w:top w:val="single" w:sz="8" w:color="0000EE"/>
              <w:bottom w:val="single" w:sz="8" w:color="CCCCCC"/>
            </w:tcBorders>
          </w:tcPr>
          <w:p>
            <w:pPr>
              <w:spacing w:after="0"/>
              <w:rPr>
                <w:sz w:val="5"/>
                <w:szCs w:val="5"/>
                <w:color w:val="auto"/>
              </w:rPr>
            </w:pPr>
          </w:p>
        </w:tc>
        <w:tc>
          <w:tcPr>
            <w:tcW w:w="26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320" w:type="dxa"/>
            <w:vAlign w:val="bottom"/>
            <w:tcBorders>
              <w:top w:val="single" w:sz="8" w:color="0000EE"/>
              <w:bottom w:val="single" w:sz="8" w:color="CCCCCC"/>
            </w:tcBorders>
          </w:tcPr>
          <w:p>
            <w:pPr>
              <w:spacing w:after="0"/>
              <w:rPr>
                <w:sz w:val="5"/>
                <w:szCs w:val="5"/>
                <w:color w:val="auto"/>
              </w:rPr>
            </w:pPr>
          </w:p>
        </w:tc>
        <w:tc>
          <w:tcPr>
            <w:tcW w:w="420" w:type="dxa"/>
            <w:vAlign w:val="bottom"/>
            <w:tcBorders>
              <w:top w:val="single" w:sz="8" w:color="0000EE"/>
              <w:bottom w:val="single" w:sz="8" w:color="CCCCCC"/>
            </w:tcBorders>
          </w:tcPr>
          <w:p>
            <w:pPr>
              <w:spacing w:after="0"/>
              <w:rPr>
                <w:sz w:val="5"/>
                <w:szCs w:val="5"/>
                <w:color w:val="auto"/>
              </w:rPr>
            </w:pPr>
          </w:p>
        </w:tc>
        <w:tc>
          <w:tcPr>
            <w:tcW w:w="60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100" w:type="dxa"/>
            <w:vAlign w:val="bottom"/>
            <w:tcBorders>
              <w:top w:val="single" w:sz="8" w:color="0000EE"/>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r>
      <w:tr>
        <w:trPr>
          <w:trHeight w:val="196"/>
        </w:trPr>
        <w:tc>
          <w:tcPr>
            <w:tcW w:w="600" w:type="dxa"/>
            <w:vAlign w:val="bottom"/>
            <w:gridSpan w:val="3"/>
          </w:tcPr>
          <w:p>
            <w:pPr>
              <w:jc w:val="right"/>
              <w:ind w:right="240"/>
              <w:spacing w:after="0"/>
              <w:rPr>
                <w:sz w:val="20"/>
                <w:szCs w:val="20"/>
                <w:color w:val="auto"/>
              </w:rPr>
            </w:pPr>
            <w:r>
              <w:rPr>
                <w:rFonts w:ascii="Arial" w:cs="Arial" w:eastAsia="Arial" w:hAnsi="Arial"/>
                <w:sz w:val="16"/>
                <w:szCs w:val="16"/>
                <w:i w:val="1"/>
                <w:iCs w:val="1"/>
                <w:color w:val="0000EE"/>
              </w:rPr>
              <w:t>59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6"/>
                <w:szCs w:val="16"/>
                <w:i w:val="1"/>
                <w:iCs w:val="1"/>
                <w:color w:val="0000EE"/>
              </w:rPr>
              <w:t>Equity Grant Practices</w:t>
            </w:r>
          </w:p>
        </w:tc>
      </w:tr>
      <w:tr>
        <w:trPr>
          <w:trHeight w:val="61"/>
        </w:trPr>
        <w:tc>
          <w:tcPr>
            <w:tcW w:w="160" w:type="dxa"/>
            <w:vAlign w:val="bottom"/>
            <w:tcBorders>
              <w:bottom w:val="single" w:sz="8" w:color="CCCCCC"/>
            </w:tcBorders>
          </w:tcPr>
          <w:p>
            <w:pPr>
              <w:spacing w:after="0"/>
              <w:rPr>
                <w:sz w:val="5"/>
                <w:szCs w:val="5"/>
                <w:color w:val="auto"/>
              </w:rPr>
            </w:pPr>
          </w:p>
        </w:tc>
        <w:tc>
          <w:tcPr>
            <w:tcW w:w="200" w:type="dxa"/>
            <w:vAlign w:val="bottom"/>
            <w:tcBorders>
              <w:top w:val="single" w:sz="8" w:color="0000EE"/>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880" w:type="dxa"/>
            <w:vAlign w:val="bottom"/>
            <w:tcBorders>
              <w:top w:val="single" w:sz="8" w:color="0000EE"/>
              <w:bottom w:val="single" w:sz="8" w:color="CCCCCC"/>
            </w:tcBorders>
          </w:tcPr>
          <w:p>
            <w:pPr>
              <w:spacing w:after="0"/>
              <w:rPr>
                <w:sz w:val="5"/>
                <w:szCs w:val="5"/>
                <w:color w:val="auto"/>
              </w:rPr>
            </w:pPr>
          </w:p>
        </w:tc>
        <w:tc>
          <w:tcPr>
            <w:tcW w:w="26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320" w:type="dxa"/>
            <w:vAlign w:val="bottom"/>
            <w:tcBorders>
              <w:top w:val="single" w:sz="8" w:color="0000EE"/>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r>
      <w:tr>
        <w:trPr>
          <w:trHeight w:val="196"/>
        </w:trPr>
        <w:tc>
          <w:tcPr>
            <w:tcW w:w="600" w:type="dxa"/>
            <w:vAlign w:val="bottom"/>
            <w:gridSpan w:val="3"/>
          </w:tcPr>
          <w:p>
            <w:pPr>
              <w:jc w:val="right"/>
              <w:ind w:right="240"/>
              <w:spacing w:after="0"/>
              <w:rPr>
                <w:sz w:val="20"/>
                <w:szCs w:val="20"/>
                <w:color w:val="auto"/>
              </w:rPr>
            </w:pPr>
            <w:r>
              <w:rPr>
                <w:rFonts w:ascii="Arial" w:cs="Arial" w:eastAsia="Arial" w:hAnsi="Arial"/>
                <w:sz w:val="16"/>
                <w:szCs w:val="16"/>
                <w:i w:val="1"/>
                <w:iCs w:val="1"/>
                <w:color w:val="0000EE"/>
              </w:rPr>
              <w:t>59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6"/>
                <w:szCs w:val="16"/>
                <w:i w:val="1"/>
                <w:iCs w:val="1"/>
                <w:color w:val="0000EE"/>
              </w:rPr>
              <w:t>No Long-Term Employment Agreements</w:t>
            </w:r>
          </w:p>
        </w:tc>
      </w:tr>
      <w:tr>
        <w:trPr>
          <w:trHeight w:val="61"/>
        </w:trPr>
        <w:tc>
          <w:tcPr>
            <w:tcW w:w="160" w:type="dxa"/>
            <w:vAlign w:val="bottom"/>
            <w:tcBorders>
              <w:bottom w:val="single" w:sz="8" w:color="CCCCCC"/>
            </w:tcBorders>
          </w:tcPr>
          <w:p>
            <w:pPr>
              <w:spacing w:after="0"/>
              <w:rPr>
                <w:sz w:val="5"/>
                <w:szCs w:val="5"/>
                <w:color w:val="auto"/>
              </w:rPr>
            </w:pPr>
          </w:p>
        </w:tc>
        <w:tc>
          <w:tcPr>
            <w:tcW w:w="200" w:type="dxa"/>
            <w:vAlign w:val="bottom"/>
            <w:tcBorders>
              <w:top w:val="single" w:sz="8" w:color="0000EE"/>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880" w:type="dxa"/>
            <w:vAlign w:val="bottom"/>
            <w:tcBorders>
              <w:top w:val="single" w:sz="8" w:color="0000EE"/>
              <w:bottom w:val="single" w:sz="8" w:color="CCCCCC"/>
            </w:tcBorders>
          </w:tcPr>
          <w:p>
            <w:pPr>
              <w:spacing w:after="0"/>
              <w:rPr>
                <w:sz w:val="5"/>
                <w:szCs w:val="5"/>
                <w:color w:val="auto"/>
              </w:rPr>
            </w:pPr>
          </w:p>
        </w:tc>
        <w:tc>
          <w:tcPr>
            <w:tcW w:w="26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320" w:type="dxa"/>
            <w:vAlign w:val="bottom"/>
            <w:tcBorders>
              <w:top w:val="single" w:sz="8" w:color="0000EE"/>
              <w:bottom w:val="single" w:sz="8" w:color="CCCCCC"/>
            </w:tcBorders>
          </w:tcPr>
          <w:p>
            <w:pPr>
              <w:spacing w:after="0"/>
              <w:rPr>
                <w:sz w:val="5"/>
                <w:szCs w:val="5"/>
                <w:color w:val="auto"/>
              </w:rPr>
            </w:pPr>
          </w:p>
        </w:tc>
        <w:tc>
          <w:tcPr>
            <w:tcW w:w="420" w:type="dxa"/>
            <w:vAlign w:val="bottom"/>
            <w:tcBorders>
              <w:top w:val="single" w:sz="8" w:color="0000EE"/>
              <w:bottom w:val="single" w:sz="8" w:color="CCCCCC"/>
            </w:tcBorders>
          </w:tcPr>
          <w:p>
            <w:pPr>
              <w:spacing w:after="0"/>
              <w:rPr>
                <w:sz w:val="5"/>
                <w:szCs w:val="5"/>
                <w:color w:val="auto"/>
              </w:rPr>
            </w:pPr>
          </w:p>
        </w:tc>
        <w:tc>
          <w:tcPr>
            <w:tcW w:w="60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100" w:type="dxa"/>
            <w:vAlign w:val="bottom"/>
            <w:tcBorders>
              <w:top w:val="single" w:sz="8" w:color="0000EE"/>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i w:val="1"/>
                <w:iCs w:val="1"/>
                <w:color w:val="0000EE"/>
              </w:rPr>
              <w:t>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6"/>
                <w:szCs w:val="16"/>
                <w:i w:val="1"/>
                <w:iCs w:val="1"/>
                <w:color w:val="0000EE"/>
              </w:rPr>
              <w:t>Non-competition and Non-solicitation</w:t>
            </w:r>
          </w:p>
        </w:tc>
      </w:tr>
      <w:tr>
        <w:trPr>
          <w:trHeight w:val="169"/>
        </w:trPr>
        <w:tc>
          <w:tcPr>
            <w:tcW w:w="16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tcBorders>
              <w:top w:val="single" w:sz="8" w:color="0000EE"/>
            </w:tcBorders>
            <w:gridSpan w:val="6"/>
          </w:tcPr>
          <w:p>
            <w:pPr>
              <w:spacing w:after="0" w:line="169" w:lineRule="exact"/>
              <w:rPr>
                <w:sz w:val="20"/>
                <w:szCs w:val="20"/>
                <w:color w:val="auto"/>
              </w:rPr>
            </w:pPr>
            <w:r>
              <w:rPr>
                <w:rFonts w:ascii="Arial" w:cs="Arial" w:eastAsia="Arial" w:hAnsi="Arial"/>
                <w:sz w:val="16"/>
                <w:szCs w:val="16"/>
                <w:i w:val="1"/>
                <w:iCs w:val="1"/>
                <w:color w:val="0000EE"/>
              </w:rPr>
              <w:t>Agreements</w:t>
            </w:r>
          </w:p>
        </w:tc>
        <w:tc>
          <w:tcPr>
            <w:tcW w:w="500" w:type="dxa"/>
            <w:vAlign w:val="bottom"/>
            <w:gridSpan w:val="3"/>
          </w:tcPr>
          <w:p>
            <w:pPr>
              <w:spacing w:after="0"/>
              <w:rPr>
                <w:sz w:val="14"/>
                <w:szCs w:val="14"/>
                <w:color w:val="auto"/>
              </w:rPr>
            </w:pPr>
          </w:p>
        </w:tc>
      </w:tr>
      <w:tr>
        <w:trPr>
          <w:trHeight w:val="61"/>
        </w:trPr>
        <w:tc>
          <w:tcPr>
            <w:tcW w:w="16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880" w:type="dxa"/>
            <w:vAlign w:val="bottom"/>
            <w:tcBorders>
              <w:top w:val="single" w:sz="8" w:color="0000EE"/>
              <w:bottom w:val="single" w:sz="8" w:color="CCCCCC"/>
            </w:tcBorders>
          </w:tcPr>
          <w:p>
            <w:pPr>
              <w:spacing w:after="0"/>
              <w:rPr>
                <w:sz w:val="5"/>
                <w:szCs w:val="5"/>
                <w:color w:val="auto"/>
              </w:rPr>
            </w:pPr>
          </w:p>
        </w:tc>
        <w:tc>
          <w:tcPr>
            <w:tcW w:w="26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r>
      <w:tr>
        <w:trPr>
          <w:trHeight w:val="196"/>
        </w:trPr>
        <w:tc>
          <w:tcPr>
            <w:tcW w:w="600" w:type="dxa"/>
            <w:vAlign w:val="bottom"/>
            <w:gridSpan w:val="3"/>
          </w:tcPr>
          <w:p>
            <w:pPr>
              <w:jc w:val="right"/>
              <w:ind w:right="240"/>
              <w:spacing w:after="0"/>
              <w:rPr>
                <w:sz w:val="20"/>
                <w:szCs w:val="20"/>
                <w:color w:val="auto"/>
              </w:rPr>
            </w:pPr>
            <w:r>
              <w:rPr>
                <w:rFonts w:ascii="Arial" w:cs="Arial" w:eastAsia="Arial" w:hAnsi="Arial"/>
                <w:sz w:val="16"/>
                <w:szCs w:val="16"/>
                <w:i w:val="1"/>
                <w:iCs w:val="1"/>
                <w:color w:val="0000EE"/>
              </w:rPr>
              <w:t>59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6"/>
                <w:szCs w:val="16"/>
                <w:i w:val="1"/>
                <w:iCs w:val="1"/>
                <w:color w:val="0000EE"/>
              </w:rPr>
              <w:t>Stock Ownership Guidelines</w:t>
            </w:r>
          </w:p>
        </w:tc>
      </w:tr>
      <w:tr>
        <w:trPr>
          <w:trHeight w:val="61"/>
        </w:trPr>
        <w:tc>
          <w:tcPr>
            <w:tcW w:w="160" w:type="dxa"/>
            <w:vAlign w:val="bottom"/>
            <w:tcBorders>
              <w:bottom w:val="single" w:sz="8" w:color="CCCCCC"/>
            </w:tcBorders>
          </w:tcPr>
          <w:p>
            <w:pPr>
              <w:spacing w:after="0"/>
              <w:rPr>
                <w:sz w:val="5"/>
                <w:szCs w:val="5"/>
                <w:color w:val="auto"/>
              </w:rPr>
            </w:pPr>
          </w:p>
        </w:tc>
        <w:tc>
          <w:tcPr>
            <w:tcW w:w="200" w:type="dxa"/>
            <w:vAlign w:val="bottom"/>
            <w:tcBorders>
              <w:top w:val="single" w:sz="8" w:color="0000EE"/>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880" w:type="dxa"/>
            <w:vAlign w:val="bottom"/>
            <w:tcBorders>
              <w:top w:val="single" w:sz="8" w:color="0000EE"/>
              <w:bottom w:val="single" w:sz="8" w:color="CCCCCC"/>
            </w:tcBorders>
          </w:tcPr>
          <w:p>
            <w:pPr>
              <w:spacing w:after="0"/>
              <w:rPr>
                <w:sz w:val="5"/>
                <w:szCs w:val="5"/>
                <w:color w:val="auto"/>
              </w:rPr>
            </w:pPr>
          </w:p>
        </w:tc>
        <w:tc>
          <w:tcPr>
            <w:tcW w:w="26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320" w:type="dxa"/>
            <w:vAlign w:val="bottom"/>
            <w:tcBorders>
              <w:top w:val="single" w:sz="8" w:color="0000EE"/>
              <w:bottom w:val="single" w:sz="8" w:color="CCCCCC"/>
            </w:tcBorders>
          </w:tcPr>
          <w:p>
            <w:pPr>
              <w:spacing w:after="0"/>
              <w:rPr>
                <w:sz w:val="5"/>
                <w:szCs w:val="5"/>
                <w:color w:val="auto"/>
              </w:rPr>
            </w:pPr>
          </w:p>
        </w:tc>
        <w:tc>
          <w:tcPr>
            <w:tcW w:w="420" w:type="dxa"/>
            <w:vAlign w:val="bottom"/>
            <w:tcBorders>
              <w:top w:val="single" w:sz="8" w:color="0000EE"/>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r>
      <w:tr>
        <w:trPr>
          <w:trHeight w:val="196"/>
        </w:trPr>
        <w:tc>
          <w:tcPr>
            <w:tcW w:w="600" w:type="dxa"/>
            <w:vAlign w:val="bottom"/>
            <w:gridSpan w:val="3"/>
          </w:tcPr>
          <w:p>
            <w:pPr>
              <w:jc w:val="right"/>
              <w:ind w:right="240"/>
              <w:spacing w:after="0"/>
              <w:rPr>
                <w:sz w:val="20"/>
                <w:szCs w:val="20"/>
                <w:color w:val="auto"/>
              </w:rPr>
            </w:pPr>
            <w:r>
              <w:rPr>
                <w:rFonts w:ascii="Arial" w:cs="Arial" w:eastAsia="Arial" w:hAnsi="Arial"/>
                <w:sz w:val="16"/>
                <w:szCs w:val="16"/>
                <w:i w:val="1"/>
                <w:iCs w:val="1"/>
                <w:color w:val="0000EE"/>
              </w:rPr>
              <w:t>60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6"/>
                <w:szCs w:val="16"/>
                <w:i w:val="1"/>
                <w:iCs w:val="1"/>
                <w:color w:val="0000EE"/>
              </w:rPr>
              <w:t>Clawback Policies</w:t>
            </w:r>
          </w:p>
        </w:tc>
      </w:tr>
      <w:tr>
        <w:trPr>
          <w:trHeight w:val="61"/>
        </w:trPr>
        <w:tc>
          <w:tcPr>
            <w:tcW w:w="160" w:type="dxa"/>
            <w:vAlign w:val="bottom"/>
            <w:tcBorders>
              <w:bottom w:val="single" w:sz="8" w:color="CCCCCC"/>
            </w:tcBorders>
          </w:tcPr>
          <w:p>
            <w:pPr>
              <w:spacing w:after="0"/>
              <w:rPr>
                <w:sz w:val="5"/>
                <w:szCs w:val="5"/>
                <w:color w:val="auto"/>
              </w:rPr>
            </w:pPr>
          </w:p>
        </w:tc>
        <w:tc>
          <w:tcPr>
            <w:tcW w:w="200" w:type="dxa"/>
            <w:vAlign w:val="bottom"/>
            <w:tcBorders>
              <w:top w:val="single" w:sz="8" w:color="0000EE"/>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880" w:type="dxa"/>
            <w:vAlign w:val="bottom"/>
            <w:tcBorders>
              <w:top w:val="single" w:sz="8" w:color="0000EE"/>
              <w:bottom w:val="single" w:sz="8" w:color="CCCCCC"/>
            </w:tcBorders>
          </w:tcPr>
          <w:p>
            <w:pPr>
              <w:spacing w:after="0"/>
              <w:rPr>
                <w:sz w:val="5"/>
                <w:szCs w:val="5"/>
                <w:color w:val="auto"/>
              </w:rPr>
            </w:pPr>
          </w:p>
        </w:tc>
        <w:tc>
          <w:tcPr>
            <w:tcW w:w="260" w:type="dxa"/>
            <w:vAlign w:val="bottom"/>
            <w:tcBorders>
              <w:top w:val="single" w:sz="8" w:color="0000EE"/>
              <w:bottom w:val="single" w:sz="8" w:color="CCCCCC"/>
            </w:tcBorders>
          </w:tcPr>
          <w:p>
            <w:pPr>
              <w:spacing w:after="0"/>
              <w:rPr>
                <w:sz w:val="5"/>
                <w:szCs w:val="5"/>
                <w:color w:val="auto"/>
              </w:rPr>
            </w:pPr>
          </w:p>
        </w:tc>
        <w:tc>
          <w:tcPr>
            <w:tcW w:w="160" w:type="dxa"/>
            <w:vAlign w:val="bottom"/>
            <w:tcBorders>
              <w:top w:val="single" w:sz="8" w:color="0000EE"/>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r>
      <w:tr>
        <w:trPr>
          <w:trHeight w:val="196"/>
        </w:trPr>
        <w:tc>
          <w:tcPr>
            <w:tcW w:w="1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i w:val="1"/>
                <w:iCs w:val="1"/>
                <w:color w:val="0000EE"/>
              </w:rPr>
              <w:t>60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40" w:type="dxa"/>
            <w:vAlign w:val="bottom"/>
            <w:gridSpan w:val="9"/>
          </w:tcPr>
          <w:p>
            <w:pPr>
              <w:spacing w:after="0"/>
              <w:rPr>
                <w:sz w:val="20"/>
                <w:szCs w:val="20"/>
                <w:color w:val="auto"/>
              </w:rPr>
            </w:pPr>
            <w:r>
              <w:rPr>
                <w:rFonts w:ascii="Arial" w:cs="Arial" w:eastAsia="Arial" w:hAnsi="Arial"/>
                <w:sz w:val="16"/>
                <w:szCs w:val="16"/>
                <w:i w:val="1"/>
                <w:iCs w:val="1"/>
                <w:color w:val="0000EE"/>
              </w:rPr>
              <w:t>Prohibition on Hedging and Pledging of</w:t>
            </w:r>
          </w:p>
        </w:tc>
      </w:tr>
      <w:tr>
        <w:trPr>
          <w:trHeight w:val="169"/>
        </w:trPr>
        <w:tc>
          <w:tcPr>
            <w:tcW w:w="160" w:type="dxa"/>
            <w:vAlign w:val="bottom"/>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6"/>
                <w:szCs w:val="16"/>
                <w:i w:val="1"/>
                <w:iCs w:val="1"/>
                <w:color w:val="0000EE"/>
              </w:rPr>
              <w:t>Company Stock</w:t>
            </w:r>
          </w:p>
        </w:tc>
        <w:tc>
          <w:tcPr>
            <w:tcW w:w="340" w:type="dxa"/>
            <w:vAlign w:val="bottom"/>
            <w:gridSpan w:val="2"/>
          </w:tcPr>
          <w:p>
            <w:pPr>
              <w:spacing w:after="0"/>
              <w:rPr>
                <w:sz w:val="14"/>
                <w:szCs w:val="14"/>
                <w:color w:val="auto"/>
              </w:rPr>
            </w:pPr>
          </w:p>
        </w:tc>
      </w:tr>
      <w:tr>
        <w:trPr>
          <w:trHeight w:val="61"/>
        </w:trPr>
        <w:tc>
          <w:tcPr>
            <w:tcW w:w="16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c>
          <w:tcPr>
            <w:tcW w:w="180" w:type="dxa"/>
            <w:vAlign w:val="bottom"/>
            <w:tcBorders>
              <w:bottom w:val="single" w:sz="8" w:color="CCCCCC"/>
            </w:tcBorders>
          </w:tcPr>
          <w:p>
            <w:pPr>
              <w:spacing w:after="0"/>
              <w:rPr>
                <w:sz w:val="5"/>
                <w:szCs w:val="5"/>
                <w:color w:val="auto"/>
              </w:rPr>
            </w:pPr>
          </w:p>
        </w:tc>
        <w:tc>
          <w:tcPr>
            <w:tcW w:w="200" w:type="dxa"/>
            <w:vAlign w:val="bottom"/>
            <w:tcBorders>
              <w:bottom w:val="single" w:sz="8" w:color="CCCCCC"/>
            </w:tcBorders>
          </w:tcPr>
          <w:p>
            <w:pPr>
              <w:spacing w:after="0"/>
              <w:rPr>
                <w:sz w:val="5"/>
                <w:szCs w:val="5"/>
                <w:color w:val="auto"/>
              </w:rPr>
            </w:pPr>
          </w:p>
        </w:tc>
        <w:tc>
          <w:tcPr>
            <w:tcW w:w="880" w:type="dxa"/>
            <w:vAlign w:val="bottom"/>
            <w:tcBorders>
              <w:top w:val="single" w:sz="8" w:color="0000EE"/>
              <w:bottom w:val="single" w:sz="8" w:color="CCCCCC"/>
            </w:tcBorders>
          </w:tcPr>
          <w:p>
            <w:pPr>
              <w:spacing w:after="0"/>
              <w:rPr>
                <w:sz w:val="5"/>
                <w:szCs w:val="5"/>
                <w:color w:val="auto"/>
              </w:rPr>
            </w:pPr>
          </w:p>
        </w:tc>
        <w:tc>
          <w:tcPr>
            <w:tcW w:w="260" w:type="dxa"/>
            <w:vAlign w:val="bottom"/>
            <w:tcBorders>
              <w:top w:val="single" w:sz="8" w:color="0000EE"/>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320" w:type="dxa"/>
            <w:vAlign w:val="bottom"/>
            <w:tcBorders>
              <w:bottom w:val="single" w:sz="8" w:color="CCCCCC"/>
            </w:tcBorders>
          </w:tcPr>
          <w:p>
            <w:pPr>
              <w:spacing w:after="0"/>
              <w:rPr>
                <w:sz w:val="5"/>
                <w:szCs w:val="5"/>
                <w:color w:val="auto"/>
              </w:rPr>
            </w:pPr>
          </w:p>
        </w:tc>
        <w:tc>
          <w:tcPr>
            <w:tcW w:w="420" w:type="dxa"/>
            <w:vAlign w:val="bottom"/>
            <w:tcBorders>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160" w:type="dxa"/>
            <w:vAlign w:val="bottom"/>
            <w:tcBorders>
              <w:bottom w:val="single" w:sz="8" w:color="CCCCCC"/>
            </w:tcBorders>
          </w:tcPr>
          <w:p>
            <w:pPr>
              <w:spacing w:after="0"/>
              <w:rPr>
                <w:sz w:val="5"/>
                <w:szCs w:val="5"/>
                <w:color w:val="auto"/>
              </w:rPr>
            </w:pPr>
          </w:p>
        </w:tc>
        <w:tc>
          <w:tcPr>
            <w:tcW w:w="100" w:type="dxa"/>
            <w:vAlign w:val="bottom"/>
            <w:tcBorders>
              <w:bottom w:val="single" w:sz="8" w:color="CCCCCC"/>
            </w:tcBorders>
          </w:tcPr>
          <w:p>
            <w:pPr>
              <w:spacing w:after="0"/>
              <w:rPr>
                <w:sz w:val="5"/>
                <w:szCs w:val="5"/>
                <w:color w:val="auto"/>
              </w:rPr>
            </w:pPr>
          </w:p>
        </w:tc>
        <w:tc>
          <w:tcPr>
            <w:tcW w:w="240" w:type="dxa"/>
            <w:vAlign w:val="bottom"/>
            <w:tcBorders>
              <w:bottom w:val="single" w:sz="8" w:color="CCCCCC"/>
            </w:tcBorders>
          </w:tcPr>
          <w:p>
            <w:pPr>
              <w:spacing w:after="0"/>
              <w:rPr>
                <w:sz w:val="5"/>
                <w:szCs w:val="5"/>
                <w:color w:val="auto"/>
              </w:rPr>
            </w:pPr>
          </w:p>
        </w:tc>
      </w:tr>
    </w:tbl>
    <w:p>
      <w:pPr>
        <w:spacing w:after="0" w:line="28" w:lineRule="exact"/>
        <w:rPr>
          <w:sz w:val="20"/>
          <w:szCs w:val="20"/>
          <w:color w:val="auto"/>
        </w:rPr>
      </w:pPr>
    </w:p>
    <w:p>
      <w:pPr>
        <w:ind w:left="980" w:right="539" w:hanging="810"/>
        <w:spacing w:after="0" w:line="283" w:lineRule="auto"/>
        <w:tabs>
          <w:tab w:leader="none" w:pos="980" w:val="left"/>
        </w:tabs>
        <w:numPr>
          <w:ilvl w:val="0"/>
          <w:numId w:val="54"/>
        </w:numPr>
        <w:rPr>
          <w:rFonts w:ascii="Arial" w:cs="Arial" w:eastAsia="Arial" w:hAnsi="Arial"/>
          <w:sz w:val="16"/>
          <w:szCs w:val="16"/>
          <w:i w:val="1"/>
          <w:iCs w:val="1"/>
          <w:u w:val="single" w:color="auto"/>
          <w:color w:val="0000EE"/>
        </w:rPr>
      </w:pPr>
      <w:r>
        <w:rPr>
          <w:rFonts w:ascii="Arial" w:cs="Arial" w:eastAsia="Arial" w:hAnsi="Arial"/>
          <w:sz w:val="16"/>
          <w:szCs w:val="16"/>
          <w:i w:val="1"/>
          <w:iCs w:val="1"/>
          <w:u w:val="single" w:color="auto"/>
          <w:color w:val="0000EE"/>
        </w:rPr>
        <w:t>Risk Management and Mitigation of Compensation Policies and Practices</w:t>
      </w:r>
    </w:p>
    <w:p>
      <w:pPr>
        <w:spacing w:after="0" w:line="198" w:lineRule="exact"/>
        <w:rPr>
          <w:rFonts w:ascii="Arial" w:cs="Arial" w:eastAsia="Arial" w:hAnsi="Arial"/>
          <w:sz w:val="16"/>
          <w:szCs w:val="16"/>
          <w:i w:val="1"/>
          <w:iCs w:val="1"/>
          <w:u w:val="single" w:color="auto"/>
          <w:color w:val="0000EE"/>
        </w:rPr>
      </w:pPr>
    </w:p>
    <w:p>
      <w:pPr>
        <w:ind w:left="600" w:right="499" w:hanging="430"/>
        <w:spacing w:after="0" w:line="296" w:lineRule="auto"/>
        <w:tabs>
          <w:tab w:leader="none" w:pos="600" w:val="left"/>
        </w:tabs>
        <w:numPr>
          <w:ilvl w:val="0"/>
          <w:numId w:val="54"/>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COMPENSATION AND HUMAN CAPITAL COMMITTEE REPORT</w:t>
      </w:r>
    </w:p>
    <w:p>
      <w:pPr>
        <w:spacing w:after="0" w:line="180" w:lineRule="exact"/>
        <w:rPr>
          <w:rFonts w:ascii="Arial" w:cs="Arial" w:eastAsia="Arial" w:hAnsi="Arial"/>
          <w:sz w:val="16"/>
          <w:szCs w:val="16"/>
          <w:b w:val="1"/>
          <w:bCs w:val="1"/>
          <w:u w:val="single" w:color="auto"/>
          <w:color w:val="0000EE"/>
        </w:rPr>
      </w:pPr>
    </w:p>
    <w:p>
      <w:pPr>
        <w:ind w:left="600" w:hanging="430"/>
        <w:spacing w:after="0"/>
        <w:tabs>
          <w:tab w:leader="none" w:pos="600" w:val="left"/>
        </w:tabs>
        <w:numPr>
          <w:ilvl w:val="0"/>
          <w:numId w:val="54"/>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-638810</wp:posOffset>
            </wp:positionV>
            <wp:extent cx="260604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26060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26060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u w:val="single" w:color="auto"/>
          <w:color w:val="0000EE"/>
        </w:rPr>
        <w:t>63</w:t>
        <w:tab/>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0604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u w:val="single" w:color="auto"/>
          <w:color w:val="0000EE"/>
        </w:rPr>
        <w:t>65</w:t>
        <w:tab/>
        <w:t>Grants of Plan-Based Awards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260604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93" w:lineRule="exact"/>
        <w:rPr>
          <w:sz w:val="20"/>
          <w:szCs w:val="20"/>
          <w:color w:val="auto"/>
        </w:rPr>
      </w:pPr>
    </w:p>
    <w:p>
      <w:pPr>
        <w:ind w:left="600" w:right="479" w:hanging="430"/>
        <w:spacing w:after="0" w:line="286" w:lineRule="auto"/>
        <w:tabs>
          <w:tab w:leader="none" w:pos="600" w:val="left"/>
        </w:tabs>
        <w:numPr>
          <w:ilvl w:val="0"/>
          <w:numId w:val="55"/>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Outstanding Equity Awards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60604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8" w:lineRule="exact"/>
        <w:rPr>
          <w:sz w:val="20"/>
          <w:szCs w:val="20"/>
          <w:color w:val="auto"/>
        </w:rPr>
      </w:pPr>
    </w:p>
    <w:p>
      <w:pPr>
        <w:ind w:left="600" w:right="419" w:hanging="430"/>
        <w:spacing w:after="0" w:line="286" w:lineRule="auto"/>
        <w:tabs>
          <w:tab w:leader="none" w:pos="600" w:val="left"/>
        </w:tabs>
        <w:numPr>
          <w:ilvl w:val="0"/>
          <w:numId w:val="56"/>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Option Exercises and Stock Vested in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60604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8" w:lineRule="exact"/>
        <w:rPr>
          <w:sz w:val="20"/>
          <w:szCs w:val="20"/>
          <w:color w:val="auto"/>
        </w:rPr>
      </w:pPr>
    </w:p>
    <w:p>
      <w:pPr>
        <w:ind w:left="600" w:hanging="430"/>
        <w:spacing w:after="0"/>
        <w:tabs>
          <w:tab w:leader="none" w:pos="600" w:val="left"/>
        </w:tabs>
        <w:numPr>
          <w:ilvl w:val="0"/>
          <w:numId w:val="5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Pension Benefits in Fiscal 2026</w:t>
      </w:r>
    </w:p>
    <w:p>
      <w:pPr>
        <w:spacing w:after="0" w:line="113" w:lineRule="exact"/>
        <w:rPr>
          <w:rFonts w:ascii="Arial" w:cs="Arial" w:eastAsia="Arial" w:hAnsi="Arial"/>
          <w:sz w:val="16"/>
          <w:szCs w:val="16"/>
          <w:u w:val="single" w:color="auto"/>
          <w:color w:val="0000EE"/>
        </w:rPr>
      </w:pPr>
    </w:p>
    <w:p>
      <w:pPr>
        <w:ind w:left="600" w:right="599" w:hanging="430"/>
        <w:spacing w:after="0" w:line="286" w:lineRule="auto"/>
        <w:tabs>
          <w:tab w:leader="none" w:pos="600" w:val="left"/>
        </w:tabs>
        <w:numPr>
          <w:ilvl w:val="0"/>
          <w:numId w:val="5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Non-Qualified Deferred Compensation for Fiscal 2026</w:t>
      </w:r>
    </w:p>
    <w:p>
      <w:pPr>
        <w:spacing w:after="0" w:line="47" w:lineRule="exact"/>
        <w:rPr>
          <w:rFonts w:ascii="Arial" w:cs="Arial" w:eastAsia="Arial" w:hAnsi="Arial"/>
          <w:sz w:val="16"/>
          <w:szCs w:val="16"/>
          <w:u w:val="single" w:color="auto"/>
          <w:color w:val="0000EE"/>
        </w:rPr>
      </w:pPr>
    </w:p>
    <w:p>
      <w:pPr>
        <w:ind w:left="600" w:right="719" w:hanging="430"/>
        <w:spacing w:after="0" w:line="286" w:lineRule="auto"/>
        <w:tabs>
          <w:tab w:leader="none" w:pos="600" w:val="left"/>
        </w:tabs>
        <w:numPr>
          <w:ilvl w:val="0"/>
          <w:numId w:val="57"/>
        </w:numPr>
        <w:rPr>
          <w:rFonts w:ascii="Arial" w:cs="Arial" w:eastAsia="Arial" w:hAnsi="Arial"/>
          <w:sz w:val="16"/>
          <w:szCs w:val="16"/>
          <w:u w:val="single" w:color="auto"/>
          <w:color w:val="0000EE"/>
        </w:rPr>
      </w:pPr>
      <w:r>
        <w:rPr>
          <w:rFonts w:ascii="Arial" w:cs="Arial" w:eastAsia="Arial" w:hAnsi="Arial"/>
          <w:sz w:val="16"/>
          <w:szCs w:val="16"/>
          <w:u w:val="single" w:color="auto"/>
          <w:color w:val="0000EE"/>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-611505</wp:posOffset>
            </wp:positionV>
            <wp:extent cx="260604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6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-302895</wp:posOffset>
            </wp:positionV>
            <wp:extent cx="260604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260604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76" w:lineRule="exact"/>
        <w:rPr>
          <w:sz w:val="20"/>
          <w:szCs w:val="20"/>
          <w:color w:val="auto"/>
        </w:rPr>
      </w:pPr>
    </w:p>
    <w:p>
      <w:pPr>
        <w:ind w:left="600" w:hanging="430"/>
        <w:spacing w:after="0"/>
        <w:tabs>
          <w:tab w:leader="none" w:pos="600" w:val="left"/>
        </w:tabs>
        <w:numPr>
          <w:ilvl w:val="0"/>
          <w:numId w:val="58"/>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CEO PAY RATIO</w:t>
      </w:r>
    </w:p>
    <w:p>
      <w:pPr>
        <w:spacing w:after="0" w:line="261" w:lineRule="exact"/>
        <w:rPr>
          <w:rFonts w:ascii="Arial" w:cs="Arial" w:eastAsia="Arial" w:hAnsi="Arial"/>
          <w:sz w:val="16"/>
          <w:szCs w:val="16"/>
          <w:b w:val="1"/>
          <w:bCs w:val="1"/>
          <w:u w:val="single" w:color="auto"/>
          <w:color w:val="0000EE"/>
        </w:rPr>
      </w:pPr>
    </w:p>
    <w:p>
      <w:pPr>
        <w:ind w:left="600" w:hanging="430"/>
        <w:spacing w:after="0"/>
        <w:tabs>
          <w:tab w:leader="none" w:pos="600" w:val="left"/>
        </w:tabs>
        <w:numPr>
          <w:ilvl w:val="0"/>
          <w:numId w:val="58"/>
        </w:numPr>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26060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060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260604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4180" w:space="640"/>
            <w:col w:w="4199"/>
          </w:cols>
          <w:pgMar w:left="1440" w:top="114" w:right="1440" w:bottom="1440" w:gutter="0" w:footer="0" w:header="0"/>
          <w:type w:val="continuous"/>
        </w:sectPr>
      </w:pPr>
    </w:p>
    <w:tbl>
      <w:tblPr>
        <w:tblLayout w:type="fixed"/>
        <w:tblInd w:w="80" w:type="dxa"/>
        <w:tblCellMar>
          <w:top w:w="0" w:type="dxa"/>
          <w:left w:w="0" w:type="dxa"/>
          <w:bottom w:w="0" w:type="dxa"/>
          <w:right w:w="0" w:type="dxa"/>
        </w:tblCellMar>
      </w:tblPr>
      <w:tr>
        <w:trPr>
          <w:trHeight w:val="175"/>
        </w:trPr>
        <w:tc>
          <w:tcPr>
            <w:tcW w:w="960" w:type="dxa"/>
            <w:vAlign w:val="bottom"/>
            <w:tcBorders>
              <w:top w:val="single" w:sz="8" w:color="CCCCCC"/>
              <w:bottom w:val="single" w:sz="8" w:color="CCCCCC"/>
            </w:tcBorders>
            <w:gridSpan w:val="3"/>
            <w:vMerge w:val="restart"/>
          </w:tcPr>
          <w:p>
            <w:pPr>
              <w:jc w:val="right"/>
              <w:ind w:right="620"/>
              <w:spacing w:after="0"/>
              <w:rPr>
                <w:sz w:val="20"/>
                <w:szCs w:val="20"/>
                <w:color w:val="auto"/>
              </w:rPr>
            </w:pPr>
            <w:r>
              <w:rPr>
                <w:rFonts w:ascii="Arial" w:cs="Arial" w:eastAsia="Arial" w:hAnsi="Arial"/>
                <w:sz w:val="16"/>
                <w:szCs w:val="16"/>
                <w:i w:val="1"/>
                <w:iCs w:val="1"/>
                <w:color w:val="0000EE"/>
              </w:rPr>
              <w:t>56</w:t>
            </w:r>
          </w:p>
        </w:tc>
        <w:tc>
          <w:tcPr>
            <w:tcW w:w="3140" w:type="dxa"/>
            <w:vAlign w:val="bottom"/>
            <w:tcBorders>
              <w:top w:val="single" w:sz="8" w:color="CCCCCC"/>
              <w:bottom w:val="single" w:sz="8" w:color="CCCCCC"/>
            </w:tcBorders>
            <w:gridSpan w:val="3"/>
            <w:vMerge w:val="restart"/>
          </w:tcPr>
          <w:p>
            <w:pPr>
              <w:spacing w:after="0"/>
              <w:rPr>
                <w:sz w:val="20"/>
                <w:szCs w:val="20"/>
                <w:color w:val="auto"/>
              </w:rPr>
            </w:pPr>
            <w:r>
              <w:rPr>
                <w:rFonts w:ascii="Arial" w:cs="Arial" w:eastAsia="Arial" w:hAnsi="Arial"/>
                <w:sz w:val="16"/>
                <w:szCs w:val="16"/>
                <w:i w:val="1"/>
                <w:iCs w:val="1"/>
                <w:color w:val="0000EE"/>
              </w:rPr>
              <w:t>Executive Long-Term Cash Awards</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0000EE"/>
            </w:tcBorders>
          </w:tcPr>
          <w:p>
            <w:pPr>
              <w:jc w:val="right"/>
              <w:spacing w:after="0" w:line="155" w:lineRule="exact"/>
              <w:rPr>
                <w:sz w:val="20"/>
                <w:szCs w:val="20"/>
                <w:color w:val="auto"/>
              </w:rPr>
            </w:pPr>
            <w:r>
              <w:rPr>
                <w:rFonts w:ascii="Arial" w:cs="Arial" w:eastAsia="Arial" w:hAnsi="Arial"/>
                <w:sz w:val="16"/>
                <w:szCs w:val="16"/>
                <w:b w:val="1"/>
                <w:bCs w:val="1"/>
                <w:color w:val="0000EE"/>
              </w:rPr>
              <w:t>83</w:t>
            </w:r>
          </w:p>
        </w:tc>
        <w:tc>
          <w:tcPr>
            <w:tcW w:w="240" w:type="dxa"/>
            <w:vAlign w:val="bottom"/>
            <w:vMerge w:val="restart"/>
          </w:tcPr>
          <w:p>
            <w:pPr>
              <w:spacing w:after="0"/>
              <w:rPr>
                <w:sz w:val="15"/>
                <w:szCs w:val="15"/>
                <w:color w:val="auto"/>
              </w:rPr>
            </w:pPr>
          </w:p>
        </w:tc>
        <w:tc>
          <w:tcPr>
            <w:tcW w:w="2440" w:type="dxa"/>
            <w:vAlign w:val="bottom"/>
            <w:tcBorders>
              <w:bottom w:val="single" w:sz="8" w:color="0000EE"/>
            </w:tcBorders>
            <w:gridSpan w:val="2"/>
          </w:tcPr>
          <w:p>
            <w:pPr>
              <w:spacing w:after="0" w:line="155" w:lineRule="exact"/>
              <w:rPr>
                <w:sz w:val="20"/>
                <w:szCs w:val="20"/>
                <w:color w:val="auto"/>
              </w:rPr>
            </w:pPr>
            <w:r>
              <w:rPr>
                <w:rFonts w:ascii="Arial" w:cs="Arial" w:eastAsia="Arial" w:hAnsi="Arial"/>
                <w:sz w:val="16"/>
                <w:szCs w:val="16"/>
                <w:b w:val="1"/>
                <w:bCs w:val="1"/>
                <w:color w:val="0000EE"/>
                <w:w w:val="99"/>
              </w:rPr>
              <w:t>EQUITY COMPENSATION PLAN</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gridSpan w:val="3"/>
            <w:vMerge w:val="continue"/>
          </w:tcPr>
          <w:p>
            <w:pPr>
              <w:spacing w:after="0" w:line="20" w:lineRule="exact"/>
              <w:rPr>
                <w:sz w:val="1"/>
                <w:szCs w:val="1"/>
                <w:color w:val="auto"/>
              </w:rPr>
            </w:pPr>
          </w:p>
        </w:tc>
        <w:tc>
          <w:tcPr>
            <w:tcW w:w="314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3520" w:type="dxa"/>
            <w:vAlign w:val="bottom"/>
            <w:gridSpan w:val="3"/>
            <w:vMerge w:val="restart"/>
          </w:tcPr>
          <w:p>
            <w:pPr>
              <w:spacing w:after="0" w:line="169" w:lineRule="exact"/>
              <w:rPr>
                <w:sz w:val="20"/>
                <w:szCs w:val="20"/>
                <w:color w:val="auto"/>
              </w:rPr>
            </w:pPr>
            <w:r>
              <w:rPr>
                <w:rFonts w:ascii="Arial" w:cs="Arial" w:eastAsia="Arial" w:hAnsi="Arial"/>
                <w:sz w:val="16"/>
                <w:szCs w:val="16"/>
                <w:b w:val="1"/>
                <w:bCs w:val="1"/>
                <w:color w:val="0000EE"/>
              </w:rPr>
              <w:t>INFORMATION</w:t>
            </w:r>
          </w:p>
        </w:tc>
        <w:tc>
          <w:tcPr>
            <w:tcW w:w="0" w:type="dxa"/>
            <w:vAlign w:val="bottom"/>
          </w:tcPr>
          <w:p>
            <w:pPr>
              <w:spacing w:after="0"/>
              <w:rPr>
                <w:sz w:val="1"/>
                <w:szCs w:val="1"/>
                <w:color w:val="auto"/>
              </w:rPr>
            </w:pPr>
          </w:p>
        </w:tc>
      </w:tr>
      <w:tr>
        <w:trPr>
          <w:trHeight w:val="61"/>
        </w:trPr>
        <w:tc>
          <w:tcPr>
            <w:tcW w:w="160" w:type="dxa"/>
            <w:vAlign w:val="bottom"/>
            <w:tcBorders>
              <w:bottom w:val="single" w:sz="8" w:color="CCCCCC"/>
            </w:tcBorders>
          </w:tcPr>
          <w:p>
            <w:pPr>
              <w:spacing w:after="0"/>
              <w:rPr>
                <w:sz w:val="5"/>
                <w:szCs w:val="5"/>
                <w:color w:val="auto"/>
              </w:rPr>
            </w:pPr>
          </w:p>
        </w:tc>
        <w:tc>
          <w:tcPr>
            <w:tcW w:w="180" w:type="dxa"/>
            <w:vAlign w:val="bottom"/>
            <w:tcBorders>
              <w:top w:val="single" w:sz="8" w:color="0000EE"/>
              <w:bottom w:val="single" w:sz="8" w:color="CCCCCC"/>
            </w:tcBorders>
          </w:tcPr>
          <w:p>
            <w:pPr>
              <w:spacing w:after="0"/>
              <w:rPr>
                <w:sz w:val="5"/>
                <w:szCs w:val="5"/>
                <w:color w:val="auto"/>
              </w:rPr>
            </w:pPr>
          </w:p>
        </w:tc>
        <w:tc>
          <w:tcPr>
            <w:tcW w:w="620" w:type="dxa"/>
            <w:vAlign w:val="bottom"/>
            <w:tcBorders>
              <w:bottom w:val="single" w:sz="8" w:color="CCCCCC"/>
            </w:tcBorders>
          </w:tcPr>
          <w:p>
            <w:pPr>
              <w:spacing w:after="0"/>
              <w:rPr>
                <w:sz w:val="5"/>
                <w:szCs w:val="5"/>
                <w:color w:val="auto"/>
              </w:rPr>
            </w:pPr>
          </w:p>
        </w:tc>
        <w:tc>
          <w:tcPr>
            <w:tcW w:w="1500" w:type="dxa"/>
            <w:vAlign w:val="bottom"/>
            <w:tcBorders>
              <w:top w:val="single" w:sz="8" w:color="0000EE"/>
              <w:bottom w:val="single" w:sz="8" w:color="CCCCCC"/>
            </w:tcBorders>
          </w:tcPr>
          <w:p>
            <w:pPr>
              <w:spacing w:after="0"/>
              <w:rPr>
                <w:sz w:val="5"/>
                <w:szCs w:val="5"/>
                <w:color w:val="auto"/>
              </w:rPr>
            </w:pPr>
          </w:p>
        </w:tc>
        <w:tc>
          <w:tcPr>
            <w:tcW w:w="1040" w:type="dxa"/>
            <w:vAlign w:val="bottom"/>
            <w:tcBorders>
              <w:top w:val="single" w:sz="8" w:color="0000EE"/>
              <w:bottom w:val="single" w:sz="8" w:color="CCCCCC"/>
            </w:tcBorders>
          </w:tcPr>
          <w:p>
            <w:pPr>
              <w:spacing w:after="0"/>
              <w:rPr>
                <w:sz w:val="5"/>
                <w:szCs w:val="5"/>
                <w:color w:val="auto"/>
              </w:rPr>
            </w:pPr>
          </w:p>
        </w:tc>
        <w:tc>
          <w:tcPr>
            <w:tcW w:w="600" w:type="dxa"/>
            <w:vAlign w:val="bottom"/>
            <w:tcBorders>
              <w:bottom w:val="single" w:sz="8" w:color="CCCCCC"/>
            </w:tcBorders>
          </w:tcPr>
          <w:p>
            <w:pPr>
              <w:spacing w:after="0"/>
              <w:rPr>
                <w:sz w:val="5"/>
                <w:szCs w:val="5"/>
                <w:color w:val="auto"/>
              </w:rPr>
            </w:pPr>
          </w:p>
        </w:tc>
        <w:tc>
          <w:tcPr>
            <w:tcW w:w="640" w:type="dxa"/>
            <w:vAlign w:val="bottom"/>
            <w:vMerge w:val="restart"/>
          </w:tcPr>
          <w:p>
            <w:pPr>
              <w:spacing w:after="0"/>
              <w:rPr>
                <w:sz w:val="5"/>
                <w:szCs w:val="5"/>
                <w:color w:val="auto"/>
              </w:rPr>
            </w:pPr>
          </w:p>
        </w:tc>
        <w:tc>
          <w:tcPr>
            <w:tcW w:w="160" w:type="dxa"/>
            <w:vAlign w:val="bottom"/>
            <w:vMerge w:val="restart"/>
          </w:tcPr>
          <w:p>
            <w:pPr>
              <w:spacing w:after="0"/>
              <w:rPr>
                <w:sz w:val="5"/>
                <w:szCs w:val="5"/>
                <w:color w:val="auto"/>
              </w:rPr>
            </w:pPr>
          </w:p>
        </w:tc>
        <w:tc>
          <w:tcPr>
            <w:tcW w:w="20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3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960" w:type="dxa"/>
            <w:vAlign w:val="bottom"/>
            <w:gridSpan w:val="3"/>
            <w:vMerge w:val="restart"/>
          </w:tcPr>
          <w:p>
            <w:pPr>
              <w:jc w:val="right"/>
              <w:ind w:right="620"/>
              <w:spacing w:after="0"/>
              <w:rPr>
                <w:sz w:val="20"/>
                <w:szCs w:val="20"/>
                <w:color w:val="auto"/>
              </w:rPr>
            </w:pPr>
            <w:r>
              <w:rPr>
                <w:rFonts w:ascii="Arial" w:cs="Arial" w:eastAsia="Arial" w:hAnsi="Arial"/>
                <w:sz w:val="16"/>
                <w:szCs w:val="16"/>
                <w:i w:val="1"/>
                <w:iCs w:val="1"/>
                <w:color w:val="0000EE"/>
              </w:rPr>
              <w:t>57</w:t>
            </w:r>
          </w:p>
        </w:tc>
        <w:tc>
          <w:tcPr>
            <w:tcW w:w="3140" w:type="dxa"/>
            <w:vAlign w:val="bottom"/>
            <w:gridSpan w:val="3"/>
            <w:vMerge w:val="restart"/>
          </w:tcPr>
          <w:p>
            <w:pPr>
              <w:spacing w:after="0"/>
              <w:rPr>
                <w:sz w:val="20"/>
                <w:szCs w:val="20"/>
                <w:color w:val="auto"/>
              </w:rPr>
            </w:pPr>
            <w:r>
              <w:rPr>
                <w:rFonts w:ascii="Arial" w:cs="Arial" w:eastAsia="Arial" w:hAnsi="Arial"/>
                <w:sz w:val="16"/>
                <w:szCs w:val="16"/>
                <w:i w:val="1"/>
                <w:iCs w:val="1"/>
                <w:color w:val="0000EE"/>
              </w:rPr>
              <w:t>Other Compensation</w:t>
            </w:r>
          </w:p>
        </w:tc>
        <w:tc>
          <w:tcPr>
            <w:tcW w:w="64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3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960" w:type="dxa"/>
            <w:vAlign w:val="bottom"/>
            <w:gridSpan w:val="3"/>
            <w:vMerge w:val="continue"/>
          </w:tcPr>
          <w:p>
            <w:pPr>
              <w:spacing w:after="0"/>
              <w:rPr>
                <w:sz w:val="4"/>
                <w:szCs w:val="4"/>
                <w:color w:val="auto"/>
              </w:rPr>
            </w:pPr>
          </w:p>
        </w:tc>
        <w:tc>
          <w:tcPr>
            <w:tcW w:w="314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Borders>
              <w:bottom w:val="single" w:sz="8" w:color="F0533D"/>
            </w:tcBorders>
          </w:tcPr>
          <w:p>
            <w:pPr>
              <w:spacing w:after="0"/>
              <w:rPr>
                <w:sz w:val="4"/>
                <w:szCs w:val="4"/>
                <w:color w:val="auto"/>
              </w:rPr>
            </w:pPr>
          </w:p>
        </w:tc>
        <w:tc>
          <w:tcPr>
            <w:tcW w:w="200" w:type="dxa"/>
            <w:vAlign w:val="bottom"/>
            <w:tcBorders>
              <w:bottom w:val="single" w:sz="8" w:color="F0533D"/>
            </w:tcBorders>
          </w:tcPr>
          <w:p>
            <w:pPr>
              <w:spacing w:after="0"/>
              <w:rPr>
                <w:sz w:val="4"/>
                <w:szCs w:val="4"/>
                <w:color w:val="auto"/>
              </w:rPr>
            </w:pPr>
          </w:p>
        </w:tc>
        <w:tc>
          <w:tcPr>
            <w:tcW w:w="240" w:type="dxa"/>
            <w:vAlign w:val="bottom"/>
            <w:tcBorders>
              <w:bottom w:val="single" w:sz="8" w:color="F0533D"/>
            </w:tcBorders>
          </w:tcPr>
          <w:p>
            <w:pPr>
              <w:spacing w:after="0"/>
              <w:rPr>
                <w:sz w:val="4"/>
                <w:szCs w:val="4"/>
                <w:color w:val="auto"/>
              </w:rPr>
            </w:pPr>
          </w:p>
        </w:tc>
        <w:tc>
          <w:tcPr>
            <w:tcW w:w="1140" w:type="dxa"/>
            <w:vAlign w:val="bottom"/>
            <w:tcBorders>
              <w:top w:val="single" w:sz="8" w:color="0000EE"/>
              <w:bottom w:val="single" w:sz="8" w:color="F0533D"/>
            </w:tcBorders>
          </w:tcPr>
          <w:p>
            <w:pPr>
              <w:spacing w:after="0"/>
              <w:rPr>
                <w:sz w:val="4"/>
                <w:szCs w:val="4"/>
                <w:color w:val="auto"/>
              </w:rPr>
            </w:pPr>
          </w:p>
        </w:tc>
        <w:tc>
          <w:tcPr>
            <w:tcW w:w="1300" w:type="dxa"/>
            <w:vAlign w:val="bottom"/>
            <w:tcBorders>
              <w:bottom w:val="single" w:sz="8" w:color="F0533D"/>
            </w:tcBorders>
          </w:tcPr>
          <w:p>
            <w:pPr>
              <w:spacing w:after="0"/>
              <w:rPr>
                <w:sz w:val="4"/>
                <w:szCs w:val="4"/>
                <w:color w:val="auto"/>
              </w:rPr>
            </w:pPr>
          </w:p>
        </w:tc>
        <w:tc>
          <w:tcPr>
            <w:tcW w:w="1080" w:type="dxa"/>
            <w:vAlign w:val="bottom"/>
            <w:tcBorders>
              <w:bottom w:val="single" w:sz="8" w:color="F0533D"/>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960" w:type="dxa"/>
            <w:vAlign w:val="bottom"/>
            <w:gridSpan w:val="3"/>
            <w:vMerge w:val="continue"/>
          </w:tcPr>
          <w:p>
            <w:pPr>
              <w:spacing w:after="0"/>
              <w:rPr>
                <w:sz w:val="5"/>
                <w:szCs w:val="5"/>
                <w:color w:val="auto"/>
              </w:rPr>
            </w:pPr>
          </w:p>
        </w:tc>
        <w:tc>
          <w:tcPr>
            <w:tcW w:w="3140" w:type="dxa"/>
            <w:vAlign w:val="bottom"/>
            <w:gridSpan w:val="3"/>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60" w:type="dxa"/>
            <w:vAlign w:val="bottom"/>
            <w:tcBorders>
              <w:bottom w:val="single" w:sz="8" w:color="CCCCCC"/>
            </w:tcBorders>
          </w:tcPr>
          <w:p>
            <w:pPr>
              <w:spacing w:after="0"/>
              <w:rPr>
                <w:sz w:val="4"/>
                <w:szCs w:val="4"/>
                <w:color w:val="auto"/>
              </w:rPr>
            </w:pPr>
          </w:p>
        </w:tc>
        <w:tc>
          <w:tcPr>
            <w:tcW w:w="180" w:type="dxa"/>
            <w:vAlign w:val="bottom"/>
            <w:tcBorders>
              <w:top w:val="single" w:sz="8" w:color="0000EE"/>
              <w:bottom w:val="single" w:sz="8" w:color="CCCCCC"/>
            </w:tcBorders>
          </w:tcPr>
          <w:p>
            <w:pPr>
              <w:spacing w:after="0"/>
              <w:rPr>
                <w:sz w:val="4"/>
                <w:szCs w:val="4"/>
                <w:color w:val="auto"/>
              </w:rPr>
            </w:pPr>
          </w:p>
        </w:tc>
        <w:tc>
          <w:tcPr>
            <w:tcW w:w="620" w:type="dxa"/>
            <w:vAlign w:val="bottom"/>
            <w:tcBorders>
              <w:bottom w:val="single" w:sz="8" w:color="CCCCCC"/>
            </w:tcBorders>
          </w:tcPr>
          <w:p>
            <w:pPr>
              <w:spacing w:after="0"/>
              <w:rPr>
                <w:sz w:val="4"/>
                <w:szCs w:val="4"/>
                <w:color w:val="auto"/>
              </w:rPr>
            </w:pPr>
          </w:p>
        </w:tc>
        <w:tc>
          <w:tcPr>
            <w:tcW w:w="1500" w:type="dxa"/>
            <w:vAlign w:val="bottom"/>
            <w:tcBorders>
              <w:top w:val="single" w:sz="8" w:color="0000EE"/>
              <w:bottom w:val="single" w:sz="8" w:color="CCCCCC"/>
            </w:tcBorders>
          </w:tcPr>
          <w:p>
            <w:pPr>
              <w:spacing w:after="0"/>
              <w:rPr>
                <w:sz w:val="4"/>
                <w:szCs w:val="4"/>
                <w:color w:val="auto"/>
              </w:rPr>
            </w:pPr>
          </w:p>
        </w:tc>
        <w:tc>
          <w:tcPr>
            <w:tcW w:w="1040" w:type="dxa"/>
            <w:vAlign w:val="bottom"/>
            <w:tcBorders>
              <w:bottom w:val="single" w:sz="8" w:color="CCCCCC"/>
            </w:tcBorders>
          </w:tcPr>
          <w:p>
            <w:pPr>
              <w:spacing w:after="0"/>
              <w:rPr>
                <w:sz w:val="4"/>
                <w:szCs w:val="4"/>
                <w:color w:val="auto"/>
              </w:rPr>
            </w:pPr>
          </w:p>
        </w:tc>
        <w:tc>
          <w:tcPr>
            <w:tcW w:w="600" w:type="dxa"/>
            <w:vAlign w:val="bottom"/>
            <w:tcBorders>
              <w:bottom w:val="single" w:sz="8" w:color="CCCCCC"/>
            </w:tcBorders>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1" w:name="page42"/>
    <w:bookmarkEnd w:id="4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F0533D"/>
        </w:rPr>
        <w:t>Proposal 2 — Advisory Vote to Approve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Executive Compensation</w:t>
      </w:r>
    </w:p>
    <w:p>
      <w:pPr>
        <w:spacing w:after="0" w:line="141" w:lineRule="exact"/>
        <w:rPr>
          <w:sz w:val="20"/>
          <w:szCs w:val="20"/>
          <w:color w:val="auto"/>
        </w:rPr>
      </w:pPr>
    </w:p>
    <w:p>
      <w:pPr>
        <w:ind w:left="80" w:right="99"/>
        <w:spacing w:after="0"/>
        <w:rPr>
          <w:sz w:val="20"/>
          <w:szCs w:val="20"/>
          <w:color w:val="auto"/>
        </w:rPr>
      </w:pPr>
      <w:r>
        <w:rPr>
          <w:rFonts w:ascii="Arial" w:cs="Arial" w:eastAsia="Arial" w:hAnsi="Arial"/>
          <w:sz w:val="17"/>
          <w:szCs w:val="17"/>
          <w:color w:val="auto"/>
        </w:rPr>
        <w:t xml:space="preserve">Pursuant to Section 14A of the Exchange Act, Kyndryl asks that stockholders cast an advisory vote, on a non-binding basis, to approve the compensation of our named executive officers as disclosed in this “2026 Executive Compensation” section beginning on page </w:t>
      </w:r>
      <w:r>
        <w:rPr>
          <w:rFonts w:ascii="Arial" w:cs="Arial" w:eastAsia="Arial" w:hAnsi="Arial"/>
          <w:sz w:val="17"/>
          <w:szCs w:val="17"/>
          <w:u w:val="single" w:color="auto"/>
          <w:color w:val="0000EE"/>
        </w:rPr>
        <w:t>36</w:t>
      </w:r>
      <w:r>
        <w:rPr>
          <w:rFonts w:ascii="Arial" w:cs="Arial" w:eastAsia="Arial" w:hAnsi="Arial"/>
          <w:sz w:val="17"/>
          <w:szCs w:val="17"/>
          <w:color w:val="auto"/>
        </w:rPr>
        <w:t xml:space="preserve"> of this Proxy Statement. While this vote is non-binding on the Company and the Board, Kyndryl values the opinions of our stockholders and, consistent with our record of engagement, will consider the outcome of the vote when making future compensation decisions for our named executive officers.</w:t>
      </w:r>
    </w:p>
    <w:p>
      <w:pPr>
        <w:spacing w:after="0" w:line="319" w:lineRule="exact"/>
        <w:rPr>
          <w:sz w:val="20"/>
          <w:szCs w:val="20"/>
          <w:color w:val="auto"/>
        </w:rPr>
      </w:pPr>
    </w:p>
    <w:p>
      <w:pPr>
        <w:ind w:left="80" w:right="139"/>
        <w:spacing w:after="0" w:line="236" w:lineRule="auto"/>
        <w:rPr>
          <w:sz w:val="20"/>
          <w:szCs w:val="20"/>
          <w:color w:val="auto"/>
        </w:rPr>
      </w:pPr>
      <w:r>
        <w:rPr>
          <w:rFonts w:ascii="Arial" w:cs="Arial" w:eastAsia="Arial" w:hAnsi="Arial"/>
          <w:sz w:val="17"/>
          <w:szCs w:val="17"/>
          <w:color w:val="auto"/>
        </w:rPr>
        <w:t xml:space="preserve">In deciding how to vote on this proposal, the Board encourages you to read the Compensation Discussion and Analysis, beginning on page </w:t>
      </w:r>
      <w:r>
        <w:rPr>
          <w:rFonts w:ascii="Arial" w:cs="Arial" w:eastAsia="Arial" w:hAnsi="Arial"/>
          <w:sz w:val="17"/>
          <w:szCs w:val="17"/>
          <w:u w:val="single" w:color="auto"/>
          <w:color w:val="0000EE"/>
        </w:rPr>
        <w:t>38</w:t>
      </w:r>
      <w:r>
        <w:rPr>
          <w:rFonts w:ascii="Arial" w:cs="Arial" w:eastAsia="Arial" w:hAnsi="Arial"/>
          <w:sz w:val="17"/>
          <w:szCs w:val="17"/>
          <w:color w:val="auto"/>
        </w:rPr>
        <w:t xml:space="preserve"> of this Proxy Statement. Our executive compensation programs are designed to be consistent with our compensation philosophy to </w:t>
      </w:r>
      <w:r>
        <w:rPr>
          <w:rFonts w:ascii="Arial" w:cs="Arial" w:eastAsia="Arial" w:hAnsi="Arial"/>
          <w:sz w:val="17"/>
          <w:szCs w:val="17"/>
          <w:b w:val="1"/>
          <w:bCs w:val="1"/>
          <w:color w:val="auto"/>
        </w:rPr>
        <w:t>pay for performance</w:t>
      </w:r>
      <w:r>
        <w:rPr>
          <w:rFonts w:ascii="Arial" w:cs="Arial" w:eastAsia="Arial" w:hAnsi="Arial"/>
          <w:sz w:val="17"/>
          <w:szCs w:val="17"/>
          <w:color w:val="auto"/>
        </w:rPr>
        <w:t xml:space="preserve">, </w:t>
      </w:r>
      <w:r>
        <w:rPr>
          <w:rFonts w:ascii="Arial" w:cs="Arial" w:eastAsia="Arial" w:hAnsi="Arial"/>
          <w:sz w:val="17"/>
          <w:szCs w:val="17"/>
          <w:b w:val="1"/>
          <w:bCs w:val="1"/>
          <w:color w:val="auto"/>
        </w:rPr>
        <w:t>align with stockholders</w:t>
      </w:r>
      <w:r>
        <w:rPr>
          <w:rFonts w:ascii="Arial" w:cs="Arial" w:eastAsia="Arial" w:hAnsi="Arial"/>
          <w:sz w:val="17"/>
          <w:szCs w:val="17"/>
          <w:color w:val="auto"/>
        </w:rPr>
        <w:t xml:space="preserve"> and </w:t>
      </w:r>
      <w:r>
        <w:rPr>
          <w:rFonts w:ascii="Arial" w:cs="Arial" w:eastAsia="Arial" w:hAnsi="Arial"/>
          <w:sz w:val="17"/>
          <w:szCs w:val="17"/>
          <w:b w:val="1"/>
          <w:bCs w:val="1"/>
          <w:color w:val="auto"/>
        </w:rPr>
        <w:t>pay</w:t>
      </w:r>
      <w:r>
        <w:rPr>
          <w:rFonts w:ascii="Arial" w:cs="Arial" w:eastAsia="Arial" w:hAnsi="Arial"/>
          <w:sz w:val="17"/>
          <w:szCs w:val="17"/>
          <w:color w:val="auto"/>
        </w:rPr>
        <w:t xml:space="preserve"> </w:t>
      </w:r>
      <w:r>
        <w:rPr>
          <w:rFonts w:ascii="Arial" w:cs="Arial" w:eastAsia="Arial" w:hAnsi="Arial"/>
          <w:sz w:val="17"/>
          <w:szCs w:val="17"/>
          <w:b w:val="1"/>
          <w:bCs w:val="1"/>
          <w:color w:val="auto"/>
        </w:rPr>
        <w:t>competitively</w:t>
      </w:r>
      <w:r>
        <w:rPr>
          <w:rFonts w:ascii="Arial" w:cs="Arial" w:eastAsia="Arial" w:hAnsi="Arial"/>
          <w:sz w:val="17"/>
          <w:szCs w:val="17"/>
          <w:color w:val="auto"/>
        </w:rPr>
        <w:t>. As described in the Compensation Discussion and Analysis, the Compensation and Human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and the Board believe that our compensation policies and programs effectively align the interests of our executive officers with the interests of our stockholders by linking a significant portion of their compensation to Kyndryl’s performance and by providing a competitive level of compensation designed to motivate our named executive officers to execute, and reward them for their progress in the execution of, the Company’s strategy to drive profitable growth.</w:t>
      </w:r>
    </w:p>
    <w:p>
      <w:pPr>
        <w:spacing w:after="0" w:line="174"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The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in an advisory vote, the following resolution:</w:t>
      </w:r>
    </w:p>
    <w:p>
      <w:pPr>
        <w:spacing w:after="0" w:line="156" w:lineRule="exact"/>
        <w:rPr>
          <w:sz w:val="20"/>
          <w:szCs w:val="20"/>
          <w:color w:val="auto"/>
        </w:rPr>
      </w:pPr>
    </w:p>
    <w:p>
      <w:pPr>
        <w:ind w:left="540" w:right="299"/>
        <w:spacing w:after="0" w:line="24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compensation of the Company’s named executive officers as disclosed in this Proxy Statement pursuant to the compensation disclosure rules of the Securities and Exchange Commission, including the Compensation Discussion and Analysis, the compensation tables and the narrative discussion, is approved.”</w:t>
      </w:r>
    </w:p>
    <w:p>
      <w:pPr>
        <w:spacing w:after="0" w:line="123" w:lineRule="exact"/>
        <w:rPr>
          <w:sz w:val="20"/>
          <w:szCs w:val="20"/>
          <w:color w:val="auto"/>
        </w:rPr>
      </w:pPr>
    </w:p>
    <w:p>
      <w:pPr>
        <w:ind w:left="80" w:right="159"/>
        <w:spacing w:after="0" w:line="249" w:lineRule="auto"/>
        <w:rPr>
          <w:sz w:val="20"/>
          <w:szCs w:val="20"/>
          <w:color w:val="auto"/>
        </w:rPr>
      </w:pPr>
      <w:r>
        <w:rPr>
          <w:rFonts w:ascii="Arial" w:cs="Arial" w:eastAsia="Arial" w:hAnsi="Arial"/>
          <w:sz w:val="17"/>
          <w:szCs w:val="17"/>
          <w:color w:val="auto"/>
        </w:rPr>
        <w:t>The Board has adopted a policy of providing annual advisory approvals of the compensation of our named executive officers. The next advisory vote to approve executive compensation will occur at the Company’s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30480</wp:posOffset>
            </wp:positionV>
            <wp:extent cx="5623560" cy="4800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623560" cy="480060"/>
                    </a:xfrm>
                    <a:prstGeom prst="rect">
                      <a:avLst/>
                    </a:prstGeom>
                    <a:noFill/>
                  </pic:spPr>
                </pic:pic>
              </a:graphicData>
            </a:graphic>
          </wp:anchor>
        </w:drawing>
      </w:r>
    </w:p>
    <w:p>
      <w:pPr>
        <w:spacing w:after="0" w:line="155" w:lineRule="exact"/>
        <w:rPr>
          <w:sz w:val="20"/>
          <w:szCs w:val="20"/>
          <w:color w:val="auto"/>
        </w:rPr>
      </w:pPr>
    </w:p>
    <w:p>
      <w:pPr>
        <w:ind w:left="880" w:right="499"/>
        <w:spacing w:after="0" w:line="225" w:lineRule="auto"/>
        <w:rPr>
          <w:sz w:val="20"/>
          <w:szCs w:val="20"/>
          <w:color w:val="auto"/>
        </w:rPr>
      </w:pPr>
      <w:r>
        <w:rPr>
          <w:rFonts w:ascii="Arial" w:cs="Arial" w:eastAsia="Arial" w:hAnsi="Arial"/>
          <w:sz w:val="17"/>
          <w:szCs w:val="17"/>
          <w:color w:val="auto"/>
        </w:rPr>
        <w:t xml:space="preserve">The Board recommends that you vote </w:t>
      </w:r>
      <w:r>
        <w:rPr>
          <w:rFonts w:ascii="Arial" w:cs="Arial" w:eastAsia="Arial" w:hAnsi="Arial"/>
          <w:sz w:val="17"/>
          <w:szCs w:val="17"/>
          <w:b w:val="1"/>
          <w:bCs w:val="1"/>
          <w:color w:val="72C593"/>
        </w:rPr>
        <w:t>FOR</w:t>
      </w:r>
      <w:r>
        <w:rPr>
          <w:rFonts w:ascii="Arial" w:cs="Arial" w:eastAsia="Arial" w:hAnsi="Arial"/>
          <w:sz w:val="17"/>
          <w:szCs w:val="17"/>
          <w:color w:val="auto"/>
        </w:rPr>
        <w:t xml:space="preserve"> the approval of the compensation of the named executive officers.</w:t>
      </w:r>
    </w:p>
    <w:p>
      <w:pPr>
        <w:ind w:left="480"/>
        <w:spacing w:after="0"/>
        <w:rPr>
          <w:sz w:val="20"/>
          <w:szCs w:val="20"/>
          <w:color w:val="auto"/>
        </w:rPr>
      </w:pPr>
      <w:r>
        <w:rPr>
          <w:rFonts w:ascii="Arial" w:cs="Arial" w:eastAsia="Arial" w:hAnsi="Arial"/>
          <w:sz w:val="17"/>
          <w:szCs w:val="17"/>
          <w:color w:val="auto"/>
        </w:rPr>
        <w:t> </w:t>
      </w:r>
    </w:p>
    <w:p>
      <w:pPr>
        <w:spacing w:after="0" w:line="283"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Compensation Discussion and Analysis</w:t>
      </w:r>
    </w:p>
    <w:p>
      <w:pPr>
        <w:spacing w:after="0" w:line="24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I.      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179"/>
        <w:spacing w:after="0" w:line="249" w:lineRule="auto"/>
        <w:rPr>
          <w:sz w:val="20"/>
          <w:szCs w:val="20"/>
          <w:color w:val="auto"/>
        </w:rPr>
      </w:pPr>
      <w:r>
        <w:rPr>
          <w:rFonts w:ascii="Arial" w:cs="Arial" w:eastAsia="Arial" w:hAnsi="Arial"/>
          <w:sz w:val="17"/>
          <w:szCs w:val="17"/>
          <w:color w:val="auto"/>
        </w:rPr>
        <w:t>This Compensation Discussion and Analysis explains Kyndryl’s executive compensation philosophy and programs and, more specifically, how the Compensation and Human Capital (“CHC”) Committee determined compensation for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176530</wp:posOffset>
            </wp:positionV>
            <wp:extent cx="213995" cy="342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NEOs</w:t>
      </w:r>
    </w:p>
    <w:p>
      <w:pPr>
        <w:spacing w:after="0" w:line="156"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Our NEOs for fiscal 2026 include our Chief Executive Officer, our current interim and former Chief Financial Officers, our three other most highly compensated executive officers serving as of the end of fiscal 2026 and two former executive officers for whom disclosure is required under SEC rules as they would have been one of our three most highly compensated executive officers but for the fact that they were not serving as executive officers as of the end of fiscal 2026.</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F0533D"/>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32385</wp:posOffset>
            </wp:positionV>
            <wp:extent cx="562356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49" w:lineRule="exact"/>
        <w:rPr>
          <w:sz w:val="20"/>
          <w:szCs w:val="20"/>
          <w:color w:val="auto"/>
        </w:rPr>
      </w:pPr>
    </w:p>
    <w:tbl>
      <w:tblPr>
        <w:tblLayout w:type="fixed"/>
        <w:tblInd w:w="80" w:type="dxa"/>
        <w:tblCellMar>
          <w:top w:w="0" w:type="dxa"/>
          <w:left w:w="0" w:type="dxa"/>
          <w:bottom w:w="0" w:type="dxa"/>
          <w:right w:w="0" w:type="dxa"/>
        </w:tblCellMar>
      </w:tblPr>
      <w:tr>
        <w:trPr>
          <w:trHeight w:val="232"/>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Martin Schroeter</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Chairman and Chief Executive Officer</w:t>
            </w:r>
          </w:p>
        </w:tc>
      </w:tr>
      <w:tr>
        <w:trPr>
          <w:trHeight w:val="237"/>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Harsh Chugh</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Interim Chief Financial Officer (since February 5, 2026)</w:t>
            </w:r>
          </w:p>
        </w:tc>
      </w:tr>
      <w:tr>
        <w:trPr>
          <w:trHeight w:val="237"/>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Elly Keinan</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Group President</w:t>
            </w:r>
          </w:p>
        </w:tc>
      </w:tr>
      <w:tr>
        <w:trPr>
          <w:trHeight w:val="237"/>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Maryjo Charbonnier</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Former Chief Human Resources Officer (retired from this role effective March 31, 2026)</w:t>
            </w:r>
          </w:p>
        </w:tc>
      </w:tr>
      <w:tr>
        <w:trPr>
          <w:trHeight w:val="237"/>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Mark Ringes</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Interim General Counsel (since February 5, 2026) and Secretary</w:t>
            </w:r>
          </w:p>
        </w:tc>
      </w:tr>
      <w:tr>
        <w:trPr>
          <w:trHeight w:val="236"/>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David Wyshner</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Former Chief Financial Officer (until February 5, 2026)</w:t>
            </w:r>
          </w:p>
        </w:tc>
      </w:tr>
      <w:tr>
        <w:trPr>
          <w:trHeight w:val="237"/>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Edward Sebold</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Former General Counsel and Secretary (until February 5, 2026)</w:t>
            </w:r>
          </w:p>
        </w:tc>
      </w:tr>
      <w:tr>
        <w:trPr>
          <w:trHeight w:val="223"/>
        </w:trPr>
        <w:tc>
          <w:tcPr>
            <w:tcW w:w="180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Vineet Khurana</w:t>
            </w:r>
          </w:p>
        </w:tc>
        <w:tc>
          <w:tcPr>
            <w:tcW w:w="706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Former Senior Vice President and Global Controller (assumed new role February 5, 2026)</w:t>
            </w:r>
          </w:p>
        </w:tc>
      </w:tr>
    </w:tbl>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Fiscal 2026 Executive Officer Transitions</w:t>
      </w:r>
    </w:p>
    <w:p>
      <w:pPr>
        <w:spacing w:after="0" w:line="154" w:lineRule="exact"/>
        <w:rPr>
          <w:sz w:val="20"/>
          <w:szCs w:val="20"/>
          <w:color w:val="auto"/>
        </w:rPr>
      </w:pPr>
    </w:p>
    <w:p>
      <w:pPr>
        <w:ind w:left="80" w:right="279"/>
        <w:spacing w:after="0" w:line="267" w:lineRule="auto"/>
        <w:rPr>
          <w:sz w:val="20"/>
          <w:szCs w:val="20"/>
          <w:color w:val="auto"/>
        </w:rPr>
      </w:pPr>
      <w:r>
        <w:rPr>
          <w:rFonts w:ascii="Arial" w:cs="Arial" w:eastAsia="Arial" w:hAnsi="Arial"/>
          <w:sz w:val="17"/>
          <w:szCs w:val="17"/>
          <w:color w:val="auto"/>
        </w:rPr>
        <w:t>Effective as of February 5, 2026, the Board appointed Mr. Chugh as Interim Chief Financial Officer of the Company and Mr. Ringes as Interim General Counsel of the Company.</w:t>
      </w:r>
    </w:p>
    <w:p>
      <w:pPr>
        <w:spacing w:after="0" w:line="105" w:lineRule="exact"/>
        <w:rPr>
          <w:sz w:val="20"/>
          <w:szCs w:val="20"/>
          <w:color w:val="auto"/>
        </w:rPr>
      </w:pPr>
    </w:p>
    <w:p>
      <w:pPr>
        <w:ind w:left="80"/>
        <w:spacing w:after="0"/>
        <w:rPr>
          <w:sz w:val="20"/>
          <w:szCs w:val="20"/>
          <w:color w:val="auto"/>
        </w:rPr>
      </w:pPr>
      <w:r>
        <w:rPr>
          <w:rFonts w:ascii="Arial" w:cs="Arial" w:eastAsia="Arial" w:hAnsi="Arial"/>
          <w:sz w:val="17"/>
          <w:szCs w:val="17"/>
          <w:color w:val="auto"/>
        </w:rPr>
        <w:t>Concurrently with the appointments of Messrs. Chugh and Ringes, Mr. Wyshner departed from his position as</w:t>
      </w:r>
    </w:p>
    <w:p>
      <w:pPr>
        <w:spacing w:after="0" w:line="10" w:lineRule="exact"/>
        <w:rPr>
          <w:sz w:val="20"/>
          <w:szCs w:val="20"/>
          <w:color w:val="auto"/>
        </w:rPr>
      </w:pPr>
    </w:p>
    <w:p>
      <w:pPr>
        <w:ind w:left="80" w:right="99"/>
        <w:spacing w:after="0" w:line="235" w:lineRule="auto"/>
        <w:rPr>
          <w:sz w:val="20"/>
          <w:szCs w:val="20"/>
          <w:color w:val="auto"/>
        </w:rPr>
      </w:pPr>
      <w:r>
        <w:rPr>
          <w:rFonts w:ascii="Arial" w:cs="Arial" w:eastAsia="Arial" w:hAnsi="Arial"/>
          <w:sz w:val="17"/>
          <w:szCs w:val="17"/>
          <w:color w:val="auto"/>
        </w:rPr>
        <w:t>Chief Financial Officer of the Company, and Mr. Sebold departed from his position as General Counsel and Secretary of the Company. With their departures from the Company, Messrs. Wyshner and Sebold were each entitled to receive separation-related payments and benefits in accordance with the existing Kyndryl Executive Severance Plan and Executive Retirement Policy (the “Severance Plan”), and entered into a separation agreement with the Company to memorialize the terms of the separation, as described below under “Potential Payments upon Termination or Change in Control.” As of February 5, 2026, Mr. Khurana stepped down from his position as Senior Vice President and Global Controller of the Company and assumed a different role at the Company.</w:t>
      </w:r>
    </w:p>
    <w:p>
      <w:pPr>
        <w:spacing w:after="0" w:line="129" w:lineRule="exact"/>
        <w:rPr>
          <w:sz w:val="20"/>
          <w:szCs w:val="20"/>
          <w:color w:val="auto"/>
        </w:rPr>
      </w:pPr>
    </w:p>
    <w:p>
      <w:pPr>
        <w:ind w:left="80" w:right="159"/>
        <w:spacing w:after="0" w:line="249" w:lineRule="auto"/>
        <w:rPr>
          <w:sz w:val="20"/>
          <w:szCs w:val="20"/>
          <w:color w:val="auto"/>
        </w:rPr>
      </w:pPr>
      <w:r>
        <w:rPr>
          <w:rFonts w:ascii="Arial" w:cs="Arial" w:eastAsia="Arial" w:hAnsi="Arial"/>
          <w:sz w:val="17"/>
          <w:szCs w:val="17"/>
          <w:color w:val="auto"/>
        </w:rPr>
        <w:t>Further, as previously announced in January 2026, Ms. Charbonnier notified the Company of her intent to retire from her role as Chief Human Resources Officer, effective March 31, 2026. Ms. Charbonnier remains an employee and will serve as an Executive Advisor until August 31, 2026.</w:t>
      </w:r>
    </w:p>
    <w:p>
      <w:pPr>
        <w:spacing w:after="0" w:line="121" w:lineRule="exact"/>
        <w:rPr>
          <w:sz w:val="20"/>
          <w:szCs w:val="20"/>
          <w:color w:val="auto"/>
        </w:rPr>
      </w:pPr>
    </w:p>
    <w:p>
      <w:pPr>
        <w:ind w:left="80" w:right="939"/>
        <w:spacing w:after="0" w:line="267" w:lineRule="auto"/>
        <w:rPr>
          <w:sz w:val="20"/>
          <w:szCs w:val="20"/>
          <w:color w:val="auto"/>
        </w:rPr>
      </w:pPr>
      <w:r>
        <w:rPr>
          <w:rFonts w:ascii="Arial" w:cs="Arial" w:eastAsia="Arial" w:hAnsi="Arial"/>
          <w:sz w:val="17"/>
          <w:szCs w:val="17"/>
          <w:color w:val="auto"/>
        </w:rPr>
        <w:t>These transitions impacted the fiscal 2026 compensation decisions discussed below in this Compensation Discussion and Analysis.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Our Compensation Philosophy</w:t>
      </w:r>
    </w:p>
    <w:p>
      <w:pPr>
        <w:spacing w:after="0" w:line="156" w:lineRule="exact"/>
        <w:rPr>
          <w:sz w:val="20"/>
          <w:szCs w:val="20"/>
          <w:color w:val="auto"/>
        </w:rPr>
      </w:pPr>
    </w:p>
    <w:p>
      <w:pPr>
        <w:ind w:left="80" w:right="199"/>
        <w:spacing w:after="0" w:line="267" w:lineRule="auto"/>
        <w:rPr>
          <w:sz w:val="20"/>
          <w:szCs w:val="20"/>
          <w:color w:val="auto"/>
        </w:rPr>
      </w:pPr>
      <w:r>
        <w:rPr>
          <w:rFonts w:ascii="Arial" w:cs="Arial" w:eastAsia="Arial" w:hAnsi="Arial"/>
          <w:sz w:val="17"/>
          <w:szCs w:val="17"/>
          <w:color w:val="auto"/>
        </w:rPr>
        <w:t>Our CHC Committee based its compensation decisions with respect to the compensation of our executive officers in fiscal 2026 on the following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5434965" cy="28460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434965" cy="284607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 </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FFFFFF"/>
        </w:rPr>
        <w:t>PAY FOR PERFORMANCE</w:t>
      </w:r>
    </w:p>
    <w:p>
      <w:pPr>
        <w:spacing w:after="0" w:line="132" w:lineRule="exact"/>
        <w:rPr>
          <w:sz w:val="20"/>
          <w:szCs w:val="20"/>
          <w:color w:val="auto"/>
        </w:rPr>
      </w:pPr>
    </w:p>
    <w:p>
      <w:pPr>
        <w:ind w:left="480" w:right="60" w:hanging="154"/>
        <w:spacing w:after="0" w:line="238"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At target, approximately</w:t>
      </w:r>
      <w:r>
        <w:rPr>
          <w:rFonts w:ascii="Arial" w:cs="Arial" w:eastAsia="Arial" w:hAnsi="Arial"/>
          <w:sz w:val="17"/>
          <w:szCs w:val="17"/>
          <w:color w:val="F0533D"/>
        </w:rPr>
        <w:t xml:space="preserve"> </w:t>
      </w:r>
      <w:r>
        <w:rPr>
          <w:rFonts w:ascii="Arial" w:cs="Arial" w:eastAsia="Arial" w:hAnsi="Arial"/>
          <w:sz w:val="17"/>
          <w:szCs w:val="17"/>
          <w:color w:val="000000"/>
        </w:rPr>
        <w:t>60% of our NEOs’ compensation opportunity is performance-based and 70-95% is variable and at-risk</w:t>
      </w:r>
    </w:p>
    <w:p>
      <w:pPr>
        <w:jc w:val="both"/>
        <w:ind w:left="480" w:hanging="154"/>
        <w:spacing w:after="0" w:line="262"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Incentive compensation is</w:t>
      </w:r>
      <w:r>
        <w:rPr>
          <w:rFonts w:ascii="Arial" w:cs="Arial" w:eastAsia="Arial" w:hAnsi="Arial"/>
          <w:sz w:val="16"/>
          <w:szCs w:val="16"/>
          <w:color w:val="F0533D"/>
        </w:rPr>
        <w:t xml:space="preserve"> </w:t>
      </w:r>
      <w:r>
        <w:rPr>
          <w:rFonts w:ascii="Arial" w:cs="Arial" w:eastAsia="Arial" w:hAnsi="Arial"/>
          <w:sz w:val="16"/>
          <w:szCs w:val="16"/>
          <w:color w:val="000000"/>
        </w:rPr>
        <w:t>tied to our business results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898525</wp:posOffset>
            </wp:positionV>
            <wp:extent cx="213995"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w:t>
      </w:r>
    </w:p>
    <w:p>
      <w:pPr>
        <w:spacing w:after="0" w:line="127" w:lineRule="exact"/>
        <w:rPr>
          <w:sz w:val="20"/>
          <w:szCs w:val="20"/>
          <w:color w:val="auto"/>
        </w:rPr>
      </w:pPr>
    </w:p>
    <w:p>
      <w:pPr>
        <w:jc w:val="center"/>
        <w:ind w:left="-19"/>
        <w:spacing w:after="0"/>
        <w:rPr>
          <w:sz w:val="20"/>
          <w:szCs w:val="20"/>
          <w:color w:val="auto"/>
        </w:rPr>
      </w:pPr>
      <w:r>
        <w:rPr>
          <w:rFonts w:ascii="Arial" w:cs="Arial" w:eastAsia="Arial" w:hAnsi="Arial"/>
          <w:sz w:val="16"/>
          <w:szCs w:val="16"/>
          <w:b w:val="1"/>
          <w:bCs w:val="1"/>
          <w:color w:val="FFFFFF"/>
        </w:rPr>
        <w:t>ALIGN WITH STOCKHOLDERS</w:t>
      </w:r>
    </w:p>
    <w:p>
      <w:pPr>
        <w:spacing w:after="0" w:line="132" w:lineRule="exact"/>
        <w:rPr>
          <w:sz w:val="20"/>
          <w:szCs w:val="20"/>
          <w:color w:val="auto"/>
        </w:rPr>
      </w:pPr>
    </w:p>
    <w:p>
      <w:pPr>
        <w:ind w:left="140" w:hanging="154"/>
        <w:spacing w:after="0" w:line="237"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Incentives are tied to both short-term</w:t>
      </w:r>
      <w:r>
        <w:rPr>
          <w:rFonts w:ascii="Arial" w:cs="Arial" w:eastAsia="Arial" w:hAnsi="Arial"/>
          <w:sz w:val="17"/>
          <w:szCs w:val="17"/>
          <w:color w:val="F0533D"/>
        </w:rPr>
        <w:t xml:space="preserve"> </w:t>
      </w:r>
      <w:r>
        <w:rPr>
          <w:rFonts w:ascii="Arial" w:cs="Arial" w:eastAsia="Arial" w:hAnsi="Arial"/>
          <w:sz w:val="17"/>
          <w:szCs w:val="17"/>
          <w:color w:val="000000"/>
        </w:rPr>
        <w:t>and long-term performance goals to balance risk while rewarding for delivering financial, operating and strategic performance aligned with our business strategy and stockholder interests</w:t>
      </w:r>
    </w:p>
    <w:p>
      <w:pPr>
        <w:spacing w:after="0" w:line="1" w:lineRule="exact"/>
        <w:rPr>
          <w:sz w:val="20"/>
          <w:szCs w:val="20"/>
          <w:color w:val="auto"/>
        </w:rPr>
      </w:pPr>
    </w:p>
    <w:p>
      <w:pPr>
        <w:ind w:left="140" w:right="80" w:hanging="154"/>
        <w:spacing w:after="0" w:line="236"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 significant portion of NEOs’</w:t>
      </w:r>
      <w:r>
        <w:rPr>
          <w:rFonts w:ascii="Arial" w:cs="Arial" w:eastAsia="Arial" w:hAnsi="Arial"/>
          <w:sz w:val="17"/>
          <w:szCs w:val="17"/>
          <w:color w:val="F0533D"/>
        </w:rPr>
        <w:t xml:space="preserve"> </w:t>
      </w:r>
      <w:r>
        <w:rPr>
          <w:rFonts w:ascii="Arial" w:cs="Arial" w:eastAsia="Arial" w:hAnsi="Arial"/>
          <w:sz w:val="17"/>
          <w:szCs w:val="17"/>
          <w:color w:val="000000"/>
        </w:rPr>
        <w:t>compensation is delivered in equity, further aligning their interests with stockholders</w:t>
      </w:r>
    </w:p>
    <w:p>
      <w:pPr>
        <w:spacing w:after="0" w:line="1" w:lineRule="exact"/>
        <w:rPr>
          <w:sz w:val="20"/>
          <w:szCs w:val="20"/>
          <w:color w:val="auto"/>
        </w:rPr>
      </w:pPr>
    </w:p>
    <w:p>
      <w:pPr>
        <w:ind w:left="140" w:right="120" w:hanging="154"/>
        <w:spacing w:after="0" w:line="238"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NEOs are required to retain shares</w:t>
      </w:r>
      <w:r>
        <w:rPr>
          <w:rFonts w:ascii="Arial" w:cs="Arial" w:eastAsia="Arial" w:hAnsi="Arial"/>
          <w:sz w:val="17"/>
          <w:szCs w:val="17"/>
          <w:color w:val="F0533D"/>
        </w:rPr>
        <w:t xml:space="preserve"> </w:t>
      </w:r>
      <w:r>
        <w:rPr>
          <w:rFonts w:ascii="Arial" w:cs="Arial" w:eastAsia="Arial" w:hAnsi="Arial"/>
          <w:sz w:val="17"/>
          <w:szCs w:val="17"/>
          <w:color w:val="000000"/>
        </w:rPr>
        <w:t>earned until minimum share ownership levels are achieved per our 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 </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FFFFFF"/>
        </w:rPr>
        <w:t>PAY COMPETITIVELY</w:t>
      </w:r>
    </w:p>
    <w:p>
      <w:pPr>
        <w:spacing w:after="0" w:line="132" w:lineRule="exact"/>
        <w:rPr>
          <w:sz w:val="20"/>
          <w:szCs w:val="20"/>
          <w:color w:val="auto"/>
        </w:rPr>
      </w:pPr>
    </w:p>
    <w:p>
      <w:pPr>
        <w:ind w:left="160" w:right="499" w:hanging="154"/>
        <w:spacing w:after="0" w:line="25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Total target compensation</w:t>
      </w:r>
      <w:r>
        <w:rPr>
          <w:rFonts w:ascii="Arial" w:cs="Arial" w:eastAsia="Arial" w:hAnsi="Arial"/>
          <w:sz w:val="16"/>
          <w:szCs w:val="16"/>
          <w:color w:val="F0533D"/>
        </w:rPr>
        <w:t xml:space="preserve"> </w:t>
      </w:r>
      <w:r>
        <w:rPr>
          <w:rFonts w:ascii="Arial" w:cs="Arial" w:eastAsia="Arial" w:hAnsi="Arial"/>
          <w:sz w:val="16"/>
          <w:szCs w:val="16"/>
          <w:color w:val="000000"/>
        </w:rPr>
        <w:t>levels are competitive to attract and retain high-performing talent</w:t>
      </w:r>
    </w:p>
    <w:p>
      <w:pPr>
        <w:ind w:left="160" w:right="519" w:hanging="154"/>
        <w:spacing w:after="0" w:line="248" w:lineRule="auto"/>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Actual pay levels will vary</w:t>
      </w:r>
      <w:r>
        <w:rPr>
          <w:rFonts w:ascii="Arial" w:cs="Arial" w:eastAsia="Arial" w:hAnsi="Arial"/>
          <w:sz w:val="17"/>
          <w:szCs w:val="17"/>
          <w:color w:val="F0533D"/>
        </w:rPr>
        <w:t xml:space="preserve"> </w:t>
      </w:r>
      <w:r>
        <w:rPr>
          <w:rFonts w:ascii="Arial" w:cs="Arial" w:eastAsia="Arial" w:hAnsi="Arial"/>
          <w:sz w:val="17"/>
          <w:szCs w:val="17"/>
          <w:color w:val="000000"/>
        </w:rPr>
        <w:t>based on performance</w:t>
      </w:r>
    </w:p>
    <w:p>
      <w:pPr>
        <w:spacing w:after="0" w:line="1907" w:lineRule="exact"/>
        <w:rPr>
          <w:sz w:val="20"/>
          <w:szCs w:val="20"/>
          <w:color w:val="auto"/>
        </w:rPr>
      </w:pPr>
    </w:p>
    <w:p>
      <w:pPr>
        <w:sectPr>
          <w:pgSz w:w="11900" w:h="16838" w:orient="portrait"/>
          <w:cols w:equalWidth="0" w:num="3">
            <w:col w:w="2520" w:space="480"/>
            <w:col w:w="2920" w:space="480"/>
            <w:col w:w="2619"/>
          </w:cols>
          <w:pgMar w:left="1440" w:top="114" w:right="1440" w:bottom="1440" w:gutter="0" w:footer="0" w:header="0"/>
          <w:type w:val="continuous"/>
        </w:sectPr>
      </w:pPr>
    </w:p>
    <w:p>
      <w:pPr>
        <w:spacing w:after="0" w:line="125"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Stockholder Engagement and Say-on-Pay Vote</w:t>
      </w:r>
    </w:p>
    <w:p>
      <w:pPr>
        <w:spacing w:after="0" w:line="156" w:lineRule="exact"/>
        <w:rPr>
          <w:sz w:val="20"/>
          <w:szCs w:val="20"/>
          <w:color w:val="auto"/>
        </w:rPr>
      </w:pPr>
    </w:p>
    <w:p>
      <w:pPr>
        <w:ind w:left="80" w:right="199"/>
        <w:spacing w:after="0" w:line="241" w:lineRule="auto"/>
        <w:rPr>
          <w:sz w:val="20"/>
          <w:szCs w:val="20"/>
          <w:color w:val="auto"/>
        </w:rPr>
      </w:pPr>
      <w:r>
        <w:rPr>
          <w:rFonts w:ascii="Arial" w:cs="Arial" w:eastAsia="Arial" w:hAnsi="Arial"/>
          <w:sz w:val="17"/>
          <w:szCs w:val="17"/>
          <w:color w:val="auto"/>
        </w:rPr>
        <w:t>Our Board and CHC Committee value stockholder perspectives and consider that feedback in their annual review of executive compensation. Kyndryl regularly engages with stockholders throughout the year, including in connection with our Annual Meeting of Stockholders and as described under “Corporate Governance and Board Matters — Investor Engagement,” and those discussions cover a broad range of topics, including executive compensation matters.</w:t>
      </w:r>
    </w:p>
    <w:p>
      <w:pPr>
        <w:spacing w:after="0" w:line="126" w:lineRule="exact"/>
        <w:rPr>
          <w:sz w:val="20"/>
          <w:szCs w:val="20"/>
          <w:color w:val="auto"/>
        </w:rPr>
      </w:pPr>
    </w:p>
    <w:p>
      <w:pPr>
        <w:ind w:left="80" w:right="179"/>
        <w:spacing w:after="0" w:line="239" w:lineRule="auto"/>
        <w:rPr>
          <w:sz w:val="20"/>
          <w:szCs w:val="20"/>
          <w:color w:val="auto"/>
        </w:rPr>
      </w:pPr>
      <w:r>
        <w:rPr>
          <w:rFonts w:ascii="Arial" w:cs="Arial" w:eastAsia="Arial" w:hAnsi="Arial"/>
          <w:sz w:val="17"/>
          <w:szCs w:val="17"/>
          <w:color w:val="auto"/>
        </w:rPr>
        <w:t>The 2025 advisory vote to approve the compensation of our NEOs (“say-on-pay”) passed with more than 97% of the votes in favor. Given this high level of support, together with feedback received through our regular stockholder engagement program, the CHC Committee concluded that stockholders generally supported the Company’s executive compensation program. That said, the CHC Committee made certain program changes to further strengthen alignment to the Company’s long-term strategy focused on growth, as described below under “Fiscal 2026 Developments.”</w:t>
      </w:r>
    </w:p>
    <w:p>
      <w:pPr>
        <w:spacing w:after="0" w:line="20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4" w:name="page45"/>
    <w:bookmarkEnd w:id="4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How Our NEOs Are Paid</w:t>
      </w:r>
    </w:p>
    <w:p>
      <w:pPr>
        <w:spacing w:after="0" w:line="156" w:lineRule="exact"/>
        <w:rPr>
          <w:sz w:val="20"/>
          <w:szCs w:val="20"/>
          <w:color w:val="auto"/>
        </w:rPr>
      </w:pPr>
    </w:p>
    <w:p>
      <w:pPr>
        <w:ind w:left="80" w:right="99"/>
        <w:spacing w:after="0" w:line="267" w:lineRule="auto"/>
        <w:rPr>
          <w:sz w:val="20"/>
          <w:szCs w:val="20"/>
          <w:color w:val="auto"/>
        </w:rPr>
      </w:pPr>
      <w:r>
        <w:rPr>
          <w:rFonts w:ascii="Arial" w:cs="Arial" w:eastAsia="Arial" w:hAnsi="Arial"/>
          <w:sz w:val="17"/>
          <w:szCs w:val="17"/>
          <w:color w:val="auto"/>
        </w:rPr>
        <w:t>The table below presents the primary compensation elements of our executive compensation program as determined by the CHC Committee for our NEOs in fiscal 2026.</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17" w:type="dxa"/>
        <w:tblCellMar>
          <w:top w:w="0" w:type="dxa"/>
          <w:left w:w="0" w:type="dxa"/>
          <w:bottom w:w="0" w:type="dxa"/>
          <w:right w:w="0" w:type="dxa"/>
        </w:tblCellMar>
      </w:tblPr>
      <w:tr>
        <w:trPr>
          <w:trHeight w:val="440"/>
        </w:trPr>
        <w:tc>
          <w:tcPr>
            <w:tcW w:w="161" w:type="dxa"/>
            <w:vAlign w:val="bottom"/>
            <w:textDirection w:val="btLr"/>
          </w:tcPr>
          <w:p>
            <w:pPr>
              <w:spacing w:after="0"/>
              <w:rPr>
                <w:sz w:val="20"/>
                <w:szCs w:val="20"/>
                <w:color w:val="auto"/>
              </w:rPr>
            </w:pPr>
            <w:r>
              <w:rPr>
                <w:rFonts w:ascii="Arial" w:cs="Arial" w:eastAsia="Arial" w:hAnsi="Arial"/>
                <w:sz w:val="14"/>
                <w:szCs w:val="14"/>
                <w:b w:val="1"/>
                <w:bCs w:val="1"/>
                <w:color w:val="FFFFFF"/>
              </w:rPr>
              <w:t>FIXED</w:t>
            </w:r>
          </w:p>
        </w:tc>
      </w:tr>
    </w:tbl>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40" w:type="dxa"/>
            <w:vAlign w:val="bottom"/>
          </w:tcPr>
          <w:p>
            <w:pPr>
              <w:ind w:left="360"/>
              <w:spacing w:after="0"/>
              <w:rPr>
                <w:sz w:val="20"/>
                <w:szCs w:val="20"/>
                <w:color w:val="auto"/>
              </w:rPr>
            </w:pPr>
            <w:r>
              <w:rPr>
                <w:rFonts w:ascii="Arial" w:cs="Arial" w:eastAsia="Arial" w:hAnsi="Arial"/>
                <w:sz w:val="14"/>
                <w:szCs w:val="14"/>
                <w:b w:val="1"/>
                <w:bCs w:val="1"/>
                <w:color w:val="F0533D"/>
              </w:rPr>
              <w:t>Performance and/or Service</w:t>
            </w:r>
          </w:p>
        </w:tc>
        <w:tc>
          <w:tcPr>
            <w:tcW w:w="2280" w:type="dxa"/>
            <w:vAlign w:val="bottom"/>
          </w:tcPr>
          <w:p>
            <w:pPr>
              <w:spacing w:after="0"/>
              <w:rPr>
                <w:sz w:val="14"/>
                <w:szCs w:val="14"/>
                <w:color w:val="auto"/>
              </w:rPr>
            </w:pPr>
          </w:p>
        </w:tc>
      </w:tr>
      <w:tr>
        <w:trPr>
          <w:trHeight w:val="196"/>
        </w:trPr>
        <w:tc>
          <w:tcPr>
            <w:tcW w:w="800" w:type="dxa"/>
            <w:vAlign w:val="bottom"/>
          </w:tcPr>
          <w:p>
            <w:pPr>
              <w:spacing w:after="0"/>
              <w:rPr>
                <w:sz w:val="17"/>
                <w:szCs w:val="17"/>
                <w:color w:val="auto"/>
              </w:rPr>
            </w:pPr>
          </w:p>
        </w:tc>
        <w:tc>
          <w:tcPr>
            <w:tcW w:w="1660" w:type="dxa"/>
            <w:vAlign w:val="bottom"/>
          </w:tcPr>
          <w:p>
            <w:pPr>
              <w:ind w:left="300"/>
              <w:spacing w:after="0"/>
              <w:rPr>
                <w:sz w:val="20"/>
                <w:szCs w:val="20"/>
                <w:color w:val="auto"/>
              </w:rPr>
            </w:pPr>
            <w:r>
              <w:rPr>
                <w:rFonts w:ascii="Arial" w:cs="Arial" w:eastAsia="Arial" w:hAnsi="Arial"/>
                <w:sz w:val="14"/>
                <w:szCs w:val="14"/>
                <w:b w:val="1"/>
                <w:bCs w:val="1"/>
                <w:color w:val="F0533D"/>
              </w:rPr>
              <w:t>Payment Form</w:t>
            </w:r>
          </w:p>
        </w:tc>
        <w:tc>
          <w:tcPr>
            <w:tcW w:w="2640" w:type="dxa"/>
            <w:vAlign w:val="bottom"/>
          </w:tcPr>
          <w:p>
            <w:pPr>
              <w:ind w:left="360"/>
              <w:spacing w:after="0"/>
              <w:rPr>
                <w:sz w:val="20"/>
                <w:szCs w:val="20"/>
                <w:color w:val="auto"/>
              </w:rPr>
            </w:pPr>
            <w:r>
              <w:rPr>
                <w:rFonts w:ascii="Arial" w:cs="Arial" w:eastAsia="Arial" w:hAnsi="Arial"/>
                <w:sz w:val="14"/>
                <w:szCs w:val="14"/>
                <w:b w:val="1"/>
                <w:bCs w:val="1"/>
                <w:color w:val="F0533D"/>
              </w:rPr>
              <w:t>Condition</w:t>
            </w:r>
          </w:p>
        </w:tc>
        <w:tc>
          <w:tcPr>
            <w:tcW w:w="2280" w:type="dxa"/>
            <w:vAlign w:val="bottom"/>
          </w:tcPr>
          <w:p>
            <w:pPr>
              <w:ind w:left="360"/>
              <w:spacing w:after="0"/>
              <w:rPr>
                <w:sz w:val="20"/>
                <w:szCs w:val="20"/>
                <w:color w:val="auto"/>
              </w:rPr>
            </w:pPr>
            <w:r>
              <w:rPr>
                <w:rFonts w:ascii="Arial" w:cs="Arial" w:eastAsia="Arial" w:hAnsi="Arial"/>
                <w:sz w:val="14"/>
                <w:szCs w:val="14"/>
                <w:b w:val="1"/>
                <w:bCs w:val="1"/>
                <w:color w:val="F0533D"/>
              </w:rPr>
              <w:t>Compensation Objective</w:t>
            </w:r>
          </w:p>
        </w:tc>
      </w:tr>
      <w:tr>
        <w:trPr>
          <w:trHeight w:val="290"/>
        </w:trPr>
        <w:tc>
          <w:tcPr>
            <w:tcW w:w="800" w:type="dxa"/>
            <w:vAlign w:val="bottom"/>
          </w:tcPr>
          <w:p>
            <w:pPr>
              <w:spacing w:after="0"/>
              <w:rPr>
                <w:sz w:val="20"/>
                <w:szCs w:val="20"/>
                <w:color w:val="auto"/>
              </w:rPr>
            </w:pPr>
            <w:r>
              <w:rPr>
                <w:rFonts w:ascii="Arial" w:cs="Arial" w:eastAsia="Arial" w:hAnsi="Arial"/>
                <w:sz w:val="16"/>
                <w:szCs w:val="16"/>
                <w:b w:val="1"/>
                <w:bCs w:val="1"/>
                <w:color w:val="auto"/>
              </w:rPr>
              <w:t>Base</w:t>
            </w:r>
          </w:p>
        </w:tc>
        <w:tc>
          <w:tcPr>
            <w:tcW w:w="1660" w:type="dxa"/>
            <w:vAlign w:val="bottom"/>
          </w:tcPr>
          <w:p>
            <w:pPr>
              <w:ind w:left="300"/>
              <w:spacing w:after="0"/>
              <w:rPr>
                <w:sz w:val="20"/>
                <w:szCs w:val="20"/>
                <w:color w:val="auto"/>
              </w:rPr>
            </w:pPr>
            <w:r>
              <w:rPr>
                <w:rFonts w:ascii="Arial" w:cs="Arial" w:eastAsia="Arial" w:hAnsi="Arial"/>
                <w:sz w:val="14"/>
                <w:szCs w:val="14"/>
                <w:b w:val="1"/>
                <w:bCs w:val="1"/>
                <w:color w:val="auto"/>
              </w:rPr>
              <w:t>Cash</w:t>
            </w:r>
          </w:p>
        </w:tc>
        <w:tc>
          <w:tcPr>
            <w:tcW w:w="2640" w:type="dxa"/>
            <w:vAlign w:val="bottom"/>
          </w:tcPr>
          <w:p>
            <w:pPr>
              <w:ind w:left="36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NA</w:t>
            </w:r>
          </w:p>
        </w:tc>
        <w:tc>
          <w:tcPr>
            <w:tcW w:w="2280" w:type="dxa"/>
            <w:vAlign w:val="bottom"/>
          </w:tcPr>
          <w:p>
            <w:pPr>
              <w:ind w:left="36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Provide market-competitive,</w:t>
            </w:r>
          </w:p>
        </w:tc>
      </w:tr>
      <w:tr>
        <w:trPr>
          <w:trHeight w:val="231"/>
        </w:trPr>
        <w:tc>
          <w:tcPr>
            <w:tcW w:w="800" w:type="dxa"/>
            <w:vAlign w:val="bottom"/>
          </w:tcPr>
          <w:p>
            <w:pPr>
              <w:spacing w:after="0"/>
              <w:rPr>
                <w:sz w:val="20"/>
                <w:szCs w:val="20"/>
                <w:color w:val="auto"/>
              </w:rPr>
            </w:pPr>
            <w:r>
              <w:rPr>
                <w:rFonts w:ascii="Arial" w:cs="Arial" w:eastAsia="Arial" w:hAnsi="Arial"/>
                <w:sz w:val="16"/>
                <w:szCs w:val="16"/>
                <w:b w:val="1"/>
                <w:bCs w:val="1"/>
                <w:color w:val="auto"/>
              </w:rPr>
              <w:t>Salary</w:t>
            </w:r>
          </w:p>
        </w:tc>
        <w:tc>
          <w:tcPr>
            <w:tcW w:w="1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280" w:type="dxa"/>
            <w:vAlign w:val="bottom"/>
          </w:tcPr>
          <w:p>
            <w:pPr>
              <w:ind w:left="500"/>
              <w:spacing w:after="0"/>
              <w:rPr>
                <w:sz w:val="20"/>
                <w:szCs w:val="20"/>
                <w:color w:val="auto"/>
              </w:rPr>
            </w:pPr>
            <w:r>
              <w:rPr>
                <w:rFonts w:ascii="Arial" w:cs="Arial" w:eastAsia="Arial" w:hAnsi="Arial"/>
                <w:sz w:val="14"/>
                <w:szCs w:val="14"/>
                <w:color w:val="auto"/>
              </w:rPr>
              <w:t>fixed level of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-302895</wp:posOffset>
            </wp:positionV>
            <wp:extent cx="5623560" cy="5829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623560" cy="582930"/>
                    </a:xfrm>
                    <a:prstGeom prst="rect">
                      <a:avLst/>
                    </a:prstGeom>
                    <a:noFill/>
                  </pic:spPr>
                </pic:pic>
              </a:graphicData>
            </a:graphic>
          </wp:anchor>
        </w:drawing>
      </w:r>
    </w:p>
    <w:p>
      <w:pPr>
        <w:ind w:left="546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Attract and retain high-</w:t>
      </w:r>
    </w:p>
    <w:p>
      <w:pPr>
        <w:spacing w:after="0" w:line="13"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performing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66040</wp:posOffset>
            </wp:positionV>
            <wp:extent cx="5623560" cy="32061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623560" cy="320611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78" w:space="522"/>
            <w:col w:w="7919"/>
          </w:cols>
          <w:pgMar w:left="1440" w:top="114" w:right="1440" w:bottom="1440" w:gutter="0" w:footer="0" w:header="0"/>
          <w:type w:val="continuous"/>
        </w:sectPr>
      </w:pPr>
    </w:p>
    <w:tbl>
      <w:tblPr>
        <w:tblLayout w:type="fixed"/>
        <w:tblInd w:w="110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b w:val="1"/>
                <w:bCs w:val="1"/>
                <w:color w:val="auto"/>
              </w:rPr>
              <w:t>Annual</w:t>
            </w:r>
          </w:p>
        </w:tc>
        <w:tc>
          <w:tcPr>
            <w:tcW w:w="1320" w:type="dxa"/>
            <w:vAlign w:val="bottom"/>
          </w:tcPr>
          <w:p>
            <w:pPr>
              <w:ind w:left="280"/>
              <w:spacing w:after="0"/>
              <w:rPr>
                <w:sz w:val="20"/>
                <w:szCs w:val="20"/>
                <w:color w:val="auto"/>
              </w:rPr>
            </w:pPr>
            <w:r>
              <w:rPr>
                <w:rFonts w:ascii="Arial" w:cs="Arial" w:eastAsia="Arial" w:hAnsi="Arial"/>
                <w:sz w:val="14"/>
                <w:szCs w:val="14"/>
                <w:b w:val="1"/>
                <w:bCs w:val="1"/>
                <w:color w:val="auto"/>
              </w:rPr>
              <w:t>Cash</w:t>
            </w:r>
          </w:p>
        </w:tc>
        <w:tc>
          <w:tcPr>
            <w:tcW w:w="3100" w:type="dxa"/>
            <w:vAlign w:val="bottom"/>
          </w:tcPr>
          <w:p>
            <w:pPr>
              <w:ind w:left="68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CHC Committee annually evaluates</w:t>
            </w:r>
          </w:p>
        </w:tc>
      </w:tr>
      <w:tr>
        <w:trPr>
          <w:trHeight w:val="171"/>
        </w:trPr>
        <w:tc>
          <w:tcPr>
            <w:tcW w:w="820" w:type="dxa"/>
            <w:vAlign w:val="bottom"/>
          </w:tcPr>
          <w:p>
            <w:pPr>
              <w:spacing w:after="0" w:line="171" w:lineRule="exact"/>
              <w:rPr>
                <w:sz w:val="20"/>
                <w:szCs w:val="20"/>
                <w:color w:val="auto"/>
              </w:rPr>
            </w:pPr>
            <w:r>
              <w:rPr>
                <w:rFonts w:ascii="Arial" w:cs="Arial" w:eastAsia="Arial" w:hAnsi="Arial"/>
                <w:sz w:val="16"/>
                <w:szCs w:val="16"/>
                <w:b w:val="1"/>
                <w:bCs w:val="1"/>
                <w:color w:val="auto"/>
              </w:rPr>
              <w:t>Cash</w:t>
            </w:r>
          </w:p>
        </w:tc>
        <w:tc>
          <w:tcPr>
            <w:tcW w:w="1320" w:type="dxa"/>
            <w:vAlign w:val="bottom"/>
          </w:tcPr>
          <w:p>
            <w:pPr>
              <w:spacing w:after="0"/>
              <w:rPr>
                <w:sz w:val="14"/>
                <w:szCs w:val="14"/>
                <w:color w:val="auto"/>
              </w:rPr>
            </w:pPr>
          </w:p>
        </w:tc>
        <w:tc>
          <w:tcPr>
            <w:tcW w:w="3100" w:type="dxa"/>
            <w:vAlign w:val="bottom"/>
          </w:tcPr>
          <w:p>
            <w:pPr>
              <w:ind w:left="820"/>
              <w:spacing w:after="0"/>
              <w:rPr>
                <w:sz w:val="20"/>
                <w:szCs w:val="20"/>
                <w:color w:val="auto"/>
              </w:rPr>
            </w:pPr>
            <w:r>
              <w:rPr>
                <w:rFonts w:ascii="Arial" w:cs="Arial" w:eastAsia="Arial" w:hAnsi="Arial"/>
                <w:sz w:val="14"/>
                <w:szCs w:val="14"/>
                <w:color w:val="auto"/>
              </w:rPr>
              <w:t>a broad range of financial and non-</w:t>
            </w:r>
          </w:p>
        </w:tc>
      </w:tr>
      <w:tr>
        <w:trPr>
          <w:trHeight w:val="234"/>
        </w:trPr>
        <w:tc>
          <w:tcPr>
            <w:tcW w:w="820" w:type="dxa"/>
            <w:vAlign w:val="bottom"/>
          </w:tcPr>
          <w:p>
            <w:pPr>
              <w:spacing w:after="0"/>
              <w:rPr>
                <w:sz w:val="20"/>
                <w:szCs w:val="20"/>
                <w:color w:val="auto"/>
              </w:rPr>
            </w:pPr>
            <w:r>
              <w:rPr>
                <w:rFonts w:ascii="Arial" w:cs="Arial" w:eastAsia="Arial" w:hAnsi="Arial"/>
                <w:sz w:val="16"/>
                <w:szCs w:val="16"/>
                <w:b w:val="1"/>
                <w:bCs w:val="1"/>
                <w:color w:val="auto"/>
              </w:rPr>
              <w:t>Bonus</w:t>
            </w:r>
          </w:p>
        </w:tc>
        <w:tc>
          <w:tcPr>
            <w:tcW w:w="1320" w:type="dxa"/>
            <w:vAlign w:val="bottom"/>
          </w:tcPr>
          <w:p>
            <w:pPr>
              <w:spacing w:after="0"/>
              <w:rPr>
                <w:sz w:val="20"/>
                <w:szCs w:val="20"/>
                <w:color w:val="auto"/>
              </w:rPr>
            </w:pPr>
          </w:p>
        </w:tc>
        <w:tc>
          <w:tcPr>
            <w:tcW w:w="3100" w:type="dxa"/>
            <w:vAlign w:val="bottom"/>
          </w:tcPr>
          <w:p>
            <w:pPr>
              <w:ind w:left="820"/>
              <w:spacing w:after="0"/>
              <w:rPr>
                <w:sz w:val="20"/>
                <w:szCs w:val="20"/>
                <w:color w:val="auto"/>
              </w:rPr>
            </w:pPr>
            <w:r>
              <w:rPr>
                <w:rFonts w:ascii="Arial" w:cs="Arial" w:eastAsia="Arial" w:hAnsi="Arial"/>
                <w:sz w:val="14"/>
                <w:szCs w:val="14"/>
                <w:color w:val="auto"/>
              </w:rPr>
              <w:t>financial metrics</w:t>
            </w:r>
          </w:p>
        </w:tc>
      </w:tr>
    </w:tbl>
    <w:p>
      <w:pPr>
        <w:ind w:left="392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Fiscal 2026 annual cash bonus was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earned based on the Company’s</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achievement of revenue, adjusted</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EBITDA and corporate citizenship</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goals for the fiscal year, subject to</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potential adjustment upwards or</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downwards for individual</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performance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79" w:hanging="130"/>
        <w:spacing w:after="0" w:line="263" w:lineRule="auto"/>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Tie compensation to business</w:t>
      </w:r>
      <w:r>
        <w:rPr>
          <w:rFonts w:ascii="Arial" w:cs="Arial" w:eastAsia="Arial" w:hAnsi="Arial"/>
          <w:sz w:val="14"/>
          <w:szCs w:val="14"/>
          <w:color w:val="F0533D"/>
        </w:rPr>
        <w:t xml:space="preserve"> </w:t>
      </w:r>
      <w:r>
        <w:rPr>
          <w:rFonts w:ascii="Arial" w:cs="Arial" w:eastAsia="Arial" w:hAnsi="Arial"/>
          <w:sz w:val="14"/>
          <w:szCs w:val="14"/>
          <w:color w:val="000000"/>
        </w:rPr>
        <w:t>performance and individual performance for the fiscal year</w:t>
      </w:r>
    </w:p>
    <w:p>
      <w:pPr>
        <w:spacing w:after="0" w:line="24" w:lineRule="exact"/>
        <w:rPr>
          <w:sz w:val="20"/>
          <w:szCs w:val="20"/>
          <w:color w:val="auto"/>
        </w:rPr>
      </w:pPr>
    </w:p>
    <w:p>
      <w:pPr>
        <w:ind w:right="859" w:hanging="130"/>
        <w:spacing w:after="0" w:line="285" w:lineRule="auto"/>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Attract and retain high-performing talent</w:t>
      </w:r>
    </w:p>
    <w:p>
      <w:pPr>
        <w:spacing w:after="0" w:line="1067" w:lineRule="exact"/>
        <w:rPr>
          <w:sz w:val="20"/>
          <w:szCs w:val="20"/>
          <w:color w:val="auto"/>
        </w:rPr>
      </w:pPr>
    </w:p>
    <w:p>
      <w:pPr>
        <w:sectPr>
          <w:pgSz w:w="11900" w:h="16838" w:orient="portrait"/>
          <w:cols w:equalWidth="0" w:num="2">
            <w:col w:w="6340" w:space="360"/>
            <w:col w:w="2319"/>
          </w:cols>
          <w:pgMar w:left="1440" w:top="114" w:right="1440" w:bottom="1440" w:gutter="0" w:footer="0" w:header="0"/>
          <w:type w:val="continuous"/>
        </w:sectPr>
      </w:pPr>
    </w:p>
    <w:p>
      <w:pPr>
        <w:spacing w:after="0" w:line="69" w:lineRule="exact"/>
        <w:rPr>
          <w:sz w:val="20"/>
          <w:szCs w:val="20"/>
          <w:color w:val="auto"/>
        </w:rPr>
      </w:pPr>
    </w:p>
    <w:tbl>
      <w:tblPr>
        <w:tblLayout w:type="fixed"/>
        <w:tblInd w:w="406" w:type="dxa"/>
        <w:tblCellMar>
          <w:top w:w="0" w:type="dxa"/>
          <w:left w:w="0" w:type="dxa"/>
          <w:bottom w:w="0" w:type="dxa"/>
          <w:right w:w="0" w:type="dxa"/>
        </w:tblCellMar>
      </w:tblPr>
      <w:tr>
        <w:trPr>
          <w:trHeight w:val="780"/>
        </w:trPr>
        <w:tc>
          <w:tcPr>
            <w:tcW w:w="172" w:type="dxa"/>
            <w:vAlign w:val="bottom"/>
            <w:textDirection w:val="btLr"/>
          </w:tcPr>
          <w:p>
            <w:pPr>
              <w:spacing w:after="0"/>
              <w:rPr>
                <w:sz w:val="20"/>
                <w:szCs w:val="20"/>
                <w:color w:val="auto"/>
              </w:rPr>
            </w:pPr>
            <w:r>
              <w:rPr>
                <w:rFonts w:ascii="Arial" w:cs="Arial" w:eastAsia="Arial" w:hAnsi="Arial"/>
                <w:sz w:val="15"/>
                <w:szCs w:val="15"/>
                <w:b w:val="1"/>
                <w:bCs w:val="1"/>
                <w:color w:val="FFFFFF"/>
              </w:rPr>
              <w:t>VARIABLE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960" w:type="dxa"/>
            <w:vAlign w:val="bottom"/>
          </w:tcPr>
          <w:p>
            <w:pPr>
              <w:spacing w:after="0"/>
              <w:rPr>
                <w:sz w:val="20"/>
                <w:szCs w:val="20"/>
                <w:color w:val="auto"/>
              </w:rPr>
            </w:pPr>
            <w:r>
              <w:rPr>
                <w:rFonts w:ascii="Arial" w:cs="Arial" w:eastAsia="Arial" w:hAnsi="Arial"/>
                <w:sz w:val="16"/>
                <w:szCs w:val="16"/>
                <w:b w:val="1"/>
                <w:bCs w:val="1"/>
                <w:color w:val="auto"/>
              </w:rPr>
              <w:t>Long-Term</w:t>
            </w: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189"/>
        </w:trPr>
        <w:tc>
          <w:tcPr>
            <w:tcW w:w="960" w:type="dxa"/>
            <w:vAlign w:val="bottom"/>
            <w:vMerge w:val="restart"/>
          </w:tcPr>
          <w:p>
            <w:pPr>
              <w:spacing w:after="0"/>
              <w:rPr>
                <w:sz w:val="20"/>
                <w:szCs w:val="20"/>
                <w:color w:val="auto"/>
              </w:rPr>
            </w:pPr>
            <w:r>
              <w:rPr>
                <w:rFonts w:ascii="Arial" w:cs="Arial" w:eastAsia="Arial" w:hAnsi="Arial"/>
                <w:sz w:val="16"/>
                <w:szCs w:val="16"/>
                <w:b w:val="1"/>
                <w:bCs w:val="1"/>
                <w:color w:val="auto"/>
              </w:rPr>
              <w:t>Incentive</w:t>
            </w:r>
          </w:p>
        </w:tc>
        <w:tc>
          <w:tcPr>
            <w:tcW w:w="1600" w:type="dxa"/>
            <w:vAlign w:val="bottom"/>
          </w:tcPr>
          <w:p>
            <w:pPr>
              <w:ind w:left="140"/>
              <w:spacing w:after="0"/>
              <w:rPr>
                <w:sz w:val="20"/>
                <w:szCs w:val="20"/>
                <w:color w:val="auto"/>
              </w:rPr>
            </w:pPr>
            <w:r>
              <w:rPr>
                <w:rFonts w:ascii="Arial" w:cs="Arial" w:eastAsia="Arial" w:hAnsi="Arial"/>
                <w:sz w:val="14"/>
                <w:szCs w:val="14"/>
                <w:b w:val="1"/>
                <w:bCs w:val="1"/>
                <w:color w:val="auto"/>
              </w:rPr>
              <w:t>Share Units (“PSUs”)</w:t>
            </w:r>
          </w:p>
        </w:tc>
        <w:tc>
          <w:tcPr>
            <w:tcW w:w="0" w:type="dxa"/>
            <w:vAlign w:val="bottom"/>
          </w:tcPr>
          <w:p>
            <w:pPr>
              <w:spacing w:after="0"/>
              <w:rPr>
                <w:sz w:val="1"/>
                <w:szCs w:val="1"/>
                <w:color w:val="auto"/>
              </w:rPr>
            </w:pPr>
          </w:p>
        </w:tc>
      </w:tr>
      <w:tr>
        <w:trPr>
          <w:trHeight w:val="60"/>
        </w:trPr>
        <w:tc>
          <w:tcPr>
            <w:tcW w:w="960" w:type="dxa"/>
            <w:vAlign w:val="bottom"/>
            <w:vMerge w:val="continue"/>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680" w:right="20"/>
        <w:spacing w:after="0" w:line="251" w:lineRule="auto"/>
        <w:rPr>
          <w:sz w:val="20"/>
          <w:szCs w:val="20"/>
          <w:color w:val="auto"/>
        </w:rPr>
      </w:pPr>
      <w:r>
        <w:rPr>
          <w:rFonts w:ascii="Arial" w:cs="Arial" w:eastAsia="Arial" w:hAnsi="Arial"/>
          <w:sz w:val="14"/>
          <w:szCs w:val="14"/>
          <w:color w:val="auto"/>
        </w:rPr>
        <w:t>of Long-Term Equity</w:t>
      </w:r>
    </w:p>
    <w:p>
      <w:pPr>
        <w:ind w:left="1680" w:hanging="585"/>
        <w:spacing w:after="0" w:line="185" w:lineRule="auto"/>
        <w:tabs>
          <w:tab w:leader="none" w:pos="1680" w:val="left"/>
        </w:tabs>
        <w:numPr>
          <w:ilvl w:val="0"/>
          <w:numId w:val="59"/>
        </w:numPr>
        <w:rPr>
          <w:rFonts w:ascii="Arial" w:cs="Arial" w:eastAsia="Arial" w:hAnsi="Arial"/>
          <w:sz w:val="20"/>
          <w:szCs w:val="20"/>
          <w:b w:val="1"/>
          <w:bCs w:val="1"/>
          <w:color w:val="auto"/>
          <w:vertAlign w:val="subscript"/>
        </w:rPr>
      </w:pPr>
      <w:r>
        <w:rPr>
          <w:rFonts w:ascii="Arial" w:cs="Arial" w:eastAsia="Arial" w:hAnsi="Arial"/>
          <w:sz w:val="12"/>
          <w:szCs w:val="12"/>
          <w:color w:val="auto"/>
        </w:rPr>
        <w:t>Incentive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hanging="130"/>
        <w:spacing w:after="0" w:line="263" w:lineRule="auto"/>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CHC Committee annually evaluates</w:t>
      </w:r>
      <w:r>
        <w:rPr>
          <w:rFonts w:ascii="Arial" w:cs="Arial" w:eastAsia="Arial" w:hAnsi="Arial"/>
          <w:sz w:val="14"/>
          <w:szCs w:val="14"/>
          <w:color w:val="F0533D"/>
        </w:rPr>
        <w:t xml:space="preserve"> </w:t>
      </w:r>
      <w:r>
        <w:rPr>
          <w:rFonts w:ascii="Arial" w:cs="Arial" w:eastAsia="Arial" w:hAnsi="Arial"/>
          <w:sz w:val="14"/>
          <w:szCs w:val="14"/>
          <w:color w:val="000000"/>
        </w:rPr>
        <w:t>a broad range of financial and non-financial metrics</w:t>
      </w:r>
    </w:p>
    <w:p>
      <w:pPr>
        <w:spacing w:after="0" w:line="24" w:lineRule="exact"/>
        <w:rPr>
          <w:sz w:val="20"/>
          <w:szCs w:val="20"/>
          <w:color w:val="auto"/>
        </w:rPr>
      </w:pPr>
    </w:p>
    <w:p>
      <w:pPr>
        <w:ind w:right="40" w:hanging="130"/>
        <w:spacing w:after="0" w:line="248" w:lineRule="auto"/>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Vesting of awards granted during</w:t>
      </w:r>
      <w:r>
        <w:rPr>
          <w:rFonts w:ascii="Arial" w:cs="Arial" w:eastAsia="Arial" w:hAnsi="Arial"/>
          <w:sz w:val="14"/>
          <w:szCs w:val="14"/>
          <w:color w:val="F0533D"/>
        </w:rPr>
        <w:t xml:space="preserve"> </w:t>
      </w:r>
      <w:r>
        <w:rPr>
          <w:rFonts w:ascii="Arial" w:cs="Arial" w:eastAsia="Arial" w:hAnsi="Arial"/>
          <w:sz w:val="14"/>
          <w:szCs w:val="14"/>
          <w:color w:val="000000"/>
        </w:rPr>
        <w:t>fiscal 2026 is tied to meeting a performance objective related to adjusted operating cash flow with a relative total shareholder return (“TSR”) modifier, over a three-year period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419" w:hanging="130"/>
        <w:spacing w:after="0" w:line="285" w:lineRule="auto"/>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Tie compensation to business</w:t>
      </w:r>
      <w:r>
        <w:rPr>
          <w:rFonts w:ascii="Arial" w:cs="Arial" w:eastAsia="Arial" w:hAnsi="Arial"/>
          <w:sz w:val="14"/>
          <w:szCs w:val="14"/>
          <w:color w:val="F0533D"/>
        </w:rPr>
        <w:t xml:space="preserve"> </w:t>
      </w:r>
      <w:r>
        <w:rPr>
          <w:rFonts w:ascii="Arial" w:cs="Arial" w:eastAsia="Arial" w:hAnsi="Arial"/>
          <w:sz w:val="14"/>
          <w:szCs w:val="14"/>
          <w:color w:val="000000"/>
        </w:rPr>
        <w:t>performance</w:t>
      </w:r>
    </w:p>
    <w:p>
      <w:pPr>
        <w:spacing w:after="0" w:line="9" w:lineRule="exact"/>
        <w:rPr>
          <w:sz w:val="20"/>
          <w:szCs w:val="20"/>
          <w:color w:val="auto"/>
        </w:rPr>
      </w:pPr>
    </w:p>
    <w:p>
      <w:pPr>
        <w:ind w:right="859" w:hanging="130"/>
        <w:spacing w:after="0" w:line="285" w:lineRule="auto"/>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Attract and retain high-performing talent</w:t>
      </w:r>
    </w:p>
    <w:p>
      <w:pPr>
        <w:spacing w:after="0" w:line="23" w:lineRule="exact"/>
        <w:rPr>
          <w:sz w:val="20"/>
          <w:szCs w:val="20"/>
          <w:color w:val="auto"/>
        </w:rPr>
      </w:pPr>
    </w:p>
    <w:p>
      <w:pPr>
        <w:ind w:right="279" w:hanging="130"/>
        <w:spacing w:after="0" w:line="285" w:lineRule="auto"/>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Align NEOs’ interests with those</w:t>
      </w:r>
      <w:r>
        <w:rPr>
          <w:rFonts w:ascii="Arial" w:cs="Arial" w:eastAsia="Arial" w:hAnsi="Arial"/>
          <w:sz w:val="14"/>
          <w:szCs w:val="14"/>
          <w:color w:val="F0533D"/>
        </w:rPr>
        <w:t xml:space="preserve"> </w:t>
      </w:r>
      <w:r>
        <w:rPr>
          <w:rFonts w:ascii="Arial" w:cs="Arial" w:eastAsia="Arial" w:hAnsi="Arial"/>
          <w:sz w:val="14"/>
          <w:szCs w:val="14"/>
          <w:color w:val="000000"/>
        </w:rPr>
        <w:t>of stockholders</w:t>
      </w:r>
    </w:p>
    <w:p>
      <w:pPr>
        <w:spacing w:after="0" w:line="684" w:lineRule="exact"/>
        <w:rPr>
          <w:sz w:val="20"/>
          <w:szCs w:val="20"/>
          <w:color w:val="auto"/>
        </w:rPr>
      </w:pPr>
    </w:p>
    <w:p>
      <w:pPr>
        <w:sectPr>
          <w:pgSz w:w="11900" w:h="16838" w:orient="portrait"/>
          <w:cols w:equalWidth="0" w:num="4">
            <w:col w:w="578" w:space="522"/>
            <w:col w:w="2560" w:space="400"/>
            <w:col w:w="2280" w:space="360"/>
            <w:col w:w="2319"/>
          </w:cols>
          <w:pgMar w:left="1440" w:top="114" w:right="1440" w:bottom="1440" w:gutter="0" w:footer="0" w:header="0"/>
          <w:type w:val="continuous"/>
        </w:sectPr>
      </w:pPr>
    </w:p>
    <w:tbl>
      <w:tblPr>
        <w:tblLayout w:type="fixed"/>
        <w:tblInd w:w="2200" w:type="dxa"/>
        <w:tblCellMar>
          <w:top w:w="0" w:type="dxa"/>
          <w:left w:w="0" w:type="dxa"/>
          <w:bottom w:w="0" w:type="dxa"/>
          <w:right w:w="0" w:type="dxa"/>
        </w:tblCellMar>
      </w:tblPr>
      <w:tr>
        <w:trPr>
          <w:trHeight w:val="162"/>
        </w:trPr>
        <w:tc>
          <w:tcPr>
            <w:tcW w:w="1580" w:type="dxa"/>
            <w:vAlign w:val="bottom"/>
          </w:tcPr>
          <w:p>
            <w:pPr>
              <w:spacing w:after="0"/>
              <w:rPr>
                <w:sz w:val="20"/>
                <w:szCs w:val="20"/>
                <w:color w:val="auto"/>
              </w:rPr>
            </w:pPr>
            <w:r>
              <w:rPr>
                <w:rFonts w:ascii="Arial" w:cs="Arial" w:eastAsia="Arial" w:hAnsi="Arial"/>
                <w:sz w:val="14"/>
                <w:szCs w:val="14"/>
                <w:b w:val="1"/>
                <w:bCs w:val="1"/>
                <w:color w:val="auto"/>
              </w:rPr>
              <w:t>Equity Restricted</w:t>
            </w:r>
          </w:p>
        </w:tc>
        <w:tc>
          <w:tcPr>
            <w:tcW w:w="2520" w:type="dxa"/>
            <w:vAlign w:val="bottom"/>
          </w:tcPr>
          <w:p>
            <w:pPr>
              <w:ind w:left="14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Vesting ratably over four years,</w:t>
            </w:r>
          </w:p>
        </w:tc>
        <w:tc>
          <w:tcPr>
            <w:tcW w:w="2440" w:type="dxa"/>
            <w:vAlign w:val="bottom"/>
          </w:tcPr>
          <w:p>
            <w:pPr>
              <w:ind w:left="26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Attract and retain high-</w:t>
            </w:r>
          </w:p>
        </w:tc>
        <w:tc>
          <w:tcPr>
            <w:tcW w:w="0" w:type="dxa"/>
            <w:vAlign w:val="bottom"/>
          </w:tcPr>
          <w:p>
            <w:pPr>
              <w:spacing w:after="0"/>
              <w:rPr>
                <w:sz w:val="1"/>
                <w:szCs w:val="1"/>
                <w:color w:val="auto"/>
              </w:rPr>
            </w:pPr>
          </w:p>
        </w:tc>
      </w:tr>
      <w:tr>
        <w:trPr>
          <w:trHeight w:val="176"/>
        </w:trPr>
        <w:tc>
          <w:tcPr>
            <w:tcW w:w="1580" w:type="dxa"/>
            <w:vAlign w:val="bottom"/>
          </w:tcPr>
          <w:p>
            <w:pPr>
              <w:spacing w:after="0"/>
              <w:rPr>
                <w:sz w:val="20"/>
                <w:szCs w:val="20"/>
                <w:color w:val="auto"/>
              </w:rPr>
            </w:pPr>
            <w:r>
              <w:rPr>
                <w:rFonts w:ascii="Arial" w:cs="Arial" w:eastAsia="Arial" w:hAnsi="Arial"/>
                <w:sz w:val="14"/>
                <w:szCs w:val="14"/>
                <w:b w:val="1"/>
                <w:bCs w:val="1"/>
                <w:color w:val="auto"/>
              </w:rPr>
              <w:t>Stock Units (“RSUs”)</w:t>
            </w:r>
          </w:p>
        </w:tc>
        <w:tc>
          <w:tcPr>
            <w:tcW w:w="2520" w:type="dxa"/>
            <w:vAlign w:val="bottom"/>
          </w:tcPr>
          <w:p>
            <w:pPr>
              <w:ind w:left="280"/>
              <w:spacing w:after="0"/>
              <w:rPr>
                <w:sz w:val="20"/>
                <w:szCs w:val="20"/>
                <w:color w:val="auto"/>
              </w:rPr>
            </w:pPr>
            <w:r>
              <w:rPr>
                <w:rFonts w:ascii="Arial" w:cs="Arial" w:eastAsia="Arial" w:hAnsi="Arial"/>
                <w:sz w:val="14"/>
                <w:szCs w:val="14"/>
                <w:color w:val="auto"/>
              </w:rPr>
              <w:t>subject to employment through</w:t>
            </w:r>
          </w:p>
        </w:tc>
        <w:tc>
          <w:tcPr>
            <w:tcW w:w="2440" w:type="dxa"/>
            <w:vAlign w:val="bottom"/>
          </w:tcPr>
          <w:p>
            <w:pPr>
              <w:ind w:left="400"/>
              <w:spacing w:after="0"/>
              <w:rPr>
                <w:sz w:val="20"/>
                <w:szCs w:val="20"/>
                <w:color w:val="auto"/>
              </w:rPr>
            </w:pPr>
            <w:r>
              <w:rPr>
                <w:rFonts w:ascii="Arial" w:cs="Arial" w:eastAsia="Arial" w:hAnsi="Arial"/>
                <w:sz w:val="14"/>
                <w:szCs w:val="14"/>
                <w:color w:val="auto"/>
              </w:rPr>
              <w:t>performing talent</w:t>
            </w:r>
          </w:p>
        </w:tc>
        <w:tc>
          <w:tcPr>
            <w:tcW w:w="0" w:type="dxa"/>
            <w:vAlign w:val="bottom"/>
          </w:tcPr>
          <w:p>
            <w:pPr>
              <w:spacing w:after="0"/>
              <w:rPr>
                <w:sz w:val="1"/>
                <w:szCs w:val="1"/>
                <w:color w:val="auto"/>
              </w:rPr>
            </w:pPr>
          </w:p>
        </w:tc>
      </w:tr>
      <w:tr>
        <w:trPr>
          <w:trHeight w:val="190"/>
        </w:trPr>
        <w:tc>
          <w:tcPr>
            <w:tcW w:w="1580" w:type="dxa"/>
            <w:vAlign w:val="bottom"/>
            <w:vMerge w:val="restart"/>
          </w:tcPr>
          <w:p>
            <w:pPr>
              <w:ind w:left="580"/>
              <w:spacing w:after="0"/>
              <w:rPr>
                <w:sz w:val="20"/>
                <w:szCs w:val="20"/>
                <w:color w:val="auto"/>
              </w:rPr>
            </w:pPr>
            <w:r>
              <w:rPr>
                <w:rFonts w:ascii="Arial" w:cs="Arial" w:eastAsia="Arial" w:hAnsi="Arial"/>
                <w:sz w:val="14"/>
                <w:szCs w:val="14"/>
                <w:color w:val="auto"/>
              </w:rPr>
              <w:t>of Long-Term</w:t>
            </w:r>
          </w:p>
        </w:tc>
        <w:tc>
          <w:tcPr>
            <w:tcW w:w="2520" w:type="dxa"/>
            <w:vAlign w:val="bottom"/>
          </w:tcPr>
          <w:p>
            <w:pPr>
              <w:ind w:left="280"/>
              <w:spacing w:after="0"/>
              <w:rPr>
                <w:sz w:val="20"/>
                <w:szCs w:val="20"/>
                <w:color w:val="auto"/>
              </w:rPr>
            </w:pPr>
            <w:r>
              <w:rPr>
                <w:rFonts w:ascii="Arial" w:cs="Arial" w:eastAsia="Arial" w:hAnsi="Arial"/>
                <w:sz w:val="14"/>
                <w:szCs w:val="14"/>
                <w:color w:val="auto"/>
              </w:rPr>
              <w:t>each applicable vesting date</w:t>
            </w:r>
          </w:p>
        </w:tc>
        <w:tc>
          <w:tcPr>
            <w:tcW w:w="2440" w:type="dxa"/>
            <w:vAlign w:val="bottom"/>
            <w:vMerge w:val="restart"/>
          </w:tcPr>
          <w:p>
            <w:pPr>
              <w:ind w:left="260"/>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 xml:space="preserve">  Align NEOs’ interests with those</w:t>
            </w:r>
          </w:p>
        </w:tc>
        <w:tc>
          <w:tcPr>
            <w:tcW w:w="0" w:type="dxa"/>
            <w:vAlign w:val="bottom"/>
          </w:tcPr>
          <w:p>
            <w:pPr>
              <w:spacing w:after="0"/>
              <w:rPr>
                <w:sz w:val="1"/>
                <w:szCs w:val="1"/>
                <w:color w:val="auto"/>
              </w:rPr>
            </w:pPr>
          </w:p>
        </w:tc>
      </w:tr>
      <w:tr>
        <w:trPr>
          <w:trHeight w:val="39"/>
        </w:trPr>
        <w:tc>
          <w:tcPr>
            <w:tcW w:w="1580" w:type="dxa"/>
            <w:vAlign w:val="bottom"/>
            <w:vMerge w:val="continue"/>
          </w:tcPr>
          <w:p>
            <w:pPr>
              <w:spacing w:after="0"/>
              <w:rPr>
                <w:sz w:val="3"/>
                <w:szCs w:val="3"/>
                <w:color w:val="auto"/>
              </w:rPr>
            </w:pPr>
          </w:p>
        </w:tc>
        <w:tc>
          <w:tcPr>
            <w:tcW w:w="2520" w:type="dxa"/>
            <w:vAlign w:val="bottom"/>
          </w:tcPr>
          <w:p>
            <w:pPr>
              <w:spacing w:after="0"/>
              <w:rPr>
                <w:sz w:val="3"/>
                <w:szCs w:val="3"/>
                <w:color w:val="auto"/>
              </w:rPr>
            </w:pPr>
          </w:p>
        </w:tc>
        <w:tc>
          <w:tcPr>
            <w:tcW w:w="24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1"/>
        </w:trPr>
        <w:tc>
          <w:tcPr>
            <w:tcW w:w="1580" w:type="dxa"/>
            <w:vAlign w:val="bottom"/>
            <w:vMerge w:val="continue"/>
          </w:tcPr>
          <w:p>
            <w:pPr>
              <w:spacing w:after="0"/>
              <w:rPr>
                <w:sz w:val="7"/>
                <w:szCs w:val="7"/>
                <w:color w:val="auto"/>
              </w:rPr>
            </w:pPr>
          </w:p>
        </w:tc>
        <w:tc>
          <w:tcPr>
            <w:tcW w:w="2520" w:type="dxa"/>
            <w:vAlign w:val="bottom"/>
          </w:tcPr>
          <w:p>
            <w:pPr>
              <w:spacing w:after="0"/>
              <w:rPr>
                <w:sz w:val="7"/>
                <w:szCs w:val="7"/>
                <w:color w:val="auto"/>
              </w:rPr>
            </w:pPr>
          </w:p>
        </w:tc>
        <w:tc>
          <w:tcPr>
            <w:tcW w:w="2440" w:type="dxa"/>
            <w:vAlign w:val="bottom"/>
            <w:vMerge w:val="restart"/>
          </w:tcPr>
          <w:p>
            <w:pPr>
              <w:ind w:left="400"/>
              <w:spacing w:after="0"/>
              <w:rPr>
                <w:sz w:val="20"/>
                <w:szCs w:val="20"/>
                <w:color w:val="auto"/>
              </w:rPr>
            </w:pPr>
            <w:r>
              <w:rPr>
                <w:rFonts w:ascii="Arial" w:cs="Arial" w:eastAsia="Arial" w:hAnsi="Arial"/>
                <w:sz w:val="14"/>
                <w:szCs w:val="14"/>
                <w:color w:val="auto"/>
              </w:rPr>
              <w:t>of stockholders</w:t>
            </w:r>
          </w:p>
        </w:tc>
        <w:tc>
          <w:tcPr>
            <w:tcW w:w="0" w:type="dxa"/>
            <w:vAlign w:val="bottom"/>
          </w:tcPr>
          <w:p>
            <w:pPr>
              <w:spacing w:after="0"/>
              <w:rPr>
                <w:sz w:val="1"/>
                <w:szCs w:val="1"/>
                <w:color w:val="auto"/>
              </w:rPr>
            </w:pPr>
          </w:p>
        </w:tc>
      </w:tr>
      <w:tr>
        <w:trPr>
          <w:trHeight w:val="109"/>
        </w:trPr>
        <w:tc>
          <w:tcPr>
            <w:tcW w:w="1580" w:type="dxa"/>
            <w:vAlign w:val="bottom"/>
            <w:vMerge w:val="restart"/>
          </w:tcPr>
          <w:p>
            <w:pPr>
              <w:ind w:left="580"/>
              <w:spacing w:after="0"/>
              <w:rPr>
                <w:sz w:val="20"/>
                <w:szCs w:val="20"/>
                <w:color w:val="auto"/>
              </w:rPr>
            </w:pPr>
            <w:r>
              <w:rPr>
                <w:rFonts w:ascii="Arial" w:cs="Arial" w:eastAsia="Arial" w:hAnsi="Arial"/>
                <w:sz w:val="14"/>
                <w:szCs w:val="14"/>
                <w:color w:val="auto"/>
              </w:rPr>
              <w:t>Equity</w:t>
            </w:r>
          </w:p>
        </w:tc>
        <w:tc>
          <w:tcPr>
            <w:tcW w:w="25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580" w:type="dxa"/>
            <w:vAlign w:val="bottom"/>
            <w:vMerge w:val="continue"/>
          </w:tcPr>
          <w:p>
            <w:pPr>
              <w:spacing w:after="0"/>
              <w:rPr>
                <w:sz w:val="5"/>
                <w:szCs w:val="5"/>
                <w:color w:val="auto"/>
              </w:rPr>
            </w:pPr>
          </w:p>
        </w:tc>
        <w:tc>
          <w:tcPr>
            <w:tcW w:w="25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2780" w:hanging="585"/>
        <w:spacing w:after="0" w:line="183" w:lineRule="auto"/>
        <w:tabs>
          <w:tab w:leader="none" w:pos="2780" w:val="left"/>
        </w:tabs>
        <w:numPr>
          <w:ilvl w:val="0"/>
          <w:numId w:val="60"/>
        </w:numPr>
        <w:rPr>
          <w:rFonts w:ascii="Arial" w:cs="Arial" w:eastAsia="Arial" w:hAnsi="Arial"/>
          <w:sz w:val="20"/>
          <w:szCs w:val="20"/>
          <w:b w:val="1"/>
          <w:bCs w:val="1"/>
          <w:color w:val="auto"/>
          <w:vertAlign w:val="subscript"/>
        </w:rPr>
      </w:pPr>
      <w:r>
        <w:rPr>
          <w:rFonts w:ascii="Arial" w:cs="Arial" w:eastAsia="Arial" w:hAnsi="Arial"/>
          <w:sz w:val="12"/>
          <w:szCs w:val="12"/>
          <w:color w:val="auto"/>
        </w:rPr>
        <w:t>Incentive</w:t>
      </w:r>
    </w:p>
    <w:p>
      <w:pPr>
        <w:spacing w:after="0" w:line="216"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color w:val="auto"/>
        </w:rPr>
        <w:t>In addition, our CHC Committee determined that it is appropriate to provide the NEOs with benefits generally available to all employees and certain limited perquisites the CHC Committee determined were necessary to perform their duties efficiently and minimize distractions. See “— Other Compensation”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184785</wp:posOffset>
            </wp:positionV>
            <wp:extent cx="213995" cy="342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Fiscal 2026 Developments</w:t>
      </w:r>
    </w:p>
    <w:p>
      <w:pPr>
        <w:spacing w:after="0" w:line="156" w:lineRule="exact"/>
        <w:rPr>
          <w:sz w:val="20"/>
          <w:szCs w:val="20"/>
          <w:color w:val="auto"/>
        </w:rPr>
      </w:pPr>
    </w:p>
    <w:p>
      <w:pPr>
        <w:ind w:left="80" w:right="99"/>
        <w:spacing w:after="0" w:line="239" w:lineRule="auto"/>
        <w:rPr>
          <w:sz w:val="20"/>
          <w:szCs w:val="20"/>
          <w:color w:val="auto"/>
        </w:rPr>
      </w:pPr>
      <w:r>
        <w:rPr>
          <w:rFonts w:ascii="Arial" w:cs="Arial" w:eastAsia="Arial" w:hAnsi="Arial"/>
          <w:sz w:val="17"/>
          <w:szCs w:val="17"/>
          <w:color w:val="auto"/>
        </w:rPr>
        <w:t>We regularly review our compensation program to ensure that it continues to fit our stage of development as an independent company since the Company’s spin-off from our former parent company (“Spin-off”). During its annual review for fiscal 2026, the CHC Committee considered market data, Company performance and our business strategy. The CHC Committee’s principal objectives were to reinforce pay-for-performance, increase the emphasis on long-term value creation and retain the leadership team responsible for executing the Company’s multi-year growth strategy.</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Driving Value Creation with Fiscal 2026 Long-Term Equity Incentive Design Changes</w:t>
      </w:r>
    </w:p>
    <w:p>
      <w:pPr>
        <w:spacing w:after="0" w:line="154" w:lineRule="exact"/>
        <w:rPr>
          <w:sz w:val="20"/>
          <w:szCs w:val="20"/>
          <w:color w:val="auto"/>
        </w:rPr>
      </w:pPr>
    </w:p>
    <w:p>
      <w:pPr>
        <w:ind w:left="80" w:right="99"/>
        <w:spacing w:after="0" w:line="239" w:lineRule="auto"/>
        <w:rPr>
          <w:sz w:val="20"/>
          <w:szCs w:val="20"/>
          <w:color w:val="auto"/>
        </w:rPr>
      </w:pPr>
      <w:r>
        <w:rPr>
          <w:rFonts w:ascii="Arial" w:cs="Arial" w:eastAsia="Arial" w:hAnsi="Arial"/>
          <w:sz w:val="17"/>
          <w:szCs w:val="17"/>
          <w:color w:val="auto"/>
        </w:rPr>
        <w:t>To support those objectives, the CHC Committee revised the PSU design for fiscal 2026. Under the revised design, potential PSU payout is based on our cumulative three-year adjusted operating cash flow, subject to a relative TSR modifier assessed against the companies in the S&amp;P MidCap 400 Index, which can increase or decrease the ultimate payout. The CHC Committee also increased the maximum PSU payout opportunity from 150% to 180% of target, with the maximum payout requiring both strong adjusted operating cash flow performance and relative TSR at or above the 75th percentile.</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5" w:name="page46"/>
    <w:bookmarkEnd w:id="4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102870</wp:posOffset>
            </wp:positionV>
            <wp:extent cx="5203190" cy="23056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203190"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right="119"/>
        <w:spacing w:after="0" w:line="239" w:lineRule="auto"/>
        <w:rPr>
          <w:sz w:val="20"/>
          <w:szCs w:val="20"/>
          <w:color w:val="auto"/>
        </w:rPr>
      </w:pPr>
      <w:r>
        <w:rPr>
          <w:rFonts w:ascii="Arial" w:cs="Arial" w:eastAsia="Arial" w:hAnsi="Arial"/>
          <w:sz w:val="17"/>
          <w:szCs w:val="17"/>
          <w:color w:val="auto"/>
        </w:rPr>
        <w:t>The CHC Committee believes the revised design strengthens long-term pay-for-performance alignment by sharpening the focus on a key strategic metric that is central to the Company’s growth strategy, margin expansion and cash generation and that the CHC Committee believes will have the most impact on driving long-term performance. The CHC Committee also believes the design is easier for investors to evaluate because it reduces the number of metrics and eliminates total signings, which the CHC Committee no longer views as the most useful long-term measure for this phase of the Company’s strategy.</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Retaining and Motivating Executive Officers and Fiscal 2026 Compensation</w:t>
      </w:r>
    </w:p>
    <w:p>
      <w:pPr>
        <w:spacing w:after="0" w:line="154" w:lineRule="exact"/>
        <w:rPr>
          <w:sz w:val="20"/>
          <w:szCs w:val="20"/>
          <w:color w:val="auto"/>
        </w:rPr>
      </w:pPr>
    </w:p>
    <w:p>
      <w:pPr>
        <w:ind w:left="80" w:right="79"/>
        <w:spacing w:after="0" w:line="239" w:lineRule="auto"/>
        <w:rPr>
          <w:sz w:val="20"/>
          <w:szCs w:val="20"/>
          <w:color w:val="auto"/>
        </w:rPr>
      </w:pPr>
      <w:r>
        <w:rPr>
          <w:rFonts w:ascii="Arial" w:cs="Arial" w:eastAsia="Arial" w:hAnsi="Arial"/>
          <w:sz w:val="17"/>
          <w:szCs w:val="17"/>
          <w:color w:val="auto"/>
        </w:rPr>
        <w:t>At the beginning of fiscal 2026, and with input from its independent compensation consultant, the CHC Committee concluded that targeted compensation adjustments were appropriate to reflect the scale of performance achieved since the Spin-off, the scope of the leadership team’s responsibilities, and the competitive market for executive talent. The CHC Committee viewed those adjustments as necessary to retain the executives responsible for executing Kyndryl’s multi-year growth strategy, while continuing to deliver the vast majority of compensation in performance and equity-based forms.</w:t>
      </w:r>
    </w:p>
    <w:p>
      <w:pPr>
        <w:spacing w:after="0" w:line="128" w:lineRule="exact"/>
        <w:rPr>
          <w:sz w:val="20"/>
          <w:szCs w:val="20"/>
          <w:color w:val="auto"/>
        </w:rPr>
      </w:pPr>
    </w:p>
    <w:p>
      <w:pPr>
        <w:ind w:left="80" w:right="99"/>
        <w:spacing w:after="0" w:line="234" w:lineRule="auto"/>
        <w:rPr>
          <w:sz w:val="20"/>
          <w:szCs w:val="20"/>
          <w:color w:val="auto"/>
        </w:rPr>
      </w:pPr>
      <w:r>
        <w:rPr>
          <w:rFonts w:ascii="Arial" w:cs="Arial" w:eastAsia="Arial" w:hAnsi="Arial"/>
          <w:sz w:val="17"/>
          <w:szCs w:val="17"/>
          <w:color w:val="auto"/>
        </w:rPr>
        <w:t>For Mr. Schroeter, the independent members of the Board, with input from the independent compensation consultant, increased his total target direct compensation to better reflect his responsibilities, his experience in the CEO role and leadership in advancing the Company’s strategic priorities, Kyndryl’s post-spin size and complexity, and competitive market positioning. The revised package remained heavily weighted toward at-risk compensation, with 94% of target pay being variable, and consisted of a $1,450,000 base salary, a target annual bonus of 225% of salary and a target long-term incentive award of $18 million, of which 65% is PSUs. In determining to increase Mr. Schroeter’s compensation for fiscal 2026, the independent members of the Board specifically took into consideration (1) the Company’s significant progress since the Spin-off through the beginning of fiscal 2026 in executing the Company’s strategy centered around building our capabilities, skills, partnerships and innovation to drive sustainable growth, as reflected in the Company’s financial progress through fiscal 2025 and (2) the vesting of PSUs that were awarded shortly after the Spin-off in order to motivate long-term value creation, ensure retention of high-performing talent and further align the interests of Kyndryl’s executives with those of Kyndryl’s stockholders following the Spin-off (“Launch PSUs”). In particular, the CHC Committee considered that the Launch PSUs, which had been previously considered as part of Mr. Schroeter’s ongoing compensation on an annualized basis, vested during the latter half of fiscal 2025, which resulted in below-market positioning of Mr. Schroeter’s target compensation at the start of fiscal 2026.</w:t>
      </w:r>
    </w:p>
    <w:p>
      <w:pPr>
        <w:spacing w:after="0" w:line="138"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The CHC Committee also approved limited one-time RSU awards for select senior executives for business continuity and leadership in key areas and growth opportunities, including Messrs. Chugh, Keinan and Khurana. These awards, which will cliff vest 100% on the third anniversary of the date of grant, were intended to provide retention value through a defined execution period and to support continuity in the senior leadership team; they were not part of the Company’s annual long-term incentive program.</w:t>
      </w:r>
    </w:p>
    <w:p>
      <w:pPr>
        <w:spacing w:after="0" w:line="126" w:lineRule="exact"/>
        <w:rPr>
          <w:sz w:val="20"/>
          <w:szCs w:val="20"/>
          <w:color w:val="auto"/>
        </w:rPr>
      </w:pPr>
    </w:p>
    <w:p>
      <w:pPr>
        <w:ind w:left="80" w:right="419"/>
        <w:spacing w:after="0" w:line="249" w:lineRule="auto"/>
        <w:rPr>
          <w:sz w:val="20"/>
          <w:szCs w:val="20"/>
          <w:color w:val="auto"/>
        </w:rPr>
      </w:pPr>
      <w:r>
        <w:rPr>
          <w:rFonts w:ascii="Arial" w:cs="Arial" w:eastAsia="Arial" w:hAnsi="Arial"/>
          <w:sz w:val="17"/>
          <w:szCs w:val="17"/>
          <w:color w:val="auto"/>
        </w:rPr>
        <w:t>In connection with the appointments of Messrs. Chugh and Ringes in their roles as Interim Chief Financial Officer and Interim General Counsel, respectively, the CHC Committee approved one-time RSU awards that vest after six months from the date of grant, together with supplemental monthly cash bonus payments during the interim</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99"/>
        <w:spacing w:after="0" w:line="249" w:lineRule="auto"/>
        <w:rPr>
          <w:sz w:val="20"/>
          <w:szCs w:val="20"/>
          <w:color w:val="auto"/>
        </w:rPr>
      </w:pPr>
      <w:r>
        <w:rPr>
          <w:rFonts w:ascii="Arial" w:cs="Arial" w:eastAsia="Arial" w:hAnsi="Arial"/>
          <w:sz w:val="17"/>
          <w:szCs w:val="17"/>
          <w:color w:val="auto"/>
        </w:rPr>
        <w:t>service period. The CHC Committee considered guidance from the independent compensation consultant regarding typical practices in similar situations and viewed this compensation as appropriate to recognize the added responsibilities and support continuity during the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176530</wp:posOffset>
            </wp:positionV>
            <wp:extent cx="213995"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Fiscal 2026 Performance Highlights</w:t>
      </w:r>
    </w:p>
    <w:p>
      <w:pPr>
        <w:spacing w:after="0" w:line="156" w:lineRule="exact"/>
        <w:rPr>
          <w:sz w:val="20"/>
          <w:szCs w:val="20"/>
          <w:color w:val="auto"/>
        </w:rPr>
      </w:pPr>
    </w:p>
    <w:p>
      <w:pPr>
        <w:ind w:left="80" w:right="99"/>
        <w:spacing w:after="0" w:line="237" w:lineRule="auto"/>
        <w:rPr>
          <w:sz w:val="20"/>
          <w:szCs w:val="20"/>
          <w:color w:val="auto"/>
        </w:rPr>
      </w:pPr>
      <w:r>
        <w:rPr>
          <w:rFonts w:ascii="Arial" w:cs="Arial" w:eastAsia="Arial" w:hAnsi="Arial"/>
          <w:sz w:val="17"/>
          <w:szCs w:val="17"/>
          <w:color w:val="auto"/>
        </w:rPr>
        <w:t>In fiscal 2026, Kyndryl’s fourth full fiscal year operating as an independent company, the Company continued to execute on its strategic priorities. Since Kyndryl became an independent company, we have built a strong foundation for our business with our “three A’s” initiatives – Alliances, Advanced Delivery and Accounts – that have propelled the Company’s progress and have become a core part of our operational discipline that enable us to adapt to customer needs, enhance operational efficiency and accelerate investments in our growth. In addition to the benefits from those initiatives, in fiscal 2026, the Company continued to invest in Kyndryl Consult, our advisory and implementation services, our alliance partners and agentic AI capabilities, strengthening our position to deliver meaningful business outcomes for our customers.</w:t>
      </w:r>
    </w:p>
    <w:p>
      <w:pPr>
        <w:spacing w:after="0" w:line="130" w:lineRule="exact"/>
        <w:rPr>
          <w:sz w:val="20"/>
          <w:szCs w:val="20"/>
          <w:color w:val="auto"/>
        </w:rPr>
      </w:pPr>
    </w:p>
    <w:p>
      <w:pPr>
        <w:ind w:left="80" w:right="219"/>
        <w:spacing w:after="0" w:line="267" w:lineRule="auto"/>
        <w:rPr>
          <w:sz w:val="20"/>
          <w:szCs w:val="20"/>
          <w:color w:val="auto"/>
        </w:rPr>
      </w:pPr>
      <w:r>
        <w:rPr>
          <w:rFonts w:ascii="Arial" w:cs="Arial" w:eastAsia="Arial" w:hAnsi="Arial"/>
          <w:sz w:val="17"/>
          <w:szCs w:val="17"/>
          <w:color w:val="auto"/>
        </w:rPr>
        <w:t>For fiscal 2026, the Company achieved the following with respect to the performance metrics used for our executive compensation program:</w:t>
      </w:r>
    </w:p>
    <w:p>
      <w:pPr>
        <w:spacing w:after="0" w:line="65" w:lineRule="exact"/>
        <w:rPr>
          <w:sz w:val="20"/>
          <w:szCs w:val="20"/>
          <w:color w:val="auto"/>
        </w:rPr>
      </w:pPr>
    </w:p>
    <w:p>
      <w:pPr>
        <w:ind w:left="900" w:right="99" w:hanging="356"/>
        <w:spacing w:after="0" w:line="212" w:lineRule="auto"/>
        <w:tabs>
          <w:tab w:leader="none" w:pos="900" w:val="left"/>
        </w:tabs>
        <w:numPr>
          <w:ilvl w:val="0"/>
          <w:numId w:val="61"/>
        </w:numPr>
        <w:rPr>
          <w:rFonts w:ascii="Arial" w:cs="Arial" w:eastAsia="Arial" w:hAnsi="Arial"/>
          <w:sz w:val="34"/>
          <w:szCs w:val="34"/>
          <w:color w:val="F0533D"/>
          <w:vertAlign w:val="superscript"/>
        </w:rPr>
      </w:pPr>
      <w:r>
        <w:rPr>
          <w:rFonts w:ascii="Arial" w:cs="Arial" w:eastAsia="Arial" w:hAnsi="Arial"/>
          <w:sz w:val="17"/>
          <w:szCs w:val="17"/>
          <w:color w:val="auto"/>
        </w:rPr>
        <w:t>Revenues of $15.1 billion, flat on a reported basis and a 3% decrease on a constant currency basis,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compared to fiscal 2025. Total signings of $13.5 billion, compared to $18.2 billion in fiscal 2025. This performance reflects an environment with elongated sales cycles that have weighed on our revenue and signings performance. In addition, the Company’s proactive, strategic actions to reduce certain low-margin revenue streams to strengthen margins and overall profitability in connection with our Accounts initiative have also impacted revenue.</w:t>
      </w:r>
    </w:p>
    <w:p>
      <w:pPr>
        <w:spacing w:after="0" w:line="78" w:lineRule="exact"/>
        <w:rPr>
          <w:rFonts w:ascii="Arial" w:cs="Arial" w:eastAsia="Arial" w:hAnsi="Arial"/>
          <w:sz w:val="34"/>
          <w:szCs w:val="34"/>
          <w:color w:val="F0533D"/>
          <w:vertAlign w:val="superscript"/>
        </w:rPr>
      </w:pPr>
    </w:p>
    <w:p>
      <w:pPr>
        <w:ind w:left="900" w:hanging="356"/>
        <w:spacing w:after="0"/>
        <w:tabs>
          <w:tab w:leader="none" w:pos="900" w:val="left"/>
        </w:tabs>
        <w:numPr>
          <w:ilvl w:val="0"/>
          <w:numId w:val="61"/>
        </w:numPr>
        <w:rPr>
          <w:rFonts w:ascii="Arial" w:cs="Arial" w:eastAsia="Arial" w:hAnsi="Arial"/>
          <w:sz w:val="34"/>
          <w:szCs w:val="34"/>
          <w:color w:val="F0533D"/>
          <w:vertAlign w:val="superscript"/>
        </w:rPr>
      </w:pPr>
      <w:r>
        <w:rPr>
          <w:rFonts w:ascii="Arial" w:cs="Arial" w:eastAsia="Arial" w:hAnsi="Arial"/>
          <w:sz w:val="17"/>
          <w:szCs w:val="17"/>
          <w:color w:val="auto"/>
        </w:rPr>
        <w:t>Adjusted EBITDA of $2.7 billion,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compared to adjusted EBITDA of $2.5 billion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fiscal 2025.</w:t>
      </w:r>
    </w:p>
    <w:p>
      <w:pPr>
        <w:spacing w:after="0" w:line="24" w:lineRule="exact"/>
        <w:rPr>
          <w:rFonts w:ascii="Arial" w:cs="Arial" w:eastAsia="Arial" w:hAnsi="Arial"/>
          <w:sz w:val="34"/>
          <w:szCs w:val="34"/>
          <w:color w:val="F0533D"/>
          <w:vertAlign w:val="superscript"/>
        </w:rPr>
      </w:pPr>
    </w:p>
    <w:p>
      <w:pPr>
        <w:ind w:left="900" w:right="99" w:hanging="356"/>
        <w:spacing w:after="0" w:line="180" w:lineRule="auto"/>
        <w:tabs>
          <w:tab w:leader="none" w:pos="900" w:val="left"/>
        </w:tabs>
        <w:numPr>
          <w:ilvl w:val="0"/>
          <w:numId w:val="61"/>
        </w:numPr>
        <w:rPr>
          <w:rFonts w:ascii="Arial" w:cs="Arial" w:eastAsia="Arial" w:hAnsi="Arial"/>
          <w:sz w:val="30"/>
          <w:szCs w:val="30"/>
          <w:color w:val="F0533D"/>
          <w:vertAlign w:val="superscript"/>
        </w:rPr>
      </w:pPr>
      <w:r>
        <w:rPr>
          <w:rFonts w:ascii="Arial" w:cs="Arial" w:eastAsia="Arial" w:hAnsi="Arial"/>
          <w:sz w:val="16"/>
          <w:szCs w:val="16"/>
          <w:color w:val="auto"/>
        </w:rPr>
        <w:t>Adjusted operating cash flow of $963 million,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compared to adjusted operating cash flow of $968 million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in fiscal 2025.</w:t>
      </w:r>
    </w:p>
    <w:p>
      <w:pPr>
        <w:spacing w:after="0" w:line="127" w:lineRule="exact"/>
        <w:rPr>
          <w:sz w:val="20"/>
          <w:szCs w:val="20"/>
          <w:color w:val="auto"/>
        </w:rPr>
      </w:pPr>
    </w:p>
    <w:p>
      <w:pPr>
        <w:ind w:left="80" w:right="499"/>
        <w:spacing w:after="0" w:line="244" w:lineRule="auto"/>
        <w:rPr>
          <w:sz w:val="20"/>
          <w:szCs w:val="20"/>
          <w:color w:val="auto"/>
        </w:rPr>
      </w:pPr>
      <w:r>
        <w:rPr>
          <w:rFonts w:ascii="Arial" w:cs="Arial" w:eastAsia="Arial" w:hAnsi="Arial"/>
          <w:sz w:val="17"/>
          <w:szCs w:val="17"/>
          <w:color w:val="auto"/>
        </w:rPr>
        <w:t>In addition, the Company achieved key corporate citizenship objectives related to supporting environmental stewardship, fostering employee engagement and continuing to develop our culture, systems and platforms that promote good governance practices on key Company-wide planning and training activities. See “Corporate Citizenship at Kyndryl” for a discussion of our corporate citizenship goals to further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92075</wp:posOffset>
            </wp:positionV>
            <wp:extent cx="123444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29" w:lineRule="exact"/>
        <w:rPr>
          <w:sz w:val="20"/>
          <w:szCs w:val="20"/>
          <w:color w:val="auto"/>
        </w:rPr>
      </w:pPr>
    </w:p>
    <w:p>
      <w:pPr>
        <w:ind w:left="540" w:right="179" w:hanging="356"/>
        <w:spacing w:after="0"/>
        <w:tabs>
          <w:tab w:leader="none" w:pos="5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evaluate performance in a manner consistent with how management evaluates our operating results and trends, the CHC Committee applies certain financial metrics that are not calculated based on generally accepted accounting principles in the United States (“GAAP”) as compensation performance measures for the long-term and annual incentive awards. Revenue performance on a constant currency basis, adjusted EBITDA and adjusted operating cash flow are non-GAAP financial measures. For definitions of constant currency and adjusted EBITDA and a reconciliation of adjusted EBITDA to net loss, see Part II, Item 7. “Management’s Discussion and Analysis of Financial Condition and Results of Operations — Segment Results” in our Fiscal 2026 Form 10-K. For the definition of adjusted operating cash flow and a reconciliation of adjusted operating cash flow to cash flow from operating activities, see our fourth quarter and full-year 2026 earnings release.</w:t>
      </w:r>
    </w:p>
    <w:p>
      <w:pPr>
        <w:spacing w:after="0" w:line="31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Fiscal 2026 Target Compensation Mix</w:t>
      </w:r>
    </w:p>
    <w:p>
      <w:pPr>
        <w:spacing w:after="0" w:line="156" w:lineRule="exact"/>
        <w:rPr>
          <w:sz w:val="20"/>
          <w:szCs w:val="20"/>
          <w:color w:val="auto"/>
        </w:rPr>
      </w:pPr>
    </w:p>
    <w:p>
      <w:pPr>
        <w:ind w:left="80" w:right="199"/>
        <w:spacing w:after="0" w:line="249" w:lineRule="auto"/>
        <w:rPr>
          <w:sz w:val="20"/>
          <w:szCs w:val="20"/>
          <w:color w:val="auto"/>
        </w:rPr>
      </w:pPr>
      <w:r>
        <w:rPr>
          <w:rFonts w:ascii="Arial" w:cs="Arial" w:eastAsia="Arial" w:hAnsi="Arial"/>
          <w:sz w:val="17"/>
          <w:szCs w:val="17"/>
          <w:color w:val="auto"/>
        </w:rPr>
        <w:t>Consistent with our compensation philosophy, NEO compensation is weighted toward long-term and performance-based pay. The following pie charts show the fiscal 2026 target annual compensation mix for our CEO and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2113915</wp:posOffset>
            </wp:positionV>
            <wp:extent cx="213995"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13995" cy="342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193675</wp:posOffset>
            </wp:positionV>
            <wp:extent cx="4320540" cy="17227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32054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Our Executive Compensation Best Practices</w:t>
      </w:r>
    </w:p>
    <w:p>
      <w:pPr>
        <w:spacing w:after="0" w:line="156" w:lineRule="exact"/>
        <w:rPr>
          <w:sz w:val="20"/>
          <w:szCs w:val="20"/>
          <w:color w:val="auto"/>
        </w:rPr>
      </w:pPr>
    </w:p>
    <w:p>
      <w:pPr>
        <w:ind w:left="80" w:right="239"/>
        <w:spacing w:after="0" w:line="249" w:lineRule="auto"/>
        <w:rPr>
          <w:sz w:val="20"/>
          <w:szCs w:val="20"/>
          <w:color w:val="auto"/>
        </w:rPr>
      </w:pPr>
      <w:r>
        <w:rPr>
          <w:rFonts w:ascii="Arial" w:cs="Arial" w:eastAsia="Arial" w:hAnsi="Arial"/>
          <w:sz w:val="17"/>
          <w:szCs w:val="17"/>
          <w:color w:val="auto"/>
        </w:rPr>
        <w:t>Our CHC Committee reviews the executive compensation program on an ongoing basis to evaluate whether it continues to support the Company’s compensation philosophy and objectives and remains aligned with stockholder interests. The practices summarized below are intended to reinforce those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81915</wp:posOffset>
            </wp:positionV>
            <wp:extent cx="5623560" cy="6858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623560" cy="6858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F0533D"/>
        </w:rPr>
        <w:t>What We Do</w:t>
      </w:r>
    </w:p>
    <w:p>
      <w:pPr>
        <w:spacing w:after="0" w:line="43"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F0533D"/>
        </w:rPr>
        <w:t> </w:t>
      </w:r>
    </w:p>
    <w:p>
      <w:pPr>
        <w:spacing w:after="0" w:line="276" w:lineRule="exact"/>
        <w:rPr>
          <w:sz w:val="20"/>
          <w:szCs w:val="20"/>
          <w:color w:val="auto"/>
        </w:rPr>
      </w:pPr>
    </w:p>
    <w:p>
      <w:pPr>
        <w:ind w:left="300" w:right="100" w:hanging="89"/>
        <w:spacing w:after="0" w:line="286" w:lineRule="auto"/>
        <w:rPr>
          <w:sz w:val="20"/>
          <w:szCs w:val="20"/>
          <w:color w:val="auto"/>
        </w:rPr>
      </w:pPr>
      <w:r>
        <w:rPr>
          <w:rFonts w:ascii="Arial" w:cs="Arial" w:eastAsia="Arial" w:hAnsi="Arial"/>
          <w:sz w:val="16"/>
          <w:szCs w:val="16"/>
          <w:color w:val="auto"/>
        </w:rPr>
        <w:t>  Significant percentage of target annual compensation delivered in the form of variable compensation tied to performance</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Long-term objectives aligned with the creation of stockholder value</w:t>
      </w:r>
    </w:p>
    <w:p>
      <w:pPr>
        <w:spacing w:after="0" w:line="113" w:lineRule="exact"/>
        <w:rPr>
          <w:sz w:val="20"/>
          <w:szCs w:val="20"/>
          <w:color w:val="auto"/>
        </w:rPr>
      </w:pPr>
    </w:p>
    <w:p>
      <w:pPr>
        <w:ind w:left="300" w:right="40" w:hanging="89"/>
        <w:spacing w:after="0" w:line="286" w:lineRule="auto"/>
        <w:rPr>
          <w:sz w:val="20"/>
          <w:szCs w:val="20"/>
          <w:color w:val="auto"/>
        </w:rPr>
      </w:pPr>
      <w:r>
        <w:rPr>
          <w:rFonts w:ascii="Arial" w:cs="Arial" w:eastAsia="Arial" w:hAnsi="Arial"/>
          <w:sz w:val="16"/>
          <w:szCs w:val="16"/>
          <w:color w:val="auto"/>
        </w:rPr>
        <w:t>  Market comparison of executive compensation against a relevant peer group</w:t>
      </w:r>
    </w:p>
    <w:p>
      <w:pPr>
        <w:spacing w:after="0" w:line="21" w:lineRule="exact"/>
        <w:rPr>
          <w:sz w:val="20"/>
          <w:szCs w:val="20"/>
          <w:color w:val="auto"/>
        </w:rPr>
      </w:pPr>
    </w:p>
    <w:p>
      <w:pPr>
        <w:ind w:left="300" w:hanging="89"/>
        <w:spacing w:after="0" w:line="259" w:lineRule="auto"/>
        <w:rPr>
          <w:sz w:val="20"/>
          <w:szCs w:val="20"/>
          <w:color w:val="auto"/>
        </w:rPr>
      </w:pPr>
      <w:r>
        <w:rPr>
          <w:rFonts w:ascii="Arial" w:cs="Arial" w:eastAsia="Arial" w:hAnsi="Arial"/>
          <w:sz w:val="16"/>
          <w:szCs w:val="16"/>
          <w:color w:val="auto"/>
        </w:rPr>
        <w:t>  Use of an independent compensation consultant that provides no other services to the Company other than advising the CHC Committee on executive compensation and Nominating and Governance Committee on non-management director compensation</w:t>
      </w:r>
    </w:p>
    <w:p>
      <w:pPr>
        <w:spacing w:after="0" w:line="29" w:lineRule="exact"/>
        <w:rPr>
          <w:sz w:val="20"/>
          <w:szCs w:val="20"/>
          <w:color w:val="auto"/>
        </w:rPr>
      </w:pPr>
    </w:p>
    <w:p>
      <w:pPr>
        <w:ind w:left="300" w:right="140" w:hanging="89"/>
        <w:spacing w:after="0" w:line="286" w:lineRule="auto"/>
        <w:rPr>
          <w:sz w:val="20"/>
          <w:szCs w:val="20"/>
          <w:color w:val="auto"/>
        </w:rPr>
      </w:pPr>
      <w:r>
        <w:rPr>
          <w:rFonts w:ascii="Arial" w:cs="Arial" w:eastAsia="Arial" w:hAnsi="Arial"/>
          <w:sz w:val="16"/>
          <w:szCs w:val="16"/>
          <w:color w:val="auto"/>
        </w:rPr>
        <w:t>  Robust stock ownership guidelines (6 times base salary for CEO and 3 times base salary for other NEOs)</w:t>
      </w:r>
    </w:p>
    <w:p>
      <w:pPr>
        <w:spacing w:after="0" w:line="7" w:lineRule="exact"/>
        <w:rPr>
          <w:sz w:val="20"/>
          <w:szCs w:val="20"/>
          <w:color w:val="auto"/>
        </w:rPr>
      </w:pPr>
    </w:p>
    <w:p>
      <w:pPr>
        <w:ind w:left="300" w:right="200" w:hanging="89"/>
        <w:spacing w:after="0" w:line="266" w:lineRule="auto"/>
        <w:rPr>
          <w:sz w:val="20"/>
          <w:szCs w:val="20"/>
          <w:color w:val="auto"/>
        </w:rPr>
      </w:pPr>
      <w:r>
        <w:rPr>
          <w:rFonts w:ascii="Arial" w:cs="Arial" w:eastAsia="Arial" w:hAnsi="Arial"/>
          <w:sz w:val="16"/>
          <w:szCs w:val="16"/>
          <w:color w:val="auto"/>
        </w:rPr>
        <w:t>  Stringent clawback policies and provisions, including a policy consistent with SEC rules and NYSE listing standards, as well as an additional supplemental policy</w:t>
      </w:r>
    </w:p>
    <w:p>
      <w:pPr>
        <w:spacing w:after="0" w:line="36" w:lineRule="exact"/>
        <w:rPr>
          <w:sz w:val="20"/>
          <w:szCs w:val="20"/>
          <w:color w:val="auto"/>
        </w:rPr>
      </w:pPr>
    </w:p>
    <w:p>
      <w:pPr>
        <w:ind w:left="300" w:right="20" w:hanging="89"/>
        <w:spacing w:after="0" w:line="286" w:lineRule="auto"/>
        <w:rPr>
          <w:sz w:val="20"/>
          <w:szCs w:val="20"/>
          <w:color w:val="auto"/>
        </w:rPr>
      </w:pPr>
      <w:r>
        <w:rPr>
          <w:rFonts w:ascii="Arial" w:cs="Arial" w:eastAsia="Arial" w:hAnsi="Arial"/>
          <w:sz w:val="16"/>
          <w:szCs w:val="16"/>
          <w:color w:val="auto"/>
        </w:rPr>
        <w:t>  Non-competition and non-solicitation agreements for senior executives where not prohibited by applicable law</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Limited perquisites as approved by the CHC Committee</w:t>
      </w:r>
    </w:p>
    <w:p>
      <w:pPr>
        <w:spacing w:after="0" w:line="113" w:lineRule="exact"/>
        <w:rPr>
          <w:sz w:val="20"/>
          <w:szCs w:val="20"/>
          <w:color w:val="auto"/>
        </w:rPr>
      </w:pPr>
    </w:p>
    <w:p>
      <w:pPr>
        <w:ind w:left="300" w:right="300" w:hanging="89"/>
        <w:spacing w:after="0" w:line="286" w:lineRule="auto"/>
        <w:rPr>
          <w:sz w:val="20"/>
          <w:szCs w:val="20"/>
          <w:color w:val="auto"/>
        </w:rPr>
      </w:pPr>
      <w:r>
        <w:rPr>
          <w:rFonts w:ascii="Arial" w:cs="Arial" w:eastAsia="Arial" w:hAnsi="Arial"/>
          <w:sz w:val="16"/>
          <w:szCs w:val="16"/>
          <w:color w:val="auto"/>
        </w:rPr>
        <w:t>  One-year minimum vesting condition under our long-term incentive plan (subject to limited exceptions)</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Annual compensation risk review and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63500</wp:posOffset>
            </wp:positionV>
            <wp:extent cx="34544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What We Don’t Do</w:t>
      </w:r>
    </w:p>
    <w:p>
      <w:pPr>
        <w:spacing w:after="0" w:line="200" w:lineRule="exact"/>
        <w:rPr>
          <w:sz w:val="20"/>
          <w:szCs w:val="20"/>
          <w:color w:val="auto"/>
        </w:rPr>
      </w:pPr>
    </w:p>
    <w:p>
      <w:pPr>
        <w:spacing w:after="0" w:line="349" w:lineRule="exact"/>
        <w:rPr>
          <w:sz w:val="20"/>
          <w:szCs w:val="20"/>
          <w:color w:val="auto"/>
        </w:rPr>
      </w:pPr>
    </w:p>
    <w:p>
      <w:pPr>
        <w:ind w:left="260" w:right="499" w:hanging="77"/>
        <w:spacing w:after="0" w:line="223" w:lineRule="auto"/>
        <w:rPr>
          <w:sz w:val="20"/>
          <w:szCs w:val="20"/>
          <w:color w:val="auto"/>
        </w:rPr>
      </w:pPr>
      <w:r>
        <w:rPr>
          <w:rFonts w:ascii="Arial" w:cs="Arial" w:eastAsia="Arial" w:hAnsi="Arial"/>
          <w:sz w:val="16"/>
          <w:szCs w:val="16"/>
          <w:color w:val="auto"/>
        </w:rPr>
        <w:t>  No tax gross-ups or excessive non-</w:t>
      </w:r>
      <w:r>
        <w:rPr>
          <w:rFonts w:ascii="Arial" w:cs="Arial" w:eastAsia="Arial" w:hAnsi="Arial"/>
          <w:sz w:val="32"/>
          <w:szCs w:val="32"/>
          <w:color w:val="auto"/>
          <w:vertAlign w:val="subscript"/>
        </w:rPr>
        <w:t xml:space="preserve"> </w:t>
      </w:r>
      <w:r>
        <w:rPr>
          <w:rFonts w:ascii="Arial" w:cs="Arial" w:eastAsia="Arial" w:hAnsi="Arial"/>
          <w:sz w:val="16"/>
          <w:szCs w:val="16"/>
          <w:color w:val="auto"/>
        </w:rPr>
        <w:t>business perquisites</w:t>
      </w:r>
    </w:p>
    <w:p>
      <w:pPr>
        <w:spacing w:after="0" w:line="1" w:lineRule="exact"/>
        <w:rPr>
          <w:sz w:val="20"/>
          <w:szCs w:val="20"/>
          <w:color w:val="auto"/>
        </w:rPr>
      </w:pPr>
    </w:p>
    <w:p>
      <w:pPr>
        <w:jc w:val="right"/>
        <w:ind w:left="80" w:right="459"/>
        <w:spacing w:after="0" w:line="184" w:lineRule="auto"/>
        <w:rPr>
          <w:sz w:val="20"/>
          <w:szCs w:val="20"/>
          <w:color w:val="auto"/>
        </w:rPr>
      </w:pPr>
      <w:r>
        <w:rPr>
          <w:rFonts w:ascii="Arial" w:cs="Arial" w:eastAsia="Arial" w:hAnsi="Arial"/>
          <w:sz w:val="15"/>
          <w:szCs w:val="15"/>
          <w:color w:val="auto"/>
        </w:rPr>
        <w:t xml:space="preserve">  No “single-trigger” change in control </w:t>
      </w:r>
      <w:r>
        <w:rPr>
          <w:rFonts w:ascii="Arial" w:cs="Arial" w:eastAsia="Arial" w:hAnsi="Arial"/>
          <w:sz w:val="29"/>
          <w:szCs w:val="29"/>
          <w:color w:val="auto"/>
          <w:vertAlign w:val="subscript"/>
        </w:rPr>
        <w:t xml:space="preserve"> </w:t>
      </w:r>
      <w:r>
        <w:rPr>
          <w:rFonts w:ascii="Arial" w:cs="Arial" w:eastAsia="Arial" w:hAnsi="Arial"/>
          <w:sz w:val="15"/>
          <w:szCs w:val="15"/>
          <w:color w:val="auto"/>
        </w:rPr>
        <w:t>equity vesting or severance benefits</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6"/>
          <w:szCs w:val="16"/>
          <w:color w:val="auto"/>
        </w:rPr>
        <w:t>  No excessive severance benefits</w:t>
      </w:r>
    </w:p>
    <w:p>
      <w:pPr>
        <w:ind w:left="260"/>
        <w:spacing w:after="0" w:line="235" w:lineRule="auto"/>
        <w:rPr>
          <w:sz w:val="20"/>
          <w:szCs w:val="20"/>
          <w:color w:val="auto"/>
        </w:rPr>
      </w:pPr>
      <w:r>
        <w:rPr>
          <w:rFonts w:ascii="Arial" w:cs="Arial" w:eastAsia="Arial" w:hAnsi="Arial"/>
          <w:sz w:val="16"/>
          <w:szCs w:val="16"/>
          <w:color w:val="auto"/>
        </w:rPr>
        <w:t> </w:t>
      </w:r>
    </w:p>
    <w:p>
      <w:pPr>
        <w:ind w:left="260" w:right="459" w:hanging="77"/>
        <w:spacing w:after="0" w:line="184" w:lineRule="auto"/>
        <w:rPr>
          <w:sz w:val="20"/>
          <w:szCs w:val="20"/>
          <w:color w:val="auto"/>
        </w:rPr>
      </w:pPr>
      <w:r>
        <w:rPr>
          <w:rFonts w:ascii="Arial" w:cs="Arial" w:eastAsia="Arial" w:hAnsi="Arial"/>
          <w:sz w:val="15"/>
          <w:szCs w:val="15"/>
          <w:color w:val="auto"/>
        </w:rPr>
        <w:t xml:space="preserve">  No hedging or pledging of Company </w:t>
      </w:r>
      <w:r>
        <w:rPr>
          <w:rFonts w:ascii="Arial" w:cs="Arial" w:eastAsia="Arial" w:hAnsi="Arial"/>
          <w:sz w:val="29"/>
          <w:szCs w:val="29"/>
          <w:color w:val="auto"/>
          <w:vertAlign w:val="subscript"/>
        </w:rPr>
        <w:t xml:space="preserve"> </w:t>
      </w:r>
      <w:r>
        <w:rPr>
          <w:rFonts w:ascii="Arial" w:cs="Arial" w:eastAsia="Arial" w:hAnsi="Arial"/>
          <w:sz w:val="15"/>
          <w:szCs w:val="15"/>
          <w:color w:val="auto"/>
        </w:rPr>
        <w:t>shares by our executive officers</w:t>
      </w:r>
    </w:p>
    <w:p>
      <w:pPr>
        <w:spacing w:after="0" w:line="2" w:lineRule="exact"/>
        <w:rPr>
          <w:sz w:val="20"/>
          <w:szCs w:val="20"/>
          <w:color w:val="auto"/>
        </w:rPr>
      </w:pPr>
    </w:p>
    <w:p>
      <w:pPr>
        <w:ind w:left="260" w:right="199" w:hanging="77"/>
        <w:spacing w:after="0" w:line="223" w:lineRule="auto"/>
        <w:rPr>
          <w:sz w:val="20"/>
          <w:szCs w:val="20"/>
          <w:color w:val="auto"/>
        </w:rPr>
      </w:pPr>
      <w:r>
        <w:rPr>
          <w:rFonts w:ascii="Arial" w:cs="Arial" w:eastAsia="Arial" w:hAnsi="Arial"/>
          <w:sz w:val="16"/>
          <w:szCs w:val="16"/>
          <w:color w:val="auto"/>
        </w:rPr>
        <w:t xml:space="preserve">  No evergreen provision in our long-term </w:t>
      </w:r>
      <w:r>
        <w:rPr>
          <w:rFonts w:ascii="Arial" w:cs="Arial" w:eastAsia="Arial" w:hAnsi="Arial"/>
          <w:sz w:val="32"/>
          <w:szCs w:val="32"/>
          <w:color w:val="auto"/>
          <w:vertAlign w:val="subscript"/>
        </w:rPr>
        <w:t xml:space="preserve"> </w:t>
      </w:r>
      <w:r>
        <w:rPr>
          <w:rFonts w:ascii="Arial" w:cs="Arial" w:eastAsia="Arial" w:hAnsi="Arial"/>
          <w:sz w:val="16"/>
          <w:szCs w:val="16"/>
          <w:color w:val="auto"/>
        </w:rPr>
        <w:t>incentive plan</w:t>
      </w:r>
    </w:p>
    <w:p>
      <w:pPr>
        <w:ind w:left="260" w:right="139" w:hanging="77"/>
        <w:spacing w:after="0" w:line="184" w:lineRule="auto"/>
        <w:rPr>
          <w:sz w:val="20"/>
          <w:szCs w:val="20"/>
          <w:color w:val="auto"/>
        </w:rPr>
      </w:pPr>
      <w:r>
        <w:rPr>
          <w:rFonts w:ascii="Arial" w:cs="Arial" w:eastAsia="Arial" w:hAnsi="Arial"/>
          <w:sz w:val="15"/>
          <w:szCs w:val="15"/>
          <w:color w:val="auto"/>
        </w:rPr>
        <w:t xml:space="preserve">  No repricing of underwater stock options </w:t>
      </w:r>
      <w:r>
        <w:rPr>
          <w:rFonts w:ascii="Arial" w:cs="Arial" w:eastAsia="Arial" w:hAnsi="Arial"/>
          <w:sz w:val="29"/>
          <w:szCs w:val="29"/>
          <w:color w:val="auto"/>
          <w:vertAlign w:val="subscript"/>
        </w:rPr>
        <w:t xml:space="preserve"> </w:t>
      </w:r>
      <w:r>
        <w:rPr>
          <w:rFonts w:ascii="Arial" w:cs="Arial" w:eastAsia="Arial" w:hAnsi="Arial"/>
          <w:sz w:val="15"/>
          <w:szCs w:val="15"/>
          <w:color w:val="auto"/>
        </w:rPr>
        <w:t>permitted without stockholder approval</w:t>
      </w:r>
    </w:p>
    <w:p>
      <w:pPr>
        <w:spacing w:after="0" w:line="2" w:lineRule="exact"/>
        <w:rPr>
          <w:sz w:val="20"/>
          <w:szCs w:val="20"/>
          <w:color w:val="auto"/>
        </w:rPr>
      </w:pPr>
    </w:p>
    <w:p>
      <w:pPr>
        <w:ind w:left="260" w:right="259" w:hanging="77"/>
        <w:spacing w:after="0" w:line="223" w:lineRule="auto"/>
        <w:rPr>
          <w:sz w:val="20"/>
          <w:szCs w:val="20"/>
          <w:color w:val="auto"/>
        </w:rPr>
      </w:pPr>
      <w:r>
        <w:rPr>
          <w:rFonts w:ascii="Arial" w:cs="Arial" w:eastAsia="Arial" w:hAnsi="Arial"/>
          <w:sz w:val="16"/>
          <w:szCs w:val="16"/>
          <w:color w:val="auto"/>
        </w:rPr>
        <w:t xml:space="preserve">  No multi-year employment agreements </w:t>
      </w:r>
      <w:r>
        <w:rPr>
          <w:rFonts w:ascii="Arial" w:cs="Arial" w:eastAsia="Arial" w:hAnsi="Arial"/>
          <w:sz w:val="32"/>
          <w:szCs w:val="32"/>
          <w:color w:val="auto"/>
          <w:vertAlign w:val="subscript"/>
        </w:rPr>
        <w:t xml:space="preserve"> </w:t>
      </w:r>
      <w:r>
        <w:rPr>
          <w:rFonts w:ascii="Arial" w:cs="Arial" w:eastAsia="Arial" w:hAnsi="Arial"/>
          <w:sz w:val="16"/>
          <w:szCs w:val="16"/>
          <w:color w:val="auto"/>
        </w:rPr>
        <w:t>for executive officers</w:t>
      </w:r>
    </w:p>
    <w:p>
      <w:pPr>
        <w:ind w:left="280" w:right="319" w:hanging="89"/>
        <w:spacing w:after="0" w:line="285" w:lineRule="auto"/>
        <w:rPr>
          <w:sz w:val="20"/>
          <w:szCs w:val="20"/>
          <w:color w:val="auto"/>
        </w:rPr>
      </w:pPr>
      <w:r>
        <w:rPr>
          <w:rFonts w:ascii="Arial" w:cs="Arial" w:eastAsia="Arial" w:hAnsi="Arial"/>
          <w:sz w:val="16"/>
          <w:szCs w:val="16"/>
          <w:color w:val="auto"/>
        </w:rPr>
        <w:t>  No guaranteed annual bonuses or incentive awards for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459740</wp:posOffset>
            </wp:positionV>
            <wp:extent cx="20142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823" w:lineRule="exact"/>
        <w:rPr>
          <w:sz w:val="20"/>
          <w:szCs w:val="20"/>
          <w:color w:val="auto"/>
        </w:rPr>
      </w:pPr>
    </w:p>
    <w:p>
      <w:pPr>
        <w:sectPr>
          <w:pgSz w:w="11900" w:h="16838" w:orient="portrait"/>
          <w:cols w:equalWidth="0" w:num="2">
            <w:col w:w="5380" w:space="320"/>
            <w:col w:w="3319"/>
          </w:cols>
          <w:pgMar w:left="1440" w:top="114" w:right="1440" w:bottom="1440" w:gutter="0" w:footer="0" w:header="0"/>
          <w:type w:val="continuous"/>
        </w:sectPr>
      </w:pPr>
    </w:p>
    <w:p>
      <w:pPr>
        <w:spacing w:after="0" w:line="129"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8" w:name="page49"/>
    <w:bookmarkEnd w:id="4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II.      EXECUTIVE COMPENSATION DECISION-MAKING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209550</wp:posOffset>
            </wp:positionV>
            <wp:extent cx="213995" cy="342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3995" cy="342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351"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Role of Our CHC Committee, Our Independent Directors and Management</w:t>
      </w:r>
    </w:p>
    <w:p>
      <w:pPr>
        <w:spacing w:after="0" w:line="156" w:lineRule="exact"/>
        <w:rPr>
          <w:sz w:val="20"/>
          <w:szCs w:val="20"/>
          <w:color w:val="auto"/>
        </w:rPr>
      </w:pPr>
    </w:p>
    <w:p>
      <w:pPr>
        <w:ind w:left="80" w:right="259"/>
        <w:spacing w:after="0" w:line="241" w:lineRule="auto"/>
        <w:rPr>
          <w:sz w:val="20"/>
          <w:szCs w:val="20"/>
          <w:color w:val="auto"/>
        </w:rPr>
      </w:pPr>
      <w:r>
        <w:rPr>
          <w:rFonts w:ascii="Arial" w:cs="Arial" w:eastAsia="Arial" w:hAnsi="Arial"/>
          <w:sz w:val="17"/>
          <w:szCs w:val="17"/>
          <w:color w:val="auto"/>
        </w:rPr>
        <w:t>Our CHC Committee is responsible for defining and articulating our overall executive compensation philosophy and key compensation policies, including the material risks associated with our executive compensation structure, policies and programs. The CHC Committee undertakes an annual review of the compensation of our executive officers and an annual evaluation of its own performance. The CHC Committee consists solely of independent members of the Board.</w:t>
      </w:r>
    </w:p>
    <w:p>
      <w:pPr>
        <w:spacing w:after="0" w:line="126" w:lineRule="exact"/>
        <w:rPr>
          <w:sz w:val="20"/>
          <w:szCs w:val="20"/>
          <w:color w:val="auto"/>
        </w:rPr>
      </w:pPr>
    </w:p>
    <w:p>
      <w:pPr>
        <w:ind w:left="80" w:right="459"/>
        <w:spacing w:after="0" w:line="236" w:lineRule="auto"/>
        <w:rPr>
          <w:sz w:val="20"/>
          <w:szCs w:val="20"/>
          <w:color w:val="auto"/>
        </w:rPr>
      </w:pPr>
      <w:r>
        <w:rPr>
          <w:rFonts w:ascii="Arial" w:cs="Arial" w:eastAsia="Arial" w:hAnsi="Arial"/>
          <w:sz w:val="17"/>
          <w:szCs w:val="17"/>
          <w:color w:val="auto"/>
        </w:rPr>
        <w:t>With respect to the compensation of our Chief Executive Officer, Mr. Schroeter, the CHC Committee reviews and approves the corporate goals and objectives relevant to such compensation; evaluates, together with the other independent members of the Board, his performance in light of those goals and objectives; and, based on such evaluation, recommends his compensation level for approval by the independent members of the Board.</w:t>
      </w:r>
    </w:p>
    <w:p>
      <w:pPr>
        <w:spacing w:after="0" w:line="3" w:lineRule="exact"/>
        <w:rPr>
          <w:sz w:val="20"/>
          <w:szCs w:val="20"/>
          <w:color w:val="auto"/>
        </w:rPr>
      </w:pPr>
    </w:p>
    <w:p>
      <w:pPr>
        <w:ind w:left="80" w:right="319"/>
        <w:spacing w:after="0" w:line="238" w:lineRule="auto"/>
        <w:rPr>
          <w:sz w:val="20"/>
          <w:szCs w:val="20"/>
          <w:color w:val="auto"/>
        </w:rPr>
      </w:pPr>
      <w:r>
        <w:rPr>
          <w:rFonts w:ascii="Arial" w:cs="Arial" w:eastAsia="Arial" w:hAnsi="Arial"/>
          <w:sz w:val="17"/>
          <w:szCs w:val="17"/>
          <w:color w:val="auto"/>
        </w:rPr>
        <w:t>Mr. Schroeter does not participate in the determination of his own compensation. Our CHC Committee administers and approves all elements of the compensation of our non-CEO executive officers. In setting the compensation of our non-CEO executive officers, the CHC Committee takes into account Mr. Schroeter’s review of each executive officer’s performance and his recommendations with respect to his or 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188595</wp:posOffset>
            </wp:positionV>
            <wp:extent cx="213995" cy="342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8"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Role of Compensation Consultants</w:t>
      </w:r>
    </w:p>
    <w:p>
      <w:pPr>
        <w:spacing w:after="0" w:line="156" w:lineRule="exact"/>
        <w:rPr>
          <w:sz w:val="20"/>
          <w:szCs w:val="20"/>
          <w:color w:val="auto"/>
        </w:rPr>
      </w:pPr>
    </w:p>
    <w:p>
      <w:pPr>
        <w:ind w:left="80" w:right="99"/>
        <w:spacing w:after="0" w:line="236" w:lineRule="auto"/>
        <w:rPr>
          <w:sz w:val="20"/>
          <w:szCs w:val="20"/>
          <w:color w:val="auto"/>
        </w:rPr>
      </w:pPr>
      <w:r>
        <w:rPr>
          <w:rFonts w:ascii="Arial" w:cs="Arial" w:eastAsia="Arial" w:hAnsi="Arial"/>
          <w:sz w:val="17"/>
          <w:szCs w:val="17"/>
          <w:color w:val="auto"/>
        </w:rPr>
        <w:t>Our CHC Committee has engaged FW Cook to serve as the CHC Committee’s independent compensation consultant. FW Cook and its affiliates do not provide any services to the Company or any of the Company’s affiliates other than advising the CHC Committee on executive compensation and the Nominating and Governance Committee on non-management director compensation. At the CHC Committee’s request, FW Cook regularly advises the CHC Committee on general marketplace trends in executive compensation, provides analysis and advice to the CHC Committee as to the amount and form of executive compensation, makes proposals for executive compensation programs, assists in the development of a group of peer companies for inclusion in competitive market analyses of compensation and otherwise advises the CHC Committee with regard to the compensation of our Chief Executive Officer and other executives. FW Cook also reviewed this Compensation Discussion and Analysis. The CHC Committee has assessed the independence of FW Cook pursuant to the applicable rules of the SEC and NYSE and determined that its engagement does not raise any conflict of interest.</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Use of Competitive Data</w:t>
      </w:r>
    </w:p>
    <w:p>
      <w:pPr>
        <w:spacing w:after="0" w:line="156" w:lineRule="exact"/>
        <w:rPr>
          <w:sz w:val="20"/>
          <w:szCs w:val="20"/>
          <w:color w:val="auto"/>
        </w:rPr>
      </w:pPr>
    </w:p>
    <w:p>
      <w:pPr>
        <w:ind w:left="80" w:right="219"/>
        <w:spacing w:after="0" w:line="241" w:lineRule="auto"/>
        <w:rPr>
          <w:sz w:val="20"/>
          <w:szCs w:val="20"/>
          <w:color w:val="auto"/>
        </w:rPr>
      </w:pPr>
      <w:r>
        <w:rPr>
          <w:rFonts w:ascii="Arial" w:cs="Arial" w:eastAsia="Arial" w:hAnsi="Arial"/>
          <w:sz w:val="17"/>
          <w:szCs w:val="17"/>
          <w:color w:val="auto"/>
        </w:rPr>
        <w:t>Our CHC Committee believes it is important to clearly understand the relevant market for executive talent to inform its decision-making and ensure that our compensation program for executive officers attracts and retains key talent. Accordingly, the CHC Committee, working with FW Cook, has developed a group of peer companies to inform the Company’s executive compensation decisions. The peer group is reviewed annually to ensure that the peer group continues to provide meaningful and relevant compensation comparisons.</w:t>
      </w:r>
    </w:p>
    <w:p>
      <w:pPr>
        <w:spacing w:after="0" w:line="126" w:lineRule="exact"/>
        <w:rPr>
          <w:sz w:val="20"/>
          <w:szCs w:val="20"/>
          <w:color w:val="auto"/>
        </w:rPr>
      </w:pPr>
    </w:p>
    <w:p>
      <w:pPr>
        <w:ind w:left="80" w:right="199"/>
        <w:spacing w:after="0" w:line="267" w:lineRule="auto"/>
        <w:rPr>
          <w:sz w:val="20"/>
          <w:szCs w:val="20"/>
          <w:color w:val="auto"/>
        </w:rPr>
      </w:pPr>
      <w:r>
        <w:rPr>
          <w:rFonts w:ascii="Arial" w:cs="Arial" w:eastAsia="Arial" w:hAnsi="Arial"/>
          <w:sz w:val="17"/>
          <w:szCs w:val="17"/>
          <w:color w:val="auto"/>
        </w:rPr>
        <w:t>The CHC Committee believes that the peer group companies are an appropriate reference to inform the Company’s executive compensation decisions based on several important criteria:</w:t>
      </w:r>
    </w:p>
    <w:p>
      <w:pPr>
        <w:spacing w:after="0" w:line="51" w:lineRule="exact"/>
        <w:rPr>
          <w:sz w:val="20"/>
          <w:szCs w:val="20"/>
          <w:color w:val="auto"/>
        </w:rPr>
      </w:pPr>
    </w:p>
    <w:p>
      <w:pPr>
        <w:ind w:left="900" w:hanging="356"/>
        <w:spacing w:after="0"/>
        <w:tabs>
          <w:tab w:leader="none" w:pos="900" w:val="left"/>
        </w:tabs>
        <w:numPr>
          <w:ilvl w:val="0"/>
          <w:numId w:val="63"/>
        </w:numPr>
        <w:rPr>
          <w:rFonts w:ascii="Arial" w:cs="Arial" w:eastAsia="Arial" w:hAnsi="Arial"/>
          <w:sz w:val="17"/>
          <w:szCs w:val="17"/>
          <w:color w:val="F0533D"/>
        </w:rPr>
      </w:pPr>
      <w:r>
        <w:rPr>
          <w:rFonts w:ascii="Arial" w:cs="Arial" w:eastAsia="Arial" w:hAnsi="Arial"/>
          <w:sz w:val="17"/>
          <w:szCs w:val="17"/>
          <w:color w:val="auto"/>
        </w:rPr>
        <w:t>their listing on a U.S. stock exchange and subjection to reporting obligations similar to Kyndryl’s;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63"/>
        </w:numPr>
        <w:rPr>
          <w:rFonts w:ascii="Arial" w:cs="Arial" w:eastAsia="Arial" w:hAnsi="Arial"/>
          <w:sz w:val="17"/>
          <w:szCs w:val="17"/>
          <w:color w:val="F0533D"/>
        </w:rPr>
      </w:pPr>
      <w:r>
        <w:rPr>
          <w:rFonts w:ascii="Arial" w:cs="Arial" w:eastAsia="Arial" w:hAnsi="Arial"/>
          <w:sz w:val="17"/>
          <w:szCs w:val="17"/>
          <w:color w:val="auto"/>
        </w:rPr>
        <w:t>the similarity of their industry classification to Kyndryl’s classification;</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63"/>
        </w:numPr>
        <w:rPr>
          <w:rFonts w:ascii="Arial" w:cs="Arial" w:eastAsia="Arial" w:hAnsi="Arial"/>
          <w:sz w:val="17"/>
          <w:szCs w:val="17"/>
          <w:color w:val="F0533D"/>
        </w:rPr>
      </w:pPr>
      <w:r>
        <w:rPr>
          <w:rFonts w:ascii="Arial" w:cs="Arial" w:eastAsia="Arial" w:hAnsi="Arial"/>
          <w:sz w:val="17"/>
          <w:szCs w:val="17"/>
          <w:color w:val="auto"/>
        </w:rPr>
        <w:t>the extent to which they compete with Kyndryl for executive talent and for investors;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63"/>
        </w:numPr>
        <w:rPr>
          <w:rFonts w:ascii="Arial" w:cs="Arial" w:eastAsia="Arial" w:hAnsi="Arial"/>
          <w:sz w:val="17"/>
          <w:szCs w:val="17"/>
          <w:color w:val="F0533D"/>
        </w:rPr>
      </w:pPr>
      <w:r>
        <w:rPr>
          <w:rFonts w:ascii="Arial" w:cs="Arial" w:eastAsia="Arial" w:hAnsi="Arial"/>
          <w:sz w:val="17"/>
          <w:szCs w:val="17"/>
          <w:color w:val="auto"/>
        </w:rPr>
        <w:t>the similarity in the scale of their business to that of Kyndryl’s; and</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63"/>
        </w:numPr>
        <w:rPr>
          <w:rFonts w:ascii="Arial" w:cs="Arial" w:eastAsia="Arial" w:hAnsi="Arial"/>
          <w:sz w:val="17"/>
          <w:szCs w:val="17"/>
          <w:color w:val="F0533D"/>
        </w:rPr>
      </w:pPr>
      <w:r>
        <w:rPr>
          <w:rFonts w:ascii="Arial" w:cs="Arial" w:eastAsia="Arial" w:hAnsi="Arial"/>
          <w:sz w:val="17"/>
          <w:szCs w:val="17"/>
          <w:color w:val="auto"/>
        </w:rPr>
        <w:t>general comparability of key size measures, primarily revenue and number of employees.</w:t>
      </w:r>
    </w:p>
    <w:p>
      <w:pPr>
        <w:spacing w:after="0" w:line="156" w:lineRule="exact"/>
        <w:rPr>
          <w:sz w:val="20"/>
          <w:szCs w:val="20"/>
          <w:color w:val="auto"/>
        </w:rPr>
      </w:pPr>
    </w:p>
    <w:p>
      <w:pPr>
        <w:ind w:left="80" w:right="119"/>
        <w:spacing w:after="0" w:line="267" w:lineRule="auto"/>
        <w:rPr>
          <w:sz w:val="20"/>
          <w:szCs w:val="20"/>
          <w:color w:val="auto"/>
        </w:rPr>
      </w:pPr>
      <w:r>
        <w:rPr>
          <w:rFonts w:ascii="Arial" w:cs="Arial" w:eastAsia="Arial" w:hAnsi="Arial"/>
          <w:sz w:val="17"/>
          <w:szCs w:val="17"/>
          <w:color w:val="auto"/>
        </w:rPr>
        <w:t>Our peer group for the fiscal 2026 performance year, which was the same as the fiscal 2025 peer group, consisted of the 15 companies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72390</wp:posOffset>
            </wp:positionV>
            <wp:extent cx="56235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87"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2800" w:type="dxa"/>
            <w:vAlign w:val="bottom"/>
            <w:vMerge w:val="restart"/>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Accenture plc</w:t>
            </w:r>
          </w:p>
        </w:tc>
        <w:tc>
          <w:tcPr>
            <w:tcW w:w="220" w:type="dxa"/>
            <w:vAlign w:val="bottom"/>
          </w:tcPr>
          <w:p>
            <w:pPr>
              <w:spacing w:after="0"/>
              <w:rPr>
                <w:sz w:val="14"/>
                <w:szCs w:val="14"/>
                <w:color w:val="auto"/>
              </w:rPr>
            </w:pPr>
          </w:p>
        </w:tc>
        <w:tc>
          <w:tcPr>
            <w:tcW w:w="2800" w:type="dxa"/>
            <w:vAlign w:val="bottom"/>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Cognizant Technology Solutions</w:t>
            </w:r>
          </w:p>
        </w:tc>
        <w:tc>
          <w:tcPr>
            <w:tcW w:w="220" w:type="dxa"/>
            <w:vAlign w:val="bottom"/>
          </w:tcPr>
          <w:p>
            <w:pPr>
              <w:spacing w:after="0"/>
              <w:rPr>
                <w:sz w:val="14"/>
                <w:szCs w:val="14"/>
                <w:color w:val="auto"/>
              </w:rPr>
            </w:pPr>
          </w:p>
        </w:tc>
        <w:tc>
          <w:tcPr>
            <w:tcW w:w="2820" w:type="dxa"/>
            <w:vAlign w:val="bottom"/>
            <w:vMerge w:val="restart"/>
          </w:tcPr>
          <w:p>
            <w:pPr>
              <w:ind w:left="12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Jacobs Solutions Inc.</w:t>
            </w:r>
          </w:p>
        </w:tc>
        <w:tc>
          <w:tcPr>
            <w:tcW w:w="0" w:type="dxa"/>
            <w:vAlign w:val="bottom"/>
          </w:tcPr>
          <w:p>
            <w:pPr>
              <w:spacing w:after="0"/>
              <w:rPr>
                <w:sz w:val="1"/>
                <w:szCs w:val="1"/>
                <w:color w:val="auto"/>
              </w:rPr>
            </w:pPr>
          </w:p>
        </w:tc>
      </w:tr>
      <w:tr>
        <w:trPr>
          <w:trHeight w:val="119"/>
        </w:trPr>
        <w:tc>
          <w:tcPr>
            <w:tcW w:w="2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vMerge w:val="restart"/>
          </w:tcPr>
          <w:p>
            <w:pPr>
              <w:ind w:left="240"/>
              <w:spacing w:after="0"/>
              <w:rPr>
                <w:sz w:val="20"/>
                <w:szCs w:val="20"/>
                <w:color w:val="auto"/>
              </w:rPr>
            </w:pPr>
            <w:r>
              <w:rPr>
                <w:rFonts w:ascii="Arial" w:cs="Arial" w:eastAsia="Arial" w:hAnsi="Arial"/>
                <w:sz w:val="15"/>
                <w:szCs w:val="15"/>
                <w:color w:val="auto"/>
              </w:rPr>
              <w:t>Corporation</w:t>
            </w:r>
          </w:p>
        </w:tc>
        <w:tc>
          <w:tcPr>
            <w:tcW w:w="22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80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c>
          <w:tcPr>
            <w:tcW w:w="2800" w:type="dxa"/>
            <w:vAlign w:val="bottom"/>
            <w:tcBorders>
              <w:bottom w:val="single" w:sz="8" w:color="A6A6A6"/>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282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800" w:type="dxa"/>
            <w:vAlign w:val="bottom"/>
            <w:tcBorders>
              <w:bottom w:val="single" w:sz="8" w:color="A6A6A6"/>
            </w:tcBorders>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Aon plc</w:t>
            </w:r>
          </w:p>
        </w:tc>
        <w:tc>
          <w:tcPr>
            <w:tcW w:w="220" w:type="dxa"/>
            <w:vAlign w:val="bottom"/>
          </w:tcPr>
          <w:p>
            <w:pPr>
              <w:spacing w:after="0"/>
              <w:rPr>
                <w:sz w:val="15"/>
                <w:szCs w:val="15"/>
                <w:color w:val="auto"/>
              </w:rPr>
            </w:pPr>
          </w:p>
        </w:tc>
        <w:tc>
          <w:tcPr>
            <w:tcW w:w="2800" w:type="dxa"/>
            <w:vAlign w:val="bottom"/>
            <w:tcBorders>
              <w:bottom w:val="single" w:sz="8" w:color="A6A6A6"/>
            </w:tcBorders>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DXC Technology Company</w:t>
            </w:r>
          </w:p>
        </w:tc>
        <w:tc>
          <w:tcPr>
            <w:tcW w:w="220" w:type="dxa"/>
            <w:vAlign w:val="bottom"/>
          </w:tcPr>
          <w:p>
            <w:pPr>
              <w:spacing w:after="0"/>
              <w:rPr>
                <w:sz w:val="15"/>
                <w:szCs w:val="15"/>
                <w:color w:val="auto"/>
              </w:rPr>
            </w:pPr>
          </w:p>
        </w:tc>
        <w:tc>
          <w:tcPr>
            <w:tcW w:w="2820" w:type="dxa"/>
            <w:vAlign w:val="bottom"/>
            <w:tcBorders>
              <w:bottom w:val="single" w:sz="8" w:color="A6A6A6"/>
            </w:tcBorders>
          </w:tcPr>
          <w:p>
            <w:pPr>
              <w:ind w:left="12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Leidos Holdings, Inc.</w:t>
            </w:r>
          </w:p>
        </w:tc>
        <w:tc>
          <w:tcPr>
            <w:tcW w:w="0" w:type="dxa"/>
            <w:vAlign w:val="bottom"/>
          </w:tcPr>
          <w:p>
            <w:pPr>
              <w:spacing w:after="0"/>
              <w:rPr>
                <w:sz w:val="1"/>
                <w:szCs w:val="1"/>
                <w:color w:val="auto"/>
              </w:rPr>
            </w:pPr>
          </w:p>
        </w:tc>
      </w:tr>
      <w:tr>
        <w:trPr>
          <w:trHeight w:val="152"/>
        </w:trPr>
        <w:tc>
          <w:tcPr>
            <w:tcW w:w="2800" w:type="dxa"/>
            <w:vAlign w:val="bottom"/>
            <w:vMerge w:val="restart"/>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Automatic Data Processing, Inc.</w:t>
            </w:r>
          </w:p>
        </w:tc>
        <w:tc>
          <w:tcPr>
            <w:tcW w:w="220" w:type="dxa"/>
            <w:vAlign w:val="bottom"/>
          </w:tcPr>
          <w:p>
            <w:pPr>
              <w:spacing w:after="0"/>
              <w:rPr>
                <w:sz w:val="13"/>
                <w:szCs w:val="13"/>
                <w:color w:val="auto"/>
              </w:rPr>
            </w:pPr>
          </w:p>
        </w:tc>
        <w:tc>
          <w:tcPr>
            <w:tcW w:w="2800" w:type="dxa"/>
            <w:vAlign w:val="bottom"/>
          </w:tcPr>
          <w:p>
            <w:pPr>
              <w:ind w:left="100"/>
              <w:spacing w:after="0" w:line="151" w:lineRule="exact"/>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Fidelity National Information</w:t>
            </w:r>
          </w:p>
        </w:tc>
        <w:tc>
          <w:tcPr>
            <w:tcW w:w="220" w:type="dxa"/>
            <w:vAlign w:val="bottom"/>
          </w:tcPr>
          <w:p>
            <w:pPr>
              <w:spacing w:after="0"/>
              <w:rPr>
                <w:sz w:val="13"/>
                <w:szCs w:val="13"/>
                <w:color w:val="auto"/>
              </w:rPr>
            </w:pPr>
          </w:p>
        </w:tc>
        <w:tc>
          <w:tcPr>
            <w:tcW w:w="2820" w:type="dxa"/>
            <w:vAlign w:val="bottom"/>
            <w:vMerge w:val="restart"/>
          </w:tcPr>
          <w:p>
            <w:pPr>
              <w:ind w:left="12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Marsh &amp; McLennan Companies, Inc.</w:t>
            </w:r>
          </w:p>
        </w:tc>
        <w:tc>
          <w:tcPr>
            <w:tcW w:w="0" w:type="dxa"/>
            <w:vAlign w:val="bottom"/>
          </w:tcPr>
          <w:p>
            <w:pPr>
              <w:spacing w:after="0"/>
              <w:rPr>
                <w:sz w:val="1"/>
                <w:szCs w:val="1"/>
                <w:color w:val="auto"/>
              </w:rPr>
            </w:pPr>
          </w:p>
        </w:tc>
      </w:tr>
      <w:tr>
        <w:trPr>
          <w:trHeight w:val="119"/>
        </w:trPr>
        <w:tc>
          <w:tcPr>
            <w:tcW w:w="2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800" w:type="dxa"/>
            <w:vAlign w:val="bottom"/>
            <w:vMerge w:val="restart"/>
          </w:tcPr>
          <w:p>
            <w:pPr>
              <w:ind w:left="240"/>
              <w:spacing w:after="0"/>
              <w:rPr>
                <w:sz w:val="20"/>
                <w:szCs w:val="20"/>
                <w:color w:val="auto"/>
              </w:rPr>
            </w:pPr>
            <w:r>
              <w:rPr>
                <w:rFonts w:ascii="Arial" w:cs="Arial" w:eastAsia="Arial" w:hAnsi="Arial"/>
                <w:sz w:val="15"/>
                <w:szCs w:val="15"/>
                <w:color w:val="auto"/>
              </w:rPr>
              <w:t>Services, Inc.</w:t>
            </w:r>
          </w:p>
        </w:tc>
        <w:tc>
          <w:tcPr>
            <w:tcW w:w="22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80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c>
          <w:tcPr>
            <w:tcW w:w="2800" w:type="dxa"/>
            <w:vAlign w:val="bottom"/>
            <w:tcBorders>
              <w:bottom w:val="single" w:sz="8" w:color="A6A6A6"/>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282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100"/>
              <w:spacing w:after="0" w:line="151" w:lineRule="exact"/>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Booz Allen Hamilton Holding</w:t>
            </w:r>
          </w:p>
        </w:tc>
        <w:tc>
          <w:tcPr>
            <w:tcW w:w="220" w:type="dxa"/>
            <w:vAlign w:val="bottom"/>
          </w:tcPr>
          <w:p>
            <w:pPr>
              <w:spacing w:after="0"/>
              <w:rPr>
                <w:sz w:val="13"/>
                <w:szCs w:val="13"/>
                <w:color w:val="auto"/>
              </w:rPr>
            </w:pPr>
          </w:p>
        </w:tc>
        <w:tc>
          <w:tcPr>
            <w:tcW w:w="2800" w:type="dxa"/>
            <w:vAlign w:val="bottom"/>
            <w:vMerge w:val="restart"/>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Fiserv, Inc.</w:t>
            </w:r>
          </w:p>
        </w:tc>
        <w:tc>
          <w:tcPr>
            <w:tcW w:w="220" w:type="dxa"/>
            <w:vAlign w:val="bottom"/>
          </w:tcPr>
          <w:p>
            <w:pPr>
              <w:spacing w:after="0"/>
              <w:rPr>
                <w:sz w:val="13"/>
                <w:szCs w:val="13"/>
                <w:color w:val="auto"/>
              </w:rPr>
            </w:pPr>
          </w:p>
        </w:tc>
        <w:tc>
          <w:tcPr>
            <w:tcW w:w="2820" w:type="dxa"/>
            <w:vAlign w:val="bottom"/>
            <w:vMerge w:val="restart"/>
          </w:tcPr>
          <w:p>
            <w:pPr>
              <w:ind w:left="12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Salesforce, Inc.</w:t>
            </w:r>
          </w:p>
        </w:tc>
        <w:tc>
          <w:tcPr>
            <w:tcW w:w="0" w:type="dxa"/>
            <w:vAlign w:val="bottom"/>
          </w:tcPr>
          <w:p>
            <w:pPr>
              <w:spacing w:after="0"/>
              <w:rPr>
                <w:sz w:val="1"/>
                <w:szCs w:val="1"/>
                <w:color w:val="auto"/>
              </w:rPr>
            </w:pPr>
          </w:p>
        </w:tc>
      </w:tr>
      <w:tr>
        <w:trPr>
          <w:trHeight w:val="119"/>
        </w:trPr>
        <w:tc>
          <w:tcPr>
            <w:tcW w:w="2800" w:type="dxa"/>
            <w:vAlign w:val="bottom"/>
            <w:vMerge w:val="restart"/>
          </w:tcPr>
          <w:p>
            <w:pPr>
              <w:ind w:left="240"/>
              <w:spacing w:after="0"/>
              <w:rPr>
                <w:sz w:val="20"/>
                <w:szCs w:val="20"/>
                <w:color w:val="auto"/>
              </w:rPr>
            </w:pPr>
            <w:r>
              <w:rPr>
                <w:rFonts w:ascii="Arial" w:cs="Arial" w:eastAsia="Arial" w:hAnsi="Arial"/>
                <w:sz w:val="15"/>
                <w:szCs w:val="15"/>
                <w:color w:val="auto"/>
              </w:rPr>
              <w:t>Corporation</w:t>
            </w:r>
          </w:p>
        </w:tc>
        <w:tc>
          <w:tcPr>
            <w:tcW w:w="22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800" w:type="dxa"/>
            <w:vAlign w:val="bottom"/>
            <w:tcBorders>
              <w:bottom w:val="single" w:sz="8" w:color="A6A6A6"/>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2800" w:type="dxa"/>
            <w:vAlign w:val="bottom"/>
            <w:tcBorders>
              <w:bottom w:val="single" w:sz="8" w:color="A6A6A6"/>
            </w:tcBorders>
          </w:tcPr>
          <w:p>
            <w:pPr>
              <w:spacing w:after="0"/>
              <w:rPr>
                <w:sz w:val="6"/>
                <w:szCs w:val="6"/>
                <w:color w:val="auto"/>
              </w:rPr>
            </w:pPr>
          </w:p>
        </w:tc>
        <w:tc>
          <w:tcPr>
            <w:tcW w:w="220" w:type="dxa"/>
            <w:vAlign w:val="bottom"/>
          </w:tcPr>
          <w:p>
            <w:pPr>
              <w:spacing w:after="0"/>
              <w:rPr>
                <w:sz w:val="6"/>
                <w:szCs w:val="6"/>
                <w:color w:val="auto"/>
              </w:rPr>
            </w:pPr>
          </w:p>
        </w:tc>
        <w:tc>
          <w:tcPr>
            <w:tcW w:w="2820" w:type="dxa"/>
            <w:vAlign w:val="bottom"/>
            <w:tcBorders>
              <w:bottom w:val="single" w:sz="8" w:color="A6A6A6"/>
            </w:tcBorders>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2800" w:type="dxa"/>
            <w:vAlign w:val="bottom"/>
            <w:vMerge w:val="restart"/>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Cisco Systems, Inc.</w:t>
            </w:r>
          </w:p>
        </w:tc>
        <w:tc>
          <w:tcPr>
            <w:tcW w:w="220" w:type="dxa"/>
            <w:vAlign w:val="bottom"/>
          </w:tcPr>
          <w:p>
            <w:pPr>
              <w:spacing w:after="0"/>
              <w:rPr>
                <w:sz w:val="13"/>
                <w:szCs w:val="13"/>
                <w:color w:val="auto"/>
              </w:rPr>
            </w:pPr>
          </w:p>
        </w:tc>
        <w:tc>
          <w:tcPr>
            <w:tcW w:w="2800" w:type="dxa"/>
            <w:vAlign w:val="bottom"/>
            <w:vMerge w:val="restart"/>
          </w:tcPr>
          <w:p>
            <w:pPr>
              <w:ind w:left="100"/>
              <w:spacing w:after="0"/>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Hewlett Packard Enterprise Company</w:t>
            </w:r>
          </w:p>
        </w:tc>
        <w:tc>
          <w:tcPr>
            <w:tcW w:w="220" w:type="dxa"/>
            <w:vAlign w:val="bottom"/>
          </w:tcPr>
          <w:p>
            <w:pPr>
              <w:spacing w:after="0"/>
              <w:rPr>
                <w:sz w:val="13"/>
                <w:szCs w:val="13"/>
                <w:color w:val="auto"/>
              </w:rPr>
            </w:pPr>
          </w:p>
        </w:tc>
        <w:tc>
          <w:tcPr>
            <w:tcW w:w="2820" w:type="dxa"/>
            <w:vAlign w:val="bottom"/>
          </w:tcPr>
          <w:p>
            <w:pPr>
              <w:ind w:left="120"/>
              <w:spacing w:after="0" w:line="151" w:lineRule="exact"/>
              <w:rPr>
                <w:sz w:val="20"/>
                <w:szCs w:val="20"/>
                <w:color w:val="auto"/>
              </w:rPr>
            </w:pPr>
            <w:r>
              <w:rPr>
                <w:rFonts w:ascii="Arial" w:cs="Arial" w:eastAsia="Arial" w:hAnsi="Arial"/>
                <w:sz w:val="15"/>
                <w:szCs w:val="15"/>
                <w:color w:val="F0533D"/>
              </w:rPr>
              <w:t>•</w:t>
            </w:r>
            <w:r>
              <w:rPr>
                <w:rFonts w:ascii="Arial" w:cs="Arial" w:eastAsia="Arial" w:hAnsi="Arial"/>
                <w:sz w:val="15"/>
                <w:szCs w:val="15"/>
                <w:color w:val="000000"/>
              </w:rPr>
              <w:t xml:space="preserve">  Science Applications International</w:t>
            </w:r>
          </w:p>
        </w:tc>
        <w:tc>
          <w:tcPr>
            <w:tcW w:w="0" w:type="dxa"/>
            <w:vAlign w:val="bottom"/>
          </w:tcPr>
          <w:p>
            <w:pPr>
              <w:spacing w:after="0"/>
              <w:rPr>
                <w:sz w:val="1"/>
                <w:szCs w:val="1"/>
                <w:color w:val="auto"/>
              </w:rPr>
            </w:pPr>
          </w:p>
        </w:tc>
      </w:tr>
      <w:tr>
        <w:trPr>
          <w:trHeight w:val="146"/>
        </w:trPr>
        <w:tc>
          <w:tcPr>
            <w:tcW w:w="2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820" w:type="dxa"/>
            <w:vAlign w:val="bottom"/>
            <w:vMerge w:val="restart"/>
          </w:tcPr>
          <w:p>
            <w:pPr>
              <w:ind w:left="260"/>
              <w:spacing w:after="0"/>
              <w:rPr>
                <w:sz w:val="20"/>
                <w:szCs w:val="20"/>
                <w:color w:val="auto"/>
              </w:rPr>
            </w:pPr>
            <w:r>
              <w:rPr>
                <w:rFonts w:ascii="Arial" w:cs="Arial" w:eastAsia="Arial" w:hAnsi="Arial"/>
                <w:sz w:val="15"/>
                <w:szCs w:val="15"/>
                <w:color w:val="auto"/>
              </w:rPr>
              <w:t>Corporation</w:t>
            </w:r>
          </w:p>
        </w:tc>
        <w:tc>
          <w:tcPr>
            <w:tcW w:w="0" w:type="dxa"/>
            <w:vAlign w:val="bottom"/>
          </w:tcPr>
          <w:p>
            <w:pPr>
              <w:spacing w:after="0"/>
              <w:rPr>
                <w:sz w:val="1"/>
                <w:szCs w:val="1"/>
                <w:color w:val="auto"/>
              </w:rPr>
            </w:pPr>
          </w:p>
        </w:tc>
      </w:tr>
      <w:tr>
        <w:trPr>
          <w:trHeight w:val="67"/>
        </w:trPr>
        <w:tc>
          <w:tcPr>
            <w:tcW w:w="2800" w:type="dxa"/>
            <w:vAlign w:val="bottom"/>
            <w:tcBorders>
              <w:bottom w:val="single" w:sz="8" w:color="F0533D"/>
            </w:tcBorders>
          </w:tcPr>
          <w:p>
            <w:pPr>
              <w:spacing w:after="0"/>
              <w:rPr>
                <w:sz w:val="5"/>
                <w:szCs w:val="5"/>
                <w:color w:val="auto"/>
              </w:rPr>
            </w:pPr>
          </w:p>
        </w:tc>
        <w:tc>
          <w:tcPr>
            <w:tcW w:w="220" w:type="dxa"/>
            <w:vAlign w:val="bottom"/>
            <w:tcBorders>
              <w:bottom w:val="single" w:sz="8" w:color="F0533D"/>
            </w:tcBorders>
          </w:tcPr>
          <w:p>
            <w:pPr>
              <w:spacing w:after="0"/>
              <w:rPr>
                <w:sz w:val="5"/>
                <w:szCs w:val="5"/>
                <w:color w:val="auto"/>
              </w:rPr>
            </w:pPr>
          </w:p>
        </w:tc>
        <w:tc>
          <w:tcPr>
            <w:tcW w:w="2800" w:type="dxa"/>
            <w:vAlign w:val="bottom"/>
            <w:tcBorders>
              <w:bottom w:val="single" w:sz="8" w:color="F0533D"/>
            </w:tcBorders>
          </w:tcPr>
          <w:p>
            <w:pPr>
              <w:spacing w:after="0"/>
              <w:rPr>
                <w:sz w:val="5"/>
                <w:szCs w:val="5"/>
                <w:color w:val="auto"/>
              </w:rPr>
            </w:pPr>
          </w:p>
        </w:tc>
        <w:tc>
          <w:tcPr>
            <w:tcW w:w="220" w:type="dxa"/>
            <w:vAlign w:val="bottom"/>
            <w:tcBorders>
              <w:bottom w:val="single" w:sz="8" w:color="F0533D"/>
            </w:tcBorders>
          </w:tcPr>
          <w:p>
            <w:pPr>
              <w:spacing w:after="0"/>
              <w:rPr>
                <w:sz w:val="5"/>
                <w:szCs w:val="5"/>
                <w:color w:val="auto"/>
              </w:rPr>
            </w:pPr>
          </w:p>
        </w:tc>
        <w:tc>
          <w:tcPr>
            <w:tcW w:w="2820" w:type="dxa"/>
            <w:vAlign w:val="bottom"/>
            <w:tcBorders>
              <w:bottom w:val="single" w:sz="8" w:color="F0533D"/>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80" w:right="159"/>
        <w:spacing w:after="0" w:line="237" w:lineRule="auto"/>
        <w:rPr>
          <w:sz w:val="20"/>
          <w:szCs w:val="20"/>
          <w:color w:val="auto"/>
        </w:rPr>
      </w:pPr>
      <w:r>
        <w:rPr>
          <w:rFonts w:ascii="Arial" w:cs="Arial" w:eastAsia="Arial" w:hAnsi="Arial"/>
          <w:sz w:val="17"/>
          <w:szCs w:val="17"/>
          <w:color w:val="auto"/>
        </w:rPr>
        <w:t>While our CHC Committee reviews compensation levels for comparable roles within the peer group to inform its determinations regarding the compensation of our executive officers, our CHC Committee does not rely solely on data from the peer group in establishing the compensation for our executive officers nor does our CHC Committee target a specific competitive position versus the peer group. Our CHC Committee also refers to other resources, including published compensation data from other third-party surveys. The compensation data of the peer group and such other resources are considered alongside the Company’s pay-for-performance and long-term value creation objectives in determining the compensation for our executive officers that best aligns management’s interests with those of our stockholders.</w:t>
      </w:r>
    </w:p>
    <w:p>
      <w:pPr>
        <w:spacing w:after="0" w:line="205"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Assessing Performance Results</w:t>
      </w:r>
    </w:p>
    <w:p>
      <w:pPr>
        <w:spacing w:after="0" w:line="156" w:lineRule="exact"/>
        <w:rPr>
          <w:sz w:val="20"/>
          <w:szCs w:val="20"/>
          <w:color w:val="auto"/>
        </w:rPr>
      </w:pPr>
    </w:p>
    <w:p>
      <w:pPr>
        <w:ind w:left="80" w:right="119"/>
        <w:spacing w:after="0" w:line="244" w:lineRule="auto"/>
        <w:rPr>
          <w:sz w:val="20"/>
          <w:szCs w:val="20"/>
          <w:color w:val="auto"/>
        </w:rPr>
      </w:pPr>
      <w:r>
        <w:rPr>
          <w:rFonts w:ascii="Arial" w:cs="Arial" w:eastAsia="Arial" w:hAnsi="Arial"/>
          <w:sz w:val="17"/>
          <w:szCs w:val="17"/>
          <w:color w:val="auto"/>
        </w:rPr>
        <w:t>In order to focus executives on the fundamentals of the Company’s operating performance within their control and on delivering the Company’s long-term objectives aligned with stockholder value creation, the CHC Committee established guidelines on adjustments to provide consistency when assessing compensation performance results for purposes of our annual and long-term incentive awards.</w:t>
      </w:r>
    </w:p>
    <w:p>
      <w:pPr>
        <w:spacing w:after="0" w:line="69" w:lineRule="exact"/>
        <w:rPr>
          <w:sz w:val="20"/>
          <w:szCs w:val="20"/>
          <w:color w:val="auto"/>
        </w:rPr>
      </w:pPr>
    </w:p>
    <w:p>
      <w:pPr>
        <w:ind w:left="900" w:right="319" w:hanging="356"/>
        <w:spacing w:after="0" w:line="235" w:lineRule="auto"/>
        <w:tabs>
          <w:tab w:leader="none" w:pos="900" w:val="left"/>
        </w:tabs>
        <w:numPr>
          <w:ilvl w:val="0"/>
          <w:numId w:val="64"/>
        </w:numPr>
        <w:rPr>
          <w:rFonts w:ascii="Arial" w:cs="Arial" w:eastAsia="Arial" w:hAnsi="Arial"/>
          <w:sz w:val="17"/>
          <w:szCs w:val="17"/>
          <w:color w:val="F0533D"/>
        </w:rPr>
      </w:pPr>
      <w:r>
        <w:rPr>
          <w:rFonts w:ascii="Arial" w:cs="Arial" w:eastAsia="Arial" w:hAnsi="Arial"/>
          <w:sz w:val="17"/>
          <w:szCs w:val="17"/>
          <w:color w:val="auto"/>
        </w:rPr>
        <w:t>The CHC Committee established certain pre-determined adjustments to remove the impact of currency movements (either positive or negative), as well as any impact of changes in GAAP or other accounting standards and tax laws that result in a significant impact to financial results. As a global company that generates a majority of its revenue outside the U.S., the CHC Committee applies these adjustments to prioritize long-term sustainable growth so that employees are focused on the Company’s underlying performance rather than reacting to short-term currency fluctuations or to other events beyond</w:t>
      </w:r>
    </w:p>
    <w:p>
      <w:pPr>
        <w:spacing w:after="0" w:line="1" w:lineRule="exact"/>
        <w:rPr>
          <w:rFonts w:ascii="Arial" w:cs="Arial" w:eastAsia="Arial" w:hAnsi="Arial"/>
          <w:sz w:val="17"/>
          <w:szCs w:val="17"/>
          <w:color w:val="F0533D"/>
        </w:rPr>
      </w:pPr>
    </w:p>
    <w:p>
      <w:pPr>
        <w:ind w:left="900"/>
        <w:spacing w:after="0"/>
        <w:rPr>
          <w:rFonts w:ascii="Arial" w:cs="Arial" w:eastAsia="Arial" w:hAnsi="Arial"/>
          <w:sz w:val="17"/>
          <w:szCs w:val="17"/>
          <w:color w:val="F0533D"/>
        </w:rPr>
      </w:pPr>
      <w:r>
        <w:rPr>
          <w:rFonts w:ascii="Arial" w:cs="Arial" w:eastAsia="Arial" w:hAnsi="Arial"/>
          <w:sz w:val="17"/>
          <w:szCs w:val="17"/>
          <w:color w:val="auto"/>
        </w:rPr>
        <w:t>their control.</w:t>
      </w:r>
    </w:p>
    <w:p>
      <w:pPr>
        <w:spacing w:after="0" w:line="85" w:lineRule="exact"/>
        <w:rPr>
          <w:rFonts w:ascii="Arial" w:cs="Arial" w:eastAsia="Arial" w:hAnsi="Arial"/>
          <w:sz w:val="17"/>
          <w:szCs w:val="17"/>
          <w:color w:val="F0533D"/>
        </w:rPr>
      </w:pPr>
    </w:p>
    <w:p>
      <w:pPr>
        <w:ind w:left="900" w:right="199" w:hanging="356"/>
        <w:spacing w:after="0" w:line="236" w:lineRule="auto"/>
        <w:tabs>
          <w:tab w:leader="none" w:pos="900" w:val="left"/>
        </w:tabs>
        <w:numPr>
          <w:ilvl w:val="0"/>
          <w:numId w:val="64"/>
        </w:numPr>
        <w:rPr>
          <w:rFonts w:ascii="Arial" w:cs="Arial" w:eastAsia="Arial" w:hAnsi="Arial"/>
          <w:sz w:val="17"/>
          <w:szCs w:val="17"/>
          <w:color w:val="F0533D"/>
        </w:rPr>
      </w:pPr>
      <w:r>
        <w:rPr>
          <w:rFonts w:ascii="Arial" w:cs="Arial" w:eastAsia="Arial" w:hAnsi="Arial"/>
          <w:sz w:val="17"/>
          <w:szCs w:val="17"/>
          <w:color w:val="auto"/>
        </w:rPr>
        <w:t>The CHC Committee also applies adjustments pursuant to pre-determined categories when the impacts were not contemplated by the Company’s financial plan at the time the award was granted, business objectives have evolved or non-recurring or non-operating items do not reflect the Company’s ongoing core operations. These pre-determined adjustment categories include: acquisitions or divestitures not included in the targets, special items adjusted for in the Company’s public disclosures including impairments and gains and losses on divestitures or sales of assets outside of the normal course of operations, material changes to commercial agreements driven by a change in the strategies of the Company’s former parent and cash usage associated with the deployment of any LTI cash-deferred plan. The CHC Committee regularly reviews these pre-determined adjustment categories. Our goal is to align incentive payouts with underlying business results that our investors use to measure performance, as opposed to allowing special gains or charges to have a significant impact on payouts.</w:t>
      </w:r>
    </w:p>
    <w:p>
      <w:pPr>
        <w:spacing w:after="0" w:line="127" w:lineRule="exact"/>
        <w:rPr>
          <w:sz w:val="20"/>
          <w:szCs w:val="20"/>
          <w:color w:val="auto"/>
        </w:rPr>
      </w:pPr>
    </w:p>
    <w:p>
      <w:pPr>
        <w:ind w:left="80" w:right="179"/>
        <w:spacing w:after="0" w:line="241" w:lineRule="auto"/>
        <w:rPr>
          <w:sz w:val="20"/>
          <w:szCs w:val="20"/>
          <w:color w:val="auto"/>
        </w:rPr>
      </w:pPr>
      <w:r>
        <w:rPr>
          <w:rFonts w:ascii="Arial" w:cs="Arial" w:eastAsia="Arial" w:hAnsi="Arial"/>
          <w:sz w:val="17"/>
          <w:szCs w:val="17"/>
          <w:color w:val="auto"/>
        </w:rPr>
        <w:t>While the Kyndryl Annual Incentive Plan for Executives permits the CHC Committee to change the incentive formula or increase, reduce or eliminate awards, the CHC Committee uses such discretion sparingly and only when it concludes that doing so is necessary to reflect performance fairly in light of the plan design and subject to pre-approved adjustment principles. For fiscal 2026, the CHC Committee did not apply discretionary upward or downward adjustments to the NEOs’ annual incentive payouts based on individual performance.</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F0533D"/>
        </w:rPr>
        <w:t>III.      ELEMENTS OF COMPENSATION AND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225425</wp:posOffset>
            </wp:positionV>
            <wp:extent cx="213995" cy="342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13995" cy="342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11430</wp:posOffset>
            </wp:positionV>
            <wp:extent cx="56235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76"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Base Salaries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120015</wp:posOffset>
            </wp:positionV>
            <wp:extent cx="5627370" cy="8439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627370" cy="84391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FFFFFF"/>
        </w:rPr>
        <w:t>LINK TO</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FFFFFF"/>
        </w:rPr>
        <w:t>COMPENSATION</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FFFFFF"/>
        </w:rPr>
        <w:t>PHILOSOPHY</w:t>
      </w:r>
    </w:p>
    <w:p>
      <w:pPr>
        <w:spacing w:after="0" w:line="32" w:lineRule="exact"/>
        <w:rPr>
          <w:sz w:val="20"/>
          <w:szCs w:val="20"/>
          <w:color w:val="auto"/>
        </w:rPr>
      </w:pPr>
    </w:p>
    <w:p>
      <w:pPr>
        <w:ind w:left="260"/>
        <w:spacing w:after="0"/>
        <w:rPr>
          <w:sz w:val="20"/>
          <w:szCs w:val="20"/>
          <w:color w:val="auto"/>
        </w:rPr>
      </w:pPr>
      <w:r>
        <w:rPr>
          <w:rFonts w:ascii="Arial" w:cs="Arial" w:eastAsia="Arial" w:hAnsi="Arial"/>
          <w:sz w:val="17"/>
          <w:szCs w:val="17"/>
          <w:color w:val="FFFFFF"/>
        </w:rPr>
        <w:t> </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right="239"/>
        <w:spacing w:after="0" w:line="239" w:lineRule="auto"/>
        <w:rPr>
          <w:sz w:val="20"/>
          <w:szCs w:val="20"/>
          <w:color w:val="auto"/>
        </w:rPr>
      </w:pPr>
      <w:r>
        <w:rPr>
          <w:rFonts w:ascii="Arial" w:cs="Arial" w:eastAsia="Arial" w:hAnsi="Arial"/>
          <w:sz w:val="17"/>
          <w:szCs w:val="17"/>
          <w:color w:val="auto"/>
        </w:rPr>
        <w:t>Base salary is intended to provide a market-competitive, fixed level of compensation and attract and retain high-performing talent. Base salaries are expected to be reviewed annually in the first fiscal quarter, and the CHC Committee may adjust individual base salaries from time to time to recognize outstanding performance, changes in duties or roles with the Company and/or changes in overall labor market dynamics.</w:t>
      </w:r>
    </w:p>
    <w:p>
      <w:pPr>
        <w:spacing w:after="0" w:line="200" w:lineRule="exact"/>
        <w:rPr>
          <w:sz w:val="20"/>
          <w:szCs w:val="20"/>
          <w:color w:val="auto"/>
        </w:rPr>
      </w:pPr>
    </w:p>
    <w:p>
      <w:pPr>
        <w:sectPr>
          <w:pgSz w:w="11900" w:h="16838" w:orient="portrait"/>
          <w:cols w:equalWidth="0" w:num="2">
            <w:col w:w="2680" w:space="220"/>
            <w:col w:w="6119"/>
          </w:cols>
          <w:pgMar w:left="1440" w:top="114" w:right="1440" w:bottom="1440" w:gutter="0" w:footer="0" w:header="0"/>
          <w:type w:val="continuous"/>
        </w:sectPr>
      </w:pP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table below sets forth the annual base salaries for our NEOs at the end of fiscal 2026.</w:t>
      </w:r>
    </w:p>
    <w:p>
      <w:pPr>
        <w:spacing w:after="0" w:line="26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4380" w:type="dxa"/>
            <w:vAlign w:val="bottom"/>
          </w:tcPr>
          <w:p>
            <w:pPr>
              <w:jc w:val="center"/>
              <w:ind w:left="2598"/>
              <w:spacing w:after="0"/>
              <w:rPr>
                <w:sz w:val="20"/>
                <w:szCs w:val="20"/>
                <w:color w:val="auto"/>
              </w:rPr>
            </w:pPr>
            <w:r>
              <w:rPr>
                <w:rFonts w:ascii="Arial" w:cs="Arial" w:eastAsia="Arial" w:hAnsi="Arial"/>
                <w:sz w:val="14"/>
                <w:szCs w:val="14"/>
                <w:b w:val="1"/>
                <w:bCs w:val="1"/>
                <w:color w:val="F0533D"/>
              </w:rPr>
              <w:t>Annual Base Salary</w:t>
            </w:r>
          </w:p>
        </w:tc>
      </w:tr>
      <w:tr>
        <w:trPr>
          <w:trHeight w:val="162"/>
        </w:trPr>
        <w:tc>
          <w:tcPr>
            <w:tcW w:w="4480" w:type="dxa"/>
            <w:vAlign w:val="bottom"/>
          </w:tcPr>
          <w:p>
            <w:pPr>
              <w:spacing w:after="0"/>
              <w:rPr>
                <w:sz w:val="14"/>
                <w:szCs w:val="14"/>
                <w:color w:val="auto"/>
              </w:rPr>
            </w:pPr>
          </w:p>
        </w:tc>
        <w:tc>
          <w:tcPr>
            <w:tcW w:w="4380" w:type="dxa"/>
            <w:vAlign w:val="bottom"/>
          </w:tcPr>
          <w:p>
            <w:pPr>
              <w:jc w:val="center"/>
              <w:ind w:left="2578"/>
              <w:spacing w:after="0"/>
              <w:rPr>
                <w:sz w:val="20"/>
                <w:szCs w:val="20"/>
                <w:color w:val="auto"/>
              </w:rPr>
            </w:pPr>
            <w:r>
              <w:rPr>
                <w:rFonts w:ascii="Arial" w:cs="Arial" w:eastAsia="Arial" w:hAnsi="Arial"/>
                <w:sz w:val="14"/>
                <w:szCs w:val="14"/>
                <w:b w:val="1"/>
                <w:bCs w:val="1"/>
                <w:color w:val="F0533D"/>
              </w:rPr>
              <w:t>as of March 31, 2026</w:t>
            </w:r>
          </w:p>
        </w:tc>
      </w:tr>
      <w:tr>
        <w:trPr>
          <w:trHeight w:val="205"/>
        </w:trPr>
        <w:tc>
          <w:tcPr>
            <w:tcW w:w="4480" w:type="dxa"/>
            <w:vAlign w:val="bottom"/>
            <w:tcBorders>
              <w:bottom w:val="single" w:sz="8" w:color="F0533D"/>
            </w:tcBorders>
          </w:tcPr>
          <w:p>
            <w:pPr>
              <w:ind w:left="140"/>
              <w:spacing w:after="0"/>
              <w:rPr>
                <w:sz w:val="20"/>
                <w:szCs w:val="20"/>
                <w:color w:val="auto"/>
              </w:rPr>
            </w:pPr>
            <w:r>
              <w:rPr>
                <w:rFonts w:ascii="Arial" w:cs="Arial" w:eastAsia="Arial" w:hAnsi="Arial"/>
                <w:sz w:val="14"/>
                <w:szCs w:val="14"/>
                <w:b w:val="1"/>
                <w:bCs w:val="1"/>
                <w:color w:val="F0533D"/>
              </w:rPr>
              <w:t>Name</w:t>
            </w:r>
          </w:p>
        </w:tc>
        <w:tc>
          <w:tcPr>
            <w:tcW w:w="4380" w:type="dxa"/>
            <w:vAlign w:val="bottom"/>
            <w:tcBorders>
              <w:bottom w:val="single" w:sz="8" w:color="F0533D"/>
            </w:tcBorders>
          </w:tcPr>
          <w:p>
            <w:pPr>
              <w:jc w:val="center"/>
              <w:ind w:left="2618"/>
              <w:spacing w:after="0"/>
              <w:rPr>
                <w:sz w:val="20"/>
                <w:szCs w:val="20"/>
                <w:color w:val="auto"/>
              </w:rPr>
            </w:pPr>
            <w:r>
              <w:rPr>
                <w:rFonts w:ascii="Arial" w:cs="Arial" w:eastAsia="Arial" w:hAnsi="Arial"/>
                <w:sz w:val="14"/>
                <w:szCs w:val="14"/>
                <w:b w:val="1"/>
                <w:bCs w:val="1"/>
                <w:color w:val="F0533D"/>
                <w:w w:val="93"/>
              </w:rPr>
              <w:t>($)</w:t>
            </w:r>
          </w:p>
        </w:tc>
      </w:tr>
      <w:tr>
        <w:trPr>
          <w:trHeight w:val="237"/>
        </w:trPr>
        <w:tc>
          <w:tcPr>
            <w:tcW w:w="44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Martin Schroeter</w:t>
            </w:r>
          </w:p>
        </w:tc>
        <w:tc>
          <w:tcPr>
            <w:tcW w:w="4380" w:type="dxa"/>
            <w:vAlign w:val="bottom"/>
            <w:tcBorders>
              <w:bottom w:val="single" w:sz="8" w:color="939598"/>
            </w:tcBorders>
          </w:tcPr>
          <w:p>
            <w:pPr>
              <w:jc w:val="right"/>
              <w:ind w:right="398"/>
              <w:spacing w:after="0"/>
              <w:rPr>
                <w:sz w:val="20"/>
                <w:szCs w:val="20"/>
                <w:color w:val="auto"/>
              </w:rPr>
            </w:pPr>
            <w:r>
              <w:rPr>
                <w:rFonts w:ascii="Arial" w:cs="Arial" w:eastAsia="Arial" w:hAnsi="Arial"/>
                <w:sz w:val="17"/>
                <w:szCs w:val="17"/>
                <w:color w:val="auto"/>
              </w:rPr>
              <w:t>1,450,000</w:t>
            </w:r>
          </w:p>
        </w:tc>
      </w:tr>
      <w:tr>
        <w:trPr>
          <w:trHeight w:val="237"/>
        </w:trPr>
        <w:tc>
          <w:tcPr>
            <w:tcW w:w="44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Harsh Chugh</w:t>
            </w:r>
          </w:p>
        </w:tc>
        <w:tc>
          <w:tcPr>
            <w:tcW w:w="4380" w:type="dxa"/>
            <w:vAlign w:val="bottom"/>
            <w:tcBorders>
              <w:bottom w:val="single" w:sz="8" w:color="939598"/>
            </w:tcBorders>
          </w:tcPr>
          <w:p>
            <w:pPr>
              <w:jc w:val="right"/>
              <w:ind w:right="398"/>
              <w:spacing w:after="0"/>
              <w:rPr>
                <w:sz w:val="20"/>
                <w:szCs w:val="20"/>
                <w:color w:val="auto"/>
              </w:rPr>
            </w:pPr>
            <w:r>
              <w:rPr>
                <w:rFonts w:ascii="Arial" w:cs="Arial" w:eastAsia="Arial" w:hAnsi="Arial"/>
                <w:sz w:val="17"/>
                <w:szCs w:val="17"/>
                <w:color w:val="auto"/>
              </w:rPr>
              <w:t>825,000</w:t>
            </w:r>
          </w:p>
        </w:tc>
      </w:tr>
      <w:tr>
        <w:trPr>
          <w:trHeight w:val="236"/>
        </w:trPr>
        <w:tc>
          <w:tcPr>
            <w:tcW w:w="44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Elly Keinan</w:t>
            </w:r>
          </w:p>
        </w:tc>
        <w:tc>
          <w:tcPr>
            <w:tcW w:w="4380" w:type="dxa"/>
            <w:vAlign w:val="bottom"/>
            <w:tcBorders>
              <w:bottom w:val="single" w:sz="8" w:color="939598"/>
            </w:tcBorders>
          </w:tcPr>
          <w:p>
            <w:pPr>
              <w:jc w:val="right"/>
              <w:ind w:right="398"/>
              <w:spacing w:after="0"/>
              <w:rPr>
                <w:sz w:val="20"/>
                <w:szCs w:val="20"/>
                <w:color w:val="auto"/>
              </w:rPr>
            </w:pPr>
            <w:r>
              <w:rPr>
                <w:rFonts w:ascii="Arial" w:cs="Arial" w:eastAsia="Arial" w:hAnsi="Arial"/>
                <w:sz w:val="17"/>
                <w:szCs w:val="17"/>
                <w:color w:val="auto"/>
              </w:rPr>
              <w:t>1,000,000</w:t>
            </w:r>
          </w:p>
        </w:tc>
      </w:tr>
      <w:tr>
        <w:trPr>
          <w:trHeight w:val="237"/>
        </w:trPr>
        <w:tc>
          <w:tcPr>
            <w:tcW w:w="44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Maryjo Charbonnier</w:t>
            </w:r>
          </w:p>
        </w:tc>
        <w:tc>
          <w:tcPr>
            <w:tcW w:w="4380" w:type="dxa"/>
            <w:vAlign w:val="bottom"/>
            <w:tcBorders>
              <w:bottom w:val="single" w:sz="8" w:color="939598"/>
            </w:tcBorders>
          </w:tcPr>
          <w:p>
            <w:pPr>
              <w:jc w:val="right"/>
              <w:ind w:right="398"/>
              <w:spacing w:after="0"/>
              <w:rPr>
                <w:sz w:val="20"/>
                <w:szCs w:val="20"/>
                <w:color w:val="auto"/>
              </w:rPr>
            </w:pPr>
            <w:r>
              <w:rPr>
                <w:rFonts w:ascii="Arial" w:cs="Arial" w:eastAsia="Arial" w:hAnsi="Arial"/>
                <w:sz w:val="17"/>
                <w:szCs w:val="17"/>
                <w:color w:val="auto"/>
              </w:rPr>
              <w:t>700,000</w:t>
            </w:r>
          </w:p>
        </w:tc>
      </w:tr>
      <w:tr>
        <w:trPr>
          <w:trHeight w:val="237"/>
        </w:trPr>
        <w:tc>
          <w:tcPr>
            <w:tcW w:w="44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Mark Ringes</w:t>
            </w:r>
          </w:p>
        </w:tc>
        <w:tc>
          <w:tcPr>
            <w:tcW w:w="4380" w:type="dxa"/>
            <w:vAlign w:val="bottom"/>
            <w:tcBorders>
              <w:bottom w:val="single" w:sz="8" w:color="939598"/>
            </w:tcBorders>
          </w:tcPr>
          <w:p>
            <w:pPr>
              <w:jc w:val="right"/>
              <w:ind w:right="398"/>
              <w:spacing w:after="0"/>
              <w:rPr>
                <w:sz w:val="20"/>
                <w:szCs w:val="20"/>
                <w:color w:val="auto"/>
              </w:rPr>
            </w:pPr>
            <w:r>
              <w:rPr>
                <w:rFonts w:ascii="Arial" w:cs="Arial" w:eastAsia="Arial" w:hAnsi="Arial"/>
                <w:sz w:val="17"/>
                <w:szCs w:val="17"/>
                <w:color w:val="auto"/>
              </w:rPr>
              <w:t>478,547</w:t>
            </w:r>
          </w:p>
        </w:tc>
      </w:tr>
      <w:tr>
        <w:trPr>
          <w:trHeight w:val="297"/>
        </w:trPr>
        <w:tc>
          <w:tcPr>
            <w:tcW w:w="4480" w:type="dxa"/>
            <w:vAlign w:val="bottom"/>
            <w:tcBorders>
              <w:bottom w:val="single" w:sz="8" w:color="939598"/>
            </w:tcBorders>
          </w:tcPr>
          <w:p>
            <w:pPr>
              <w:ind w:left="140"/>
              <w:spacing w:after="0" w:line="297" w:lineRule="exact"/>
              <w:rPr>
                <w:sz w:val="20"/>
                <w:szCs w:val="20"/>
                <w:color w:val="auto"/>
              </w:rPr>
            </w:pPr>
            <w:r>
              <w:rPr>
                <w:rFonts w:ascii="Arial" w:cs="Arial" w:eastAsia="Arial" w:hAnsi="Arial"/>
                <w:sz w:val="17"/>
                <w:szCs w:val="17"/>
                <w:color w:val="auto"/>
              </w:rPr>
              <w:t>David Wyshner</w:t>
            </w:r>
            <w:r>
              <w:rPr>
                <w:rFonts w:ascii="Arial" w:cs="Arial" w:eastAsia="Arial" w:hAnsi="Arial"/>
                <w:sz w:val="28"/>
                <w:szCs w:val="28"/>
                <w:color w:val="auto"/>
                <w:vertAlign w:val="superscript"/>
              </w:rPr>
              <w:t>(1)</w:t>
            </w:r>
          </w:p>
        </w:tc>
        <w:tc>
          <w:tcPr>
            <w:tcW w:w="4380" w:type="dxa"/>
            <w:vAlign w:val="bottom"/>
            <w:tcBorders>
              <w:bottom w:val="single" w:sz="8" w:color="939598"/>
            </w:tcBorders>
          </w:tcPr>
          <w:p>
            <w:pPr>
              <w:jc w:val="right"/>
              <w:ind w:right="398"/>
              <w:spacing w:after="0"/>
              <w:rPr>
                <w:sz w:val="20"/>
                <w:szCs w:val="20"/>
                <w:color w:val="auto"/>
              </w:rPr>
            </w:pPr>
            <w:r>
              <w:rPr>
                <w:rFonts w:ascii="Arial" w:cs="Arial" w:eastAsia="Arial" w:hAnsi="Arial"/>
                <w:sz w:val="17"/>
                <w:szCs w:val="17"/>
                <w:color w:val="auto"/>
              </w:rPr>
              <w:t>950,000</w:t>
            </w:r>
          </w:p>
        </w:tc>
      </w:tr>
      <w:tr>
        <w:trPr>
          <w:trHeight w:val="291"/>
        </w:trPr>
        <w:tc>
          <w:tcPr>
            <w:tcW w:w="4480" w:type="dxa"/>
            <w:vAlign w:val="bottom"/>
            <w:tcBorders>
              <w:bottom w:val="single" w:sz="8" w:color="939598"/>
            </w:tcBorders>
          </w:tcPr>
          <w:p>
            <w:pPr>
              <w:ind w:left="140"/>
              <w:spacing w:after="0" w:line="290" w:lineRule="exact"/>
              <w:rPr>
                <w:sz w:val="20"/>
                <w:szCs w:val="20"/>
                <w:color w:val="auto"/>
              </w:rPr>
            </w:pPr>
            <w:r>
              <w:rPr>
                <w:rFonts w:ascii="Arial" w:cs="Arial" w:eastAsia="Arial" w:hAnsi="Arial"/>
                <w:sz w:val="17"/>
                <w:szCs w:val="17"/>
                <w:color w:val="auto"/>
              </w:rPr>
              <w:t>Edward Sebold</w:t>
            </w:r>
            <w:r>
              <w:rPr>
                <w:rFonts w:ascii="Arial" w:cs="Arial" w:eastAsia="Arial" w:hAnsi="Arial"/>
                <w:sz w:val="28"/>
                <w:szCs w:val="28"/>
                <w:color w:val="auto"/>
                <w:vertAlign w:val="superscript"/>
              </w:rPr>
              <w:t>(1)</w:t>
            </w:r>
          </w:p>
        </w:tc>
        <w:tc>
          <w:tcPr>
            <w:tcW w:w="4380" w:type="dxa"/>
            <w:vAlign w:val="bottom"/>
            <w:tcBorders>
              <w:bottom w:val="single" w:sz="8" w:color="939598"/>
            </w:tcBorders>
          </w:tcPr>
          <w:p>
            <w:pPr>
              <w:jc w:val="right"/>
              <w:ind w:right="398"/>
              <w:spacing w:after="0"/>
              <w:rPr>
                <w:sz w:val="20"/>
                <w:szCs w:val="20"/>
                <w:color w:val="auto"/>
              </w:rPr>
            </w:pPr>
            <w:r>
              <w:rPr>
                <w:rFonts w:ascii="Arial" w:cs="Arial" w:eastAsia="Arial" w:hAnsi="Arial"/>
                <w:sz w:val="17"/>
                <w:szCs w:val="17"/>
                <w:color w:val="auto"/>
              </w:rPr>
              <w:t>750,000</w:t>
            </w:r>
          </w:p>
        </w:tc>
      </w:tr>
      <w:tr>
        <w:trPr>
          <w:trHeight w:val="209"/>
        </w:trPr>
        <w:tc>
          <w:tcPr>
            <w:tcW w:w="4480" w:type="dxa"/>
            <w:vAlign w:val="bottom"/>
            <w:tcBorders>
              <w:bottom w:val="single" w:sz="8" w:color="F0533D"/>
            </w:tcBorders>
          </w:tcPr>
          <w:p>
            <w:pPr>
              <w:ind w:left="140"/>
              <w:spacing w:after="0"/>
              <w:rPr>
                <w:sz w:val="20"/>
                <w:szCs w:val="20"/>
                <w:color w:val="auto"/>
              </w:rPr>
            </w:pPr>
            <w:r>
              <w:rPr>
                <w:rFonts w:ascii="Arial" w:cs="Arial" w:eastAsia="Arial" w:hAnsi="Arial"/>
                <w:sz w:val="17"/>
                <w:szCs w:val="17"/>
                <w:color w:val="auto"/>
              </w:rPr>
              <w:t>Vineet Khurana</w:t>
            </w:r>
          </w:p>
        </w:tc>
        <w:tc>
          <w:tcPr>
            <w:tcW w:w="4380" w:type="dxa"/>
            <w:vAlign w:val="bottom"/>
            <w:tcBorders>
              <w:bottom w:val="single" w:sz="8" w:color="F0533D"/>
            </w:tcBorders>
          </w:tcPr>
          <w:p>
            <w:pPr>
              <w:jc w:val="right"/>
              <w:ind w:right="398"/>
              <w:spacing w:after="0"/>
              <w:rPr>
                <w:sz w:val="20"/>
                <w:szCs w:val="20"/>
                <w:color w:val="auto"/>
              </w:rPr>
            </w:pPr>
            <w:r>
              <w:rPr>
                <w:rFonts w:ascii="Arial" w:cs="Arial" w:eastAsia="Arial" w:hAnsi="Arial"/>
                <w:sz w:val="17"/>
                <w:szCs w:val="17"/>
                <w:color w:val="auto"/>
              </w:rPr>
              <w:t>525,000</w:t>
            </w:r>
          </w:p>
        </w:tc>
      </w:tr>
    </w:tbl>
    <w:p>
      <w:pPr>
        <w:spacing w:after="0" w:line="243" w:lineRule="exact"/>
        <w:rPr>
          <w:sz w:val="20"/>
          <w:szCs w:val="20"/>
          <w:color w:val="auto"/>
        </w:rPr>
      </w:pPr>
    </w:p>
    <w:p>
      <w:pPr>
        <w:ind w:left="540" w:hanging="356"/>
        <w:spacing w:after="0"/>
        <w:tabs>
          <w:tab w:leader="none" w:pos="540" w:val="left"/>
        </w:tabs>
        <w:numPr>
          <w:ilvl w:val="0"/>
          <w:numId w:val="65"/>
        </w:numPr>
        <w:rPr>
          <w:rFonts w:ascii="Arial" w:cs="Arial" w:eastAsia="Arial" w:hAnsi="Arial"/>
          <w:sz w:val="23"/>
          <w:szCs w:val="23"/>
          <w:color w:val="auto"/>
          <w:vertAlign w:val="superscript"/>
        </w:rPr>
      </w:pPr>
      <w:r>
        <w:rPr>
          <w:rFonts w:ascii="Arial" w:cs="Arial" w:eastAsia="Arial" w:hAnsi="Arial"/>
          <w:sz w:val="15"/>
          <w:szCs w:val="15"/>
          <w:color w:val="auto"/>
        </w:rPr>
        <w:t>Reflects base salary as of the departure date for Messrs. Wyshner and Sebold.</w:t>
      </w:r>
    </w:p>
    <w:p>
      <w:pPr>
        <w:spacing w:after="0" w:line="119" w:lineRule="exact"/>
        <w:rPr>
          <w:sz w:val="20"/>
          <w:szCs w:val="20"/>
          <w:color w:val="auto"/>
        </w:rPr>
      </w:pPr>
    </w:p>
    <w:p>
      <w:pPr>
        <w:ind w:left="80" w:right="139"/>
        <w:spacing w:after="0" w:line="244" w:lineRule="auto"/>
        <w:rPr>
          <w:sz w:val="20"/>
          <w:szCs w:val="20"/>
          <w:color w:val="auto"/>
        </w:rPr>
      </w:pPr>
      <w:r>
        <w:rPr>
          <w:rFonts w:ascii="Arial" w:cs="Arial" w:eastAsia="Arial" w:hAnsi="Arial"/>
          <w:sz w:val="17"/>
          <w:szCs w:val="17"/>
          <w:color w:val="auto"/>
        </w:rPr>
        <w:t>See “Fiscal 2026 Developments” for further information regarding Mr. Schroeter’s salary increase. After considering performance and compensation peer group data in its annual review in the first quarter of fiscal 2026, the CHC Committee approved fiscal 2026 salary increases for Mr. Keinan (an increase of 12%), Ms. Charbonnier (an increase of 3%), Mr. Wyshner (an increase of 10%), Mr. Sebold (an increase of 2%) and Mr. Khurana (an increase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186690</wp:posOffset>
            </wp:positionV>
            <wp:extent cx="213995" cy="342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5"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Supplemental Monthly Cash Bonus Payment</w:t>
      </w:r>
    </w:p>
    <w:p>
      <w:pPr>
        <w:spacing w:after="0" w:line="156" w:lineRule="exact"/>
        <w:rPr>
          <w:sz w:val="20"/>
          <w:szCs w:val="20"/>
          <w:color w:val="auto"/>
        </w:rPr>
      </w:pPr>
    </w:p>
    <w:p>
      <w:pPr>
        <w:ind w:left="80" w:right="159"/>
        <w:spacing w:after="0" w:line="239" w:lineRule="auto"/>
        <w:rPr>
          <w:sz w:val="20"/>
          <w:szCs w:val="20"/>
          <w:color w:val="auto"/>
        </w:rPr>
      </w:pPr>
      <w:r>
        <w:rPr>
          <w:rFonts w:ascii="Arial" w:cs="Arial" w:eastAsia="Arial" w:hAnsi="Arial"/>
          <w:sz w:val="17"/>
          <w:szCs w:val="17"/>
          <w:color w:val="auto"/>
        </w:rPr>
        <w:t>While Messrs. Chugh and Ringes did not receive salary increases for taking on the roles of Interim Chief Financial Officer and Interim General Counsel, respectively, in February 2026, the CHC Committee approved a supplemental monthly cash bonus payment for each of Messrs. Chugh and Ringes, in addition to their current salaries, while they serve in these interim assignments. Mr. Chugh will receive a supplemental monthly cash bonus payment of $35,000, and Mr. Ringes will receive a supplemental monthly cash bonus payment of $20,000, to be prorated for any partial month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180975</wp:posOffset>
            </wp:positionV>
            <wp:extent cx="213995" cy="342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06"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128270</wp:posOffset>
            </wp:positionV>
            <wp:extent cx="5627370" cy="12217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627370" cy="122174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FFFFFF"/>
        </w:rPr>
        <w:t>LINK TO</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FFFFFF"/>
        </w:rPr>
        <w:t>COMPENSATION</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FFFFFF"/>
        </w:rPr>
        <w:t>PHILOSOPHY</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7"/>
          <w:szCs w:val="17"/>
          <w:color w:val="FFFFFF"/>
        </w:rPr>
        <w:t> </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right="279"/>
        <w:spacing w:after="0" w:line="241" w:lineRule="auto"/>
        <w:rPr>
          <w:sz w:val="20"/>
          <w:szCs w:val="20"/>
          <w:color w:val="auto"/>
        </w:rPr>
      </w:pPr>
      <w:r>
        <w:rPr>
          <w:rFonts w:ascii="Arial" w:cs="Arial" w:eastAsia="Arial" w:hAnsi="Arial"/>
          <w:sz w:val="17"/>
          <w:szCs w:val="17"/>
          <w:color w:val="auto"/>
        </w:rPr>
        <w:t>Annual cash bonus opportunities are intended to encourage NEOs, as well as other employees, to focus on multiple performance objectives that are key to creating stockholder value by delivering financial, operating and strategic performance that is aligned with our business strategy and stockholder interests.</w:t>
      </w:r>
    </w:p>
    <w:p>
      <w:pPr>
        <w:spacing w:after="0" w:line="180" w:lineRule="exact"/>
        <w:rPr>
          <w:sz w:val="20"/>
          <w:szCs w:val="20"/>
          <w:color w:val="auto"/>
        </w:rPr>
      </w:pPr>
    </w:p>
    <w:p>
      <w:pPr>
        <w:sectPr>
          <w:pgSz w:w="11900" w:h="16838" w:orient="portrait"/>
          <w:cols w:equalWidth="0" w:num="2">
            <w:col w:w="2640" w:space="240"/>
            <w:col w:w="6139"/>
          </w:cols>
          <w:pgMar w:left="1440" w:top="114" w:right="1440" w:bottom="1440" w:gutter="0" w:footer="0" w:header="0"/>
          <w:type w:val="continuous"/>
        </w:sectPr>
      </w:pPr>
    </w:p>
    <w:p>
      <w:pPr>
        <w:ind w:left="240" w:right="439"/>
        <w:spacing w:after="0" w:line="249" w:lineRule="auto"/>
        <w:rPr>
          <w:sz w:val="20"/>
          <w:szCs w:val="20"/>
          <w:color w:val="auto"/>
        </w:rPr>
      </w:pPr>
      <w:r>
        <w:rPr>
          <w:rFonts w:ascii="Arial" w:cs="Arial" w:eastAsia="Arial" w:hAnsi="Arial"/>
          <w:sz w:val="17"/>
          <w:szCs w:val="17"/>
          <w:color w:val="auto"/>
        </w:rPr>
        <w:t>The CHC Committee annually evaluates a broad range of financial and non-financial metrics, including metrics relating to the Company’s corporate citizenship strategy, to determine the appropriate annual bonus award metrics.</w:t>
      </w:r>
    </w:p>
    <w:p>
      <w:pPr>
        <w:spacing w:after="0" w:line="26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2" w:name="page53"/>
    <w:bookmarkEnd w:id="5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319"/>
        <w:spacing w:after="0" w:line="267" w:lineRule="auto"/>
        <w:rPr>
          <w:sz w:val="20"/>
          <w:szCs w:val="20"/>
          <w:color w:val="auto"/>
        </w:rPr>
      </w:pPr>
      <w:r>
        <w:rPr>
          <w:rFonts w:ascii="Arial" w:cs="Arial" w:eastAsia="Arial" w:hAnsi="Arial"/>
          <w:sz w:val="17"/>
          <w:szCs w:val="17"/>
          <w:color w:val="auto"/>
        </w:rPr>
        <w:t>The CHC Committee determined to award the NEOs cash bonus opportunities under the Kyndryl Annual Incentive Plan for Executives for fiscal 2026.</w:t>
      </w:r>
    </w:p>
    <w:p>
      <w:pPr>
        <w:spacing w:after="0" w:line="105" w:lineRule="exact"/>
        <w:rPr>
          <w:sz w:val="20"/>
          <w:szCs w:val="20"/>
          <w:color w:val="auto"/>
        </w:rPr>
      </w:pPr>
    </w:p>
    <w:p>
      <w:pPr>
        <w:ind w:left="80" w:right="699"/>
        <w:spacing w:after="0" w:line="241" w:lineRule="auto"/>
        <w:rPr>
          <w:sz w:val="20"/>
          <w:szCs w:val="20"/>
          <w:color w:val="auto"/>
        </w:rPr>
      </w:pPr>
      <w:r>
        <w:rPr>
          <w:rFonts w:ascii="Arial" w:cs="Arial" w:eastAsia="Arial" w:hAnsi="Arial"/>
          <w:sz w:val="17"/>
          <w:szCs w:val="17"/>
          <w:color w:val="auto"/>
        </w:rPr>
        <w:t>Target amounts for the cash bonus opportunities were equal to 225% of Mr. Schroeter’s base salary, 200% of Mr. Keinan’s base salary, 125% of their respective base salaries for Messrs. Wyshner and Sebold and</w:t>
      </w:r>
    </w:p>
    <w:p>
      <w:pPr>
        <w:spacing w:after="0" w:line="1" w:lineRule="exact"/>
        <w:rPr>
          <w:sz w:val="20"/>
          <w:szCs w:val="20"/>
          <w:color w:val="auto"/>
        </w:rPr>
      </w:pPr>
    </w:p>
    <w:p>
      <w:pPr>
        <w:ind w:left="80" w:right="239"/>
        <w:spacing w:after="0" w:line="235" w:lineRule="auto"/>
        <w:rPr>
          <w:sz w:val="20"/>
          <w:szCs w:val="20"/>
          <w:color w:val="auto"/>
        </w:rPr>
      </w:pPr>
      <w:r>
        <w:rPr>
          <w:rFonts w:ascii="Arial" w:cs="Arial" w:eastAsia="Arial" w:hAnsi="Arial"/>
          <w:sz w:val="17"/>
          <w:szCs w:val="17"/>
          <w:color w:val="auto"/>
        </w:rPr>
        <w:t>Ms. Charbonnier, and 100% of their respective base salaries for Messrs. Chugh, Ringes and Khurana. Actual bonuses can range from 0% to 200% of the target award opportunity for each NEO. As part of its review and competitive market analysis in May 2025, the CHC Committee determined that setting the NEOs’ target short-term cash incentives at these levels (which were unchanged as a percentage of base salary from fiscal 2025 levels, except for Mr. Schroeter’s increased target opportunity from 200% to 225% as described in “Fiscal 2026 Developments”) furthered the CHC Committee’s objective of awarding compensation opportunities that are majority performance-based and tied to the Company’s business results.</w:t>
      </w:r>
    </w:p>
    <w:p>
      <w:pPr>
        <w:spacing w:after="0" w:line="129" w:lineRule="exact"/>
        <w:rPr>
          <w:sz w:val="20"/>
          <w:szCs w:val="20"/>
          <w:color w:val="auto"/>
        </w:rPr>
      </w:pPr>
    </w:p>
    <w:p>
      <w:pPr>
        <w:jc w:val="both"/>
        <w:ind w:left="80" w:right="319"/>
        <w:spacing w:after="0" w:line="235" w:lineRule="auto"/>
        <w:rPr>
          <w:sz w:val="20"/>
          <w:szCs w:val="20"/>
          <w:color w:val="auto"/>
        </w:rPr>
      </w:pPr>
      <w:r>
        <w:rPr>
          <w:rFonts w:ascii="Arial" w:cs="Arial" w:eastAsia="Arial" w:hAnsi="Arial"/>
          <w:sz w:val="17"/>
          <w:szCs w:val="17"/>
          <w:color w:val="auto"/>
        </w:rPr>
        <w:t>The tables below set forth the performance metrics selected by the CHC Committee, their relative weightings, the targets approved by the CHC Committee with respect to each metric based on the Company’s fiscal 2026 budget and corporate citizenship strategy, as well as the CHC Committee’s rationale for the selection of each metric. The revenue goal reflected the Company’s publicly disclosed guidance in the Company’s fourth quarter and fiscal 2025 earnings release that the earnings and cash flow outlook assumed revenue would grow consistent with the</w:t>
      </w:r>
    </w:p>
    <w:p>
      <w:pPr>
        <w:spacing w:after="0" w:line="4"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color w:val="auto"/>
        </w:rPr>
        <w:t>fourth quarter of fiscal 2025. The revenue goal continued to assume benefits from Kyndryl Consult and our Alliances initiative, partially offset by proactive, strategic actions the Company was taking in connection with the Company’s Accounts initiative to reduce certain low-margin revenue streams. The CHC Committee also determined to maintain the relative weightings, including the revenue goal for the foregoing reasons, and in recognition of the Company’s focus on returning to profitable growth, set the fiscal 2026 adjusted EBITDA goal at a level more than 9% higher than the financial performance the Company reported in our fiscal 2025 earnings release.</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340" w:type="dxa"/>
            <w:vAlign w:val="bottom"/>
            <w:vMerge w:val="restart"/>
          </w:tcPr>
          <w:p>
            <w:pPr>
              <w:ind w:left="160"/>
              <w:spacing w:after="0"/>
              <w:rPr>
                <w:sz w:val="20"/>
                <w:szCs w:val="20"/>
                <w:color w:val="auto"/>
              </w:rPr>
            </w:pPr>
            <w:r>
              <w:rPr>
                <w:rFonts w:ascii="Arial" w:cs="Arial" w:eastAsia="Arial" w:hAnsi="Arial"/>
                <w:sz w:val="14"/>
                <w:szCs w:val="14"/>
                <w:b w:val="1"/>
                <w:bCs w:val="1"/>
                <w:color w:val="F0533D"/>
              </w:rPr>
              <w:t>Metric</w:t>
            </w:r>
            <w:r>
              <w:rPr>
                <w:rFonts w:ascii="Arial" w:cs="Arial" w:eastAsia="Arial" w:hAnsi="Arial"/>
                <w:sz w:val="23"/>
                <w:szCs w:val="23"/>
                <w:b w:val="1"/>
                <w:bCs w:val="1"/>
                <w:color w:val="F0533D"/>
                <w:vertAlign w:val="superscript"/>
              </w:rPr>
              <w:t>(1)</w:t>
            </w:r>
          </w:p>
        </w:tc>
        <w:tc>
          <w:tcPr>
            <w:tcW w:w="116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F0533D"/>
              </w:rPr>
              <w:t>Target</w:t>
            </w:r>
          </w:p>
        </w:tc>
        <w:tc>
          <w:tcPr>
            <w:tcW w:w="5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340" w:type="dxa"/>
            <w:vAlign w:val="bottom"/>
            <w:tcBorders>
              <w:bottom w:val="single" w:sz="8" w:color="F0533D"/>
            </w:tcBorders>
            <w:vMerge w:val="continue"/>
          </w:tcPr>
          <w:p>
            <w:pPr>
              <w:spacing w:after="0"/>
              <w:rPr>
                <w:sz w:val="20"/>
                <w:szCs w:val="20"/>
                <w:color w:val="auto"/>
              </w:rPr>
            </w:pPr>
          </w:p>
        </w:tc>
        <w:tc>
          <w:tcPr>
            <w:tcW w:w="1160" w:type="dxa"/>
            <w:vAlign w:val="bottom"/>
            <w:tcBorders>
              <w:bottom w:val="single" w:sz="8" w:color="F0533D"/>
            </w:tcBorders>
          </w:tcPr>
          <w:p>
            <w:pPr>
              <w:ind w:left="280"/>
              <w:spacing w:after="0"/>
              <w:rPr>
                <w:sz w:val="20"/>
                <w:szCs w:val="20"/>
                <w:color w:val="auto"/>
              </w:rPr>
            </w:pPr>
            <w:r>
              <w:rPr>
                <w:rFonts w:ascii="Arial" w:cs="Arial" w:eastAsia="Arial" w:hAnsi="Arial"/>
                <w:sz w:val="14"/>
                <w:szCs w:val="14"/>
                <w:b w:val="1"/>
                <w:bCs w:val="1"/>
                <w:color w:val="F0533D"/>
              </w:rPr>
              <w:t>Weighting</w:t>
            </w:r>
          </w:p>
        </w:tc>
        <w:tc>
          <w:tcPr>
            <w:tcW w:w="1320" w:type="dxa"/>
            <w:vAlign w:val="bottom"/>
            <w:tcBorders>
              <w:bottom w:val="single" w:sz="8" w:color="F0533D"/>
            </w:tcBorders>
          </w:tcPr>
          <w:p>
            <w:pPr>
              <w:ind w:left="200"/>
              <w:spacing w:after="0"/>
              <w:rPr>
                <w:sz w:val="20"/>
                <w:szCs w:val="20"/>
                <w:color w:val="auto"/>
              </w:rPr>
            </w:pPr>
            <w:r>
              <w:rPr>
                <w:rFonts w:ascii="Arial" w:cs="Arial" w:eastAsia="Arial" w:hAnsi="Arial"/>
                <w:sz w:val="14"/>
                <w:szCs w:val="14"/>
                <w:b w:val="1"/>
                <w:bCs w:val="1"/>
                <w:color w:val="F0533D"/>
              </w:rPr>
              <w:t>Amount</w:t>
            </w:r>
          </w:p>
        </w:tc>
        <w:tc>
          <w:tcPr>
            <w:tcW w:w="5040" w:type="dxa"/>
            <w:vAlign w:val="bottom"/>
            <w:tcBorders>
              <w:bottom w:val="single" w:sz="8" w:color="F0533D"/>
            </w:tcBorders>
          </w:tcPr>
          <w:p>
            <w:pPr>
              <w:ind w:left="180"/>
              <w:spacing w:after="0"/>
              <w:rPr>
                <w:sz w:val="20"/>
                <w:szCs w:val="20"/>
                <w:color w:val="auto"/>
              </w:rPr>
            </w:pPr>
            <w:r>
              <w:rPr>
                <w:rFonts w:ascii="Arial" w:cs="Arial" w:eastAsia="Arial" w:hAnsi="Arial"/>
                <w:sz w:val="14"/>
                <w:szCs w:val="14"/>
                <w:b w:val="1"/>
                <w:bCs w:val="1"/>
                <w:color w:val="F0533D"/>
              </w:rPr>
              <w:t>Rationale for Selection</w:t>
            </w:r>
          </w:p>
        </w:tc>
        <w:tc>
          <w:tcPr>
            <w:tcW w:w="0" w:type="dxa"/>
            <w:vAlign w:val="bottom"/>
          </w:tcPr>
          <w:p>
            <w:pPr>
              <w:spacing w:after="0"/>
              <w:rPr>
                <w:sz w:val="1"/>
                <w:szCs w:val="1"/>
                <w:color w:val="auto"/>
              </w:rPr>
            </w:pPr>
          </w:p>
        </w:tc>
      </w:tr>
      <w:tr>
        <w:trPr>
          <w:trHeight w:val="242"/>
        </w:trPr>
        <w:tc>
          <w:tcPr>
            <w:tcW w:w="1340" w:type="dxa"/>
            <w:vAlign w:val="bottom"/>
          </w:tcPr>
          <w:p>
            <w:pPr>
              <w:ind w:left="160"/>
              <w:spacing w:after="0"/>
              <w:rPr>
                <w:sz w:val="20"/>
                <w:szCs w:val="20"/>
                <w:color w:val="auto"/>
              </w:rPr>
            </w:pPr>
            <w:r>
              <w:rPr>
                <w:rFonts w:ascii="Arial" w:cs="Arial" w:eastAsia="Arial" w:hAnsi="Arial"/>
                <w:sz w:val="17"/>
                <w:szCs w:val="17"/>
                <w:b w:val="1"/>
                <w:bCs w:val="1"/>
                <w:color w:val="auto"/>
              </w:rPr>
              <w:t>Adjusted</w:t>
            </w:r>
          </w:p>
        </w:tc>
        <w:tc>
          <w:tcPr>
            <w:tcW w:w="1160" w:type="dxa"/>
            <w:vAlign w:val="bottom"/>
          </w:tcPr>
          <w:p>
            <w:pPr>
              <w:ind w:left="280"/>
              <w:spacing w:after="0"/>
              <w:rPr>
                <w:sz w:val="20"/>
                <w:szCs w:val="20"/>
                <w:color w:val="auto"/>
              </w:rPr>
            </w:pPr>
            <w:r>
              <w:rPr>
                <w:rFonts w:ascii="Arial" w:cs="Arial" w:eastAsia="Arial" w:hAnsi="Arial"/>
                <w:sz w:val="17"/>
                <w:szCs w:val="17"/>
                <w:color w:val="auto"/>
              </w:rPr>
              <w:t>60%</w:t>
            </w:r>
          </w:p>
        </w:tc>
        <w:tc>
          <w:tcPr>
            <w:tcW w:w="1320" w:type="dxa"/>
            <w:vAlign w:val="bottom"/>
          </w:tcPr>
          <w:p>
            <w:pPr>
              <w:ind w:left="200"/>
              <w:spacing w:after="0"/>
              <w:rPr>
                <w:sz w:val="20"/>
                <w:szCs w:val="20"/>
                <w:color w:val="auto"/>
              </w:rPr>
            </w:pPr>
            <w:r>
              <w:rPr>
                <w:rFonts w:ascii="Arial" w:cs="Arial" w:eastAsia="Arial" w:hAnsi="Arial"/>
                <w:sz w:val="17"/>
                <w:szCs w:val="17"/>
                <w:color w:val="auto"/>
              </w:rPr>
              <w:t>$2.7 billion</w:t>
            </w:r>
          </w:p>
        </w:tc>
        <w:tc>
          <w:tcPr>
            <w:tcW w:w="5040" w:type="dxa"/>
            <w:vAlign w:val="bottom"/>
          </w:tcPr>
          <w:p>
            <w:pPr>
              <w:ind w:left="1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management to assess our financial performance</w:t>
            </w:r>
          </w:p>
        </w:tc>
        <w:tc>
          <w:tcPr>
            <w:tcW w:w="0" w:type="dxa"/>
            <w:vAlign w:val="bottom"/>
          </w:tcPr>
          <w:p>
            <w:pPr>
              <w:spacing w:after="0"/>
              <w:rPr>
                <w:sz w:val="1"/>
                <w:szCs w:val="1"/>
                <w:color w:val="auto"/>
              </w:rPr>
            </w:pPr>
          </w:p>
        </w:tc>
      </w:tr>
      <w:tr>
        <w:trPr>
          <w:trHeight w:val="229"/>
        </w:trPr>
        <w:tc>
          <w:tcPr>
            <w:tcW w:w="1340" w:type="dxa"/>
            <w:vAlign w:val="bottom"/>
          </w:tcPr>
          <w:p>
            <w:pPr>
              <w:ind w:left="160"/>
              <w:spacing w:after="0" w:line="228" w:lineRule="exact"/>
              <w:rPr>
                <w:sz w:val="20"/>
                <w:szCs w:val="20"/>
                <w:color w:val="auto"/>
              </w:rPr>
            </w:pPr>
            <w:r>
              <w:rPr>
                <w:rFonts w:ascii="Arial" w:cs="Arial" w:eastAsia="Arial" w:hAnsi="Arial"/>
                <w:sz w:val="16"/>
                <w:szCs w:val="16"/>
                <w:b w:val="1"/>
                <w:bCs w:val="1"/>
                <w:color w:val="auto"/>
              </w:rPr>
              <w:t>EBITDA</w:t>
            </w:r>
            <w:r>
              <w:rPr>
                <w:rFonts w:ascii="Arial" w:cs="Arial" w:eastAsia="Arial" w:hAnsi="Arial"/>
                <w:sz w:val="26"/>
                <w:szCs w:val="26"/>
                <w:b w:val="1"/>
                <w:bCs w:val="1"/>
                <w:color w:val="auto"/>
                <w:vertAlign w:val="superscript"/>
              </w:rPr>
              <w:t>(2)</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investors to assess our business</w:t>
            </w: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040" w:type="dxa"/>
            <w:vAlign w:val="bottom"/>
          </w:tcPr>
          <w:p>
            <w:pPr>
              <w:ind w:left="180"/>
              <w:spacing w:after="0" w:line="189" w:lineRule="exact"/>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CHC Committee believes this metric provides a reliable</w:t>
            </w:r>
          </w:p>
        </w:tc>
        <w:tc>
          <w:tcPr>
            <w:tcW w:w="0" w:type="dxa"/>
            <w:vAlign w:val="bottom"/>
          </w:tcPr>
          <w:p>
            <w:pPr>
              <w:spacing w:after="0"/>
              <w:rPr>
                <w:sz w:val="1"/>
                <w:szCs w:val="1"/>
                <w:color w:val="auto"/>
              </w:rPr>
            </w:pPr>
          </w:p>
        </w:tc>
      </w:tr>
      <w:tr>
        <w:trPr>
          <w:trHeight w:val="225"/>
        </w:trPr>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40" w:type="dxa"/>
            <w:vAlign w:val="bottom"/>
          </w:tcPr>
          <w:p>
            <w:pPr>
              <w:ind w:left="320"/>
              <w:spacing w:after="0"/>
              <w:rPr>
                <w:sz w:val="20"/>
                <w:szCs w:val="20"/>
                <w:color w:val="auto"/>
              </w:rPr>
            </w:pPr>
            <w:r>
              <w:rPr>
                <w:rFonts w:ascii="Arial" w:cs="Arial" w:eastAsia="Arial" w:hAnsi="Arial"/>
                <w:sz w:val="17"/>
                <w:szCs w:val="17"/>
                <w:color w:val="auto"/>
              </w:rPr>
              <w:t>indicator of the strength of our financial results</w:t>
            </w:r>
          </w:p>
        </w:tc>
        <w:tc>
          <w:tcPr>
            <w:tcW w:w="0" w:type="dxa"/>
            <w:vAlign w:val="bottom"/>
          </w:tcPr>
          <w:p>
            <w:pPr>
              <w:spacing w:after="0"/>
              <w:rPr>
                <w:sz w:val="1"/>
                <w:szCs w:val="1"/>
                <w:color w:val="auto"/>
              </w:rPr>
            </w:pPr>
          </w:p>
        </w:tc>
      </w:tr>
      <w:tr>
        <w:trPr>
          <w:trHeight w:val="54"/>
        </w:trPr>
        <w:tc>
          <w:tcPr>
            <w:tcW w:w="1340" w:type="dxa"/>
            <w:vAlign w:val="bottom"/>
            <w:tcBorders>
              <w:bottom w:val="single" w:sz="8" w:color="A6A6A6"/>
            </w:tcBorders>
          </w:tcPr>
          <w:p>
            <w:pPr>
              <w:spacing w:after="0"/>
              <w:rPr>
                <w:sz w:val="4"/>
                <w:szCs w:val="4"/>
                <w:color w:val="auto"/>
              </w:rPr>
            </w:pPr>
          </w:p>
        </w:tc>
        <w:tc>
          <w:tcPr>
            <w:tcW w:w="1160" w:type="dxa"/>
            <w:vAlign w:val="bottom"/>
            <w:tcBorders>
              <w:bottom w:val="single" w:sz="8" w:color="A6A6A6"/>
            </w:tcBorders>
          </w:tcPr>
          <w:p>
            <w:pPr>
              <w:spacing w:after="0"/>
              <w:rPr>
                <w:sz w:val="4"/>
                <w:szCs w:val="4"/>
                <w:color w:val="auto"/>
              </w:rPr>
            </w:pPr>
          </w:p>
        </w:tc>
        <w:tc>
          <w:tcPr>
            <w:tcW w:w="1320" w:type="dxa"/>
            <w:vAlign w:val="bottom"/>
            <w:tcBorders>
              <w:bottom w:val="single" w:sz="8" w:color="A6A6A6"/>
            </w:tcBorders>
          </w:tcPr>
          <w:p>
            <w:pPr>
              <w:spacing w:after="0"/>
              <w:rPr>
                <w:sz w:val="4"/>
                <w:szCs w:val="4"/>
                <w:color w:val="auto"/>
              </w:rPr>
            </w:pPr>
          </w:p>
        </w:tc>
        <w:tc>
          <w:tcPr>
            <w:tcW w:w="504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1340" w:type="dxa"/>
            <w:vAlign w:val="bottom"/>
          </w:tcPr>
          <w:p>
            <w:pPr>
              <w:ind w:left="160"/>
              <w:spacing w:after="0"/>
              <w:rPr>
                <w:sz w:val="20"/>
                <w:szCs w:val="20"/>
                <w:color w:val="auto"/>
              </w:rPr>
            </w:pPr>
            <w:r>
              <w:rPr>
                <w:rFonts w:ascii="Arial" w:cs="Arial" w:eastAsia="Arial" w:hAnsi="Arial"/>
                <w:sz w:val="17"/>
                <w:szCs w:val="17"/>
                <w:b w:val="1"/>
                <w:bCs w:val="1"/>
                <w:color w:val="auto"/>
              </w:rPr>
              <w:t>Revenue</w:t>
            </w:r>
          </w:p>
        </w:tc>
        <w:tc>
          <w:tcPr>
            <w:tcW w:w="1160" w:type="dxa"/>
            <w:vAlign w:val="bottom"/>
          </w:tcPr>
          <w:p>
            <w:pPr>
              <w:ind w:left="280"/>
              <w:spacing w:after="0"/>
              <w:rPr>
                <w:sz w:val="20"/>
                <w:szCs w:val="20"/>
                <w:color w:val="auto"/>
              </w:rPr>
            </w:pPr>
            <w:r>
              <w:rPr>
                <w:rFonts w:ascii="Arial" w:cs="Arial" w:eastAsia="Arial" w:hAnsi="Arial"/>
                <w:sz w:val="17"/>
                <w:szCs w:val="17"/>
                <w:color w:val="auto"/>
              </w:rPr>
              <w:t>30%</w:t>
            </w:r>
          </w:p>
        </w:tc>
        <w:tc>
          <w:tcPr>
            <w:tcW w:w="1320" w:type="dxa"/>
            <w:vAlign w:val="bottom"/>
          </w:tcPr>
          <w:p>
            <w:pPr>
              <w:ind w:left="200"/>
              <w:spacing w:after="0"/>
              <w:rPr>
                <w:sz w:val="20"/>
                <w:szCs w:val="20"/>
                <w:color w:val="auto"/>
              </w:rPr>
            </w:pPr>
            <w:r>
              <w:rPr>
                <w:rFonts w:ascii="Arial" w:cs="Arial" w:eastAsia="Arial" w:hAnsi="Arial"/>
                <w:sz w:val="17"/>
                <w:szCs w:val="17"/>
                <w:color w:val="auto"/>
              </w:rPr>
              <w:t>$15.3 billion</w:t>
            </w:r>
          </w:p>
        </w:tc>
        <w:tc>
          <w:tcPr>
            <w:tcW w:w="5040" w:type="dxa"/>
            <w:vAlign w:val="bottom"/>
          </w:tcPr>
          <w:p>
            <w:pPr>
              <w:ind w:left="1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management to assess our financial performance</w:t>
            </w:r>
          </w:p>
        </w:tc>
        <w:tc>
          <w:tcPr>
            <w:tcW w:w="0" w:type="dxa"/>
            <w:vAlign w:val="bottom"/>
          </w:tcPr>
          <w:p>
            <w:pPr>
              <w:spacing w:after="0"/>
              <w:rPr>
                <w:sz w:val="1"/>
                <w:szCs w:val="1"/>
                <w:color w:val="auto"/>
              </w:rPr>
            </w:pPr>
          </w:p>
        </w:tc>
      </w:tr>
      <w:tr>
        <w:trPr>
          <w:trHeight w:val="225"/>
        </w:trPr>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investors to assess our business</w:t>
            </w:r>
          </w:p>
        </w:tc>
        <w:tc>
          <w:tcPr>
            <w:tcW w:w="0" w:type="dxa"/>
            <w:vAlign w:val="bottom"/>
          </w:tcPr>
          <w:p>
            <w:pPr>
              <w:spacing w:after="0"/>
              <w:rPr>
                <w:sz w:val="1"/>
                <w:szCs w:val="1"/>
                <w:color w:val="auto"/>
              </w:rPr>
            </w:pPr>
          </w:p>
        </w:tc>
      </w:tr>
      <w:tr>
        <w:trPr>
          <w:trHeight w:val="54"/>
        </w:trPr>
        <w:tc>
          <w:tcPr>
            <w:tcW w:w="1340" w:type="dxa"/>
            <w:vAlign w:val="bottom"/>
            <w:tcBorders>
              <w:bottom w:val="single" w:sz="8" w:color="A6A6A6"/>
            </w:tcBorders>
          </w:tcPr>
          <w:p>
            <w:pPr>
              <w:spacing w:after="0"/>
              <w:rPr>
                <w:sz w:val="4"/>
                <w:szCs w:val="4"/>
                <w:color w:val="auto"/>
              </w:rPr>
            </w:pPr>
          </w:p>
        </w:tc>
        <w:tc>
          <w:tcPr>
            <w:tcW w:w="1160" w:type="dxa"/>
            <w:vAlign w:val="bottom"/>
            <w:tcBorders>
              <w:bottom w:val="single" w:sz="8" w:color="A6A6A6"/>
            </w:tcBorders>
          </w:tcPr>
          <w:p>
            <w:pPr>
              <w:spacing w:after="0"/>
              <w:rPr>
                <w:sz w:val="4"/>
                <w:szCs w:val="4"/>
                <w:color w:val="auto"/>
              </w:rPr>
            </w:pPr>
          </w:p>
        </w:tc>
        <w:tc>
          <w:tcPr>
            <w:tcW w:w="1320" w:type="dxa"/>
            <w:vAlign w:val="bottom"/>
            <w:tcBorders>
              <w:bottom w:val="single" w:sz="8" w:color="A6A6A6"/>
            </w:tcBorders>
          </w:tcPr>
          <w:p>
            <w:pPr>
              <w:spacing w:after="0"/>
              <w:rPr>
                <w:sz w:val="4"/>
                <w:szCs w:val="4"/>
                <w:color w:val="auto"/>
              </w:rPr>
            </w:pPr>
          </w:p>
        </w:tc>
        <w:tc>
          <w:tcPr>
            <w:tcW w:w="504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40" w:type="dxa"/>
            <w:vAlign w:val="bottom"/>
          </w:tcPr>
          <w:p>
            <w:pPr>
              <w:ind w:left="160"/>
              <w:spacing w:after="0"/>
              <w:rPr>
                <w:sz w:val="20"/>
                <w:szCs w:val="20"/>
                <w:color w:val="auto"/>
              </w:rPr>
            </w:pPr>
            <w:r>
              <w:rPr>
                <w:rFonts w:ascii="Arial" w:cs="Arial" w:eastAsia="Arial" w:hAnsi="Arial"/>
                <w:sz w:val="17"/>
                <w:szCs w:val="17"/>
                <w:b w:val="1"/>
                <w:bCs w:val="1"/>
                <w:color w:val="auto"/>
              </w:rPr>
              <w:t>Corporate</w:t>
            </w:r>
          </w:p>
        </w:tc>
        <w:tc>
          <w:tcPr>
            <w:tcW w:w="1160" w:type="dxa"/>
            <w:vAlign w:val="bottom"/>
          </w:tcPr>
          <w:p>
            <w:pPr>
              <w:ind w:left="280"/>
              <w:spacing w:after="0"/>
              <w:rPr>
                <w:sz w:val="20"/>
                <w:szCs w:val="20"/>
                <w:color w:val="auto"/>
              </w:rPr>
            </w:pPr>
            <w:r>
              <w:rPr>
                <w:rFonts w:ascii="Arial" w:cs="Arial" w:eastAsia="Arial" w:hAnsi="Arial"/>
                <w:sz w:val="17"/>
                <w:szCs w:val="17"/>
                <w:color w:val="auto"/>
              </w:rPr>
              <w:t>10%</w:t>
            </w:r>
          </w:p>
        </w:tc>
        <w:tc>
          <w:tcPr>
            <w:tcW w:w="1320" w:type="dxa"/>
            <w:vAlign w:val="bottom"/>
          </w:tcPr>
          <w:p>
            <w:pPr>
              <w:ind w:left="200"/>
              <w:spacing w:after="0" w:line="243" w:lineRule="exact"/>
              <w:rPr>
                <w:sz w:val="20"/>
                <w:szCs w:val="20"/>
                <w:color w:val="auto"/>
              </w:rPr>
            </w:pPr>
            <w:r>
              <w:rPr>
                <w:rFonts w:ascii="Arial" w:cs="Arial" w:eastAsia="Arial" w:hAnsi="Arial"/>
                <w:sz w:val="17"/>
                <w:szCs w:val="17"/>
                <w:color w:val="auto"/>
              </w:rPr>
              <w:t>See</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below</w:t>
            </w:r>
          </w:p>
        </w:tc>
        <w:tc>
          <w:tcPr>
            <w:tcW w:w="5040" w:type="dxa"/>
            <w:vAlign w:val="bottom"/>
          </w:tcPr>
          <w:p>
            <w:pPr>
              <w:ind w:left="1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Encourages management to focus on the achievement of</w:t>
            </w:r>
          </w:p>
        </w:tc>
        <w:tc>
          <w:tcPr>
            <w:tcW w:w="0" w:type="dxa"/>
            <w:vAlign w:val="bottom"/>
          </w:tcPr>
          <w:p>
            <w:pPr>
              <w:spacing w:after="0"/>
              <w:rPr>
                <w:sz w:val="1"/>
                <w:szCs w:val="1"/>
                <w:color w:val="auto"/>
              </w:rPr>
            </w:pPr>
          </w:p>
        </w:tc>
      </w:tr>
      <w:tr>
        <w:trPr>
          <w:trHeight w:val="216"/>
        </w:trPr>
        <w:tc>
          <w:tcPr>
            <w:tcW w:w="1340" w:type="dxa"/>
            <w:vAlign w:val="bottom"/>
          </w:tcPr>
          <w:p>
            <w:pPr>
              <w:ind w:left="160"/>
              <w:spacing w:after="0"/>
              <w:rPr>
                <w:sz w:val="20"/>
                <w:szCs w:val="20"/>
                <w:color w:val="auto"/>
              </w:rPr>
            </w:pPr>
            <w:r>
              <w:rPr>
                <w:rFonts w:ascii="Arial" w:cs="Arial" w:eastAsia="Arial" w:hAnsi="Arial"/>
                <w:sz w:val="17"/>
                <w:szCs w:val="17"/>
                <w:b w:val="1"/>
                <w:bCs w:val="1"/>
                <w:color w:val="auto"/>
              </w:rPr>
              <w:t>Citizenship</w:t>
            </w:r>
          </w:p>
        </w:tc>
        <w:tc>
          <w:tcPr>
            <w:tcW w:w="1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7"/>
                <w:szCs w:val="17"/>
                <w:color w:val="auto"/>
              </w:rPr>
              <w:t>corporate citizenship goals that the CHC Committee</w:t>
            </w:r>
          </w:p>
        </w:tc>
        <w:tc>
          <w:tcPr>
            <w:tcW w:w="0" w:type="dxa"/>
            <w:vAlign w:val="bottom"/>
          </w:tcPr>
          <w:p>
            <w:pPr>
              <w:spacing w:after="0"/>
              <w:rPr>
                <w:sz w:val="1"/>
                <w:szCs w:val="1"/>
                <w:color w:val="auto"/>
              </w:rPr>
            </w:pPr>
          </w:p>
        </w:tc>
      </w:tr>
    </w:tbl>
    <w:p>
      <w:pPr>
        <w:ind w:left="4220"/>
        <w:spacing w:after="0"/>
        <w:rPr>
          <w:sz w:val="20"/>
          <w:szCs w:val="20"/>
          <w:color w:val="auto"/>
        </w:rPr>
      </w:pPr>
      <w:r>
        <w:rPr>
          <w:rFonts w:ascii="Arial" w:cs="Arial" w:eastAsia="Arial" w:hAnsi="Arial"/>
          <w:sz w:val="17"/>
          <w:szCs w:val="17"/>
          <w:color w:val="auto"/>
        </w:rPr>
        <w:t>believes further the Company’s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25400</wp:posOffset>
            </wp:positionV>
            <wp:extent cx="56235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340" w:lineRule="exact"/>
        <w:rPr>
          <w:sz w:val="20"/>
          <w:szCs w:val="20"/>
          <w:color w:val="auto"/>
        </w:rPr>
      </w:pPr>
    </w:p>
    <w:p>
      <w:pPr>
        <w:ind w:left="540" w:right="119" w:hanging="356"/>
        <w:spacing w:after="0" w:line="199" w:lineRule="auto"/>
        <w:tabs>
          <w:tab w:leader="none" w:pos="540" w:val="left"/>
        </w:tabs>
        <w:numPr>
          <w:ilvl w:val="0"/>
          <w:numId w:val="66"/>
        </w:numPr>
        <w:rPr>
          <w:rFonts w:ascii="Arial" w:cs="Arial" w:eastAsia="Arial" w:hAnsi="Arial"/>
          <w:sz w:val="23"/>
          <w:szCs w:val="23"/>
          <w:color w:val="auto"/>
          <w:vertAlign w:val="superscript"/>
        </w:rPr>
      </w:pPr>
      <w:r>
        <w:rPr>
          <w:rFonts w:ascii="Arial" w:cs="Arial" w:eastAsia="Arial" w:hAnsi="Arial"/>
          <w:sz w:val="15"/>
          <w:szCs w:val="15"/>
          <w:color w:val="auto"/>
        </w:rPr>
        <w:t>When assessing performance for purposes of the Kyndryl Annual Incentive Plan, the CHC Committee may adjust for certain pre-determined items as described further above under the section titled “Assessing Performance Results.”</w:t>
      </w:r>
    </w:p>
    <w:p>
      <w:pPr>
        <w:spacing w:after="0" w:line="69" w:lineRule="exact"/>
        <w:rPr>
          <w:rFonts w:ascii="Arial" w:cs="Arial" w:eastAsia="Arial" w:hAnsi="Arial"/>
          <w:sz w:val="23"/>
          <w:szCs w:val="23"/>
          <w:color w:val="auto"/>
          <w:vertAlign w:val="superscript"/>
        </w:rPr>
      </w:pPr>
    </w:p>
    <w:p>
      <w:pPr>
        <w:ind w:left="540" w:right="239" w:hanging="356"/>
        <w:spacing w:after="0" w:line="217" w:lineRule="auto"/>
        <w:tabs>
          <w:tab w:leader="none" w:pos="540" w:val="left"/>
        </w:tabs>
        <w:numPr>
          <w:ilvl w:val="0"/>
          <w:numId w:val="66"/>
        </w:numPr>
        <w:rPr>
          <w:rFonts w:ascii="Arial" w:cs="Arial" w:eastAsia="Arial" w:hAnsi="Arial"/>
          <w:sz w:val="23"/>
          <w:szCs w:val="23"/>
          <w:color w:val="auto"/>
          <w:vertAlign w:val="superscript"/>
        </w:rPr>
      </w:pPr>
      <w:r>
        <w:rPr>
          <w:rFonts w:ascii="Arial" w:cs="Arial" w:eastAsia="Arial" w:hAnsi="Arial"/>
          <w:sz w:val="15"/>
          <w:szCs w:val="15"/>
          <w:color w:val="auto"/>
        </w:rPr>
        <w:t>Adjusted EBITDA is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For a more detailed description of the items excluded from the measure, see Part II, Item 7. “Management’s Discussion and Analysis of Financial Condition and Results of Operations — Segment Results” in our Fiscal 2026 Form 10-K.</w:t>
      </w:r>
    </w:p>
    <w:p>
      <w:pPr>
        <w:spacing w:after="0" w:line="73" w:lineRule="exact"/>
        <w:rPr>
          <w:rFonts w:ascii="Arial" w:cs="Arial" w:eastAsia="Arial" w:hAnsi="Arial"/>
          <w:sz w:val="23"/>
          <w:szCs w:val="23"/>
          <w:color w:val="auto"/>
          <w:vertAlign w:val="superscript"/>
        </w:rPr>
      </w:pPr>
    </w:p>
    <w:p>
      <w:pPr>
        <w:ind w:left="540" w:right="139" w:hanging="356"/>
        <w:spacing w:after="0" w:line="185" w:lineRule="auto"/>
        <w:tabs>
          <w:tab w:leader="none" w:pos="540" w:val="left"/>
        </w:tabs>
        <w:numPr>
          <w:ilvl w:val="0"/>
          <w:numId w:val="66"/>
        </w:numPr>
        <w:rPr>
          <w:rFonts w:ascii="Arial" w:cs="Arial" w:eastAsia="Arial" w:hAnsi="Arial"/>
          <w:sz w:val="23"/>
          <w:szCs w:val="23"/>
          <w:color w:val="auto"/>
          <w:vertAlign w:val="superscript"/>
        </w:rPr>
      </w:pPr>
      <w:r>
        <w:rPr>
          <w:rFonts w:ascii="Arial" w:cs="Arial" w:eastAsia="Arial" w:hAnsi="Arial"/>
          <w:sz w:val="15"/>
          <w:szCs w:val="15"/>
          <w:color w:val="auto"/>
        </w:rPr>
        <w:t>The corporate citizenship goals are focused on achieving the following three strategic objectives that align with our strategic business priorities: (1) supporting environmental stewardship; (2) fostering employees’ sense of belonging; and</w:t>
      </w:r>
    </w:p>
    <w:p>
      <w:pPr>
        <w:spacing w:after="0" w:line="1" w:lineRule="exact"/>
        <w:rPr>
          <w:rFonts w:ascii="Arial" w:cs="Arial" w:eastAsia="Arial" w:hAnsi="Arial"/>
          <w:sz w:val="23"/>
          <w:szCs w:val="23"/>
          <w:color w:val="auto"/>
          <w:vertAlign w:val="superscript"/>
        </w:rPr>
      </w:pPr>
    </w:p>
    <w:p>
      <w:pPr>
        <w:ind w:left="540" w:right="279"/>
        <w:spacing w:after="0" w:line="244" w:lineRule="auto"/>
        <w:rPr>
          <w:rFonts w:ascii="Arial" w:cs="Arial" w:eastAsia="Arial" w:hAnsi="Arial"/>
          <w:sz w:val="23"/>
          <w:szCs w:val="23"/>
          <w:color w:val="auto"/>
          <w:vertAlign w:val="superscript"/>
        </w:rPr>
      </w:pPr>
      <w:r>
        <w:rPr>
          <w:rFonts w:ascii="Arial" w:cs="Arial" w:eastAsia="Arial" w:hAnsi="Arial"/>
          <w:sz w:val="15"/>
          <w:szCs w:val="15"/>
          <w:color w:val="auto"/>
        </w:rPr>
        <w:t>(3) promoting good governance practices. The CHC Committee retained discretion to determine the relative weightings of the qualitative goals underlying these three strategic objectives within the corporate citizenship metric.</w:t>
      </w:r>
    </w:p>
    <w:p>
      <w:pPr>
        <w:spacing w:after="0" w:line="117"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color w:val="auto"/>
        </w:rPr>
        <w:t>Performance relative to these goals determines the funding of the annual incentive pool for corporate executives and for executives in each business unit. For each NEO, the outcome of our performance with respect to revenue, adjusted EBITDA and corporate citizenship goals set forth above was subject to adjustment upwards (but not above</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399"/>
        <w:spacing w:after="0" w:line="249" w:lineRule="auto"/>
        <w:rPr>
          <w:sz w:val="20"/>
          <w:szCs w:val="20"/>
          <w:color w:val="auto"/>
        </w:rPr>
      </w:pPr>
      <w:r>
        <w:rPr>
          <w:rFonts w:ascii="Arial" w:cs="Arial" w:eastAsia="Arial" w:hAnsi="Arial"/>
          <w:sz w:val="17"/>
          <w:szCs w:val="17"/>
          <w:color w:val="auto"/>
        </w:rPr>
        <w:t>200% of target) or downwards based on individual performance, provided that the sum of the individual payouts could not exceed the total overall funding level for participants in the bonus pool based on the achievement of the performance criteria for fiscal 2026.</w:t>
      </w:r>
    </w:p>
    <w:p>
      <w:pPr>
        <w:spacing w:after="0" w:line="121" w:lineRule="exact"/>
        <w:rPr>
          <w:sz w:val="20"/>
          <w:szCs w:val="20"/>
          <w:color w:val="auto"/>
        </w:rPr>
      </w:pPr>
    </w:p>
    <w:p>
      <w:pPr>
        <w:ind w:left="80" w:right="239"/>
        <w:spacing w:after="0" w:line="241" w:lineRule="auto"/>
        <w:rPr>
          <w:sz w:val="20"/>
          <w:szCs w:val="20"/>
          <w:color w:val="auto"/>
        </w:rPr>
      </w:pPr>
      <w:r>
        <w:rPr>
          <w:rFonts w:ascii="Arial" w:cs="Arial" w:eastAsia="Arial" w:hAnsi="Arial"/>
          <w:sz w:val="17"/>
          <w:szCs w:val="17"/>
          <w:color w:val="auto"/>
        </w:rPr>
        <w:t>The following tables set forth the payout percentages for threshold, target and maximum achievement as a percentage of the target revenue and adjusted EBITDA amounts. To the extent that performance fell between the applicable levels for each of these metrics set forth in the table below, payouts were determined using linear interpolation. To the extent that performance fell below the applicable threshold levels, no payouts would have been made in connection with our performance with respect to such goal.</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160" w:type="dxa"/>
            <w:vAlign w:val="bottom"/>
          </w:tcPr>
          <w:p>
            <w:pPr>
              <w:ind w:left="160"/>
              <w:spacing w:after="0"/>
              <w:rPr>
                <w:sz w:val="20"/>
                <w:szCs w:val="20"/>
                <w:color w:val="auto"/>
              </w:rPr>
            </w:pPr>
            <w:r>
              <w:rPr>
                <w:rFonts w:ascii="Arial" w:cs="Arial" w:eastAsia="Arial" w:hAnsi="Arial"/>
                <w:sz w:val="14"/>
                <w:szCs w:val="14"/>
                <w:b w:val="1"/>
                <w:bCs w:val="1"/>
                <w:color w:val="F0533D"/>
              </w:rPr>
              <w:t>Revenue</w:t>
            </w:r>
          </w:p>
        </w:tc>
        <w:tc>
          <w:tcPr>
            <w:tcW w:w="2340" w:type="dxa"/>
            <w:vAlign w:val="bottom"/>
          </w:tcPr>
          <w:p>
            <w:pPr>
              <w:jc w:val="center"/>
              <w:ind w:left="1041"/>
              <w:spacing w:after="0"/>
              <w:rPr>
                <w:sz w:val="20"/>
                <w:szCs w:val="20"/>
                <w:color w:val="auto"/>
              </w:rPr>
            </w:pPr>
            <w:r>
              <w:rPr>
                <w:rFonts w:ascii="Arial" w:cs="Arial" w:eastAsia="Arial" w:hAnsi="Arial"/>
                <w:sz w:val="14"/>
                <w:szCs w:val="14"/>
                <w:b w:val="1"/>
                <w:bCs w:val="1"/>
                <w:color w:val="F0533D"/>
              </w:rPr>
              <w:t>Below</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05"/>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(30% Weighting)</w:t>
            </w:r>
          </w:p>
        </w:tc>
        <w:tc>
          <w:tcPr>
            <w:tcW w:w="2340" w:type="dxa"/>
            <w:vAlign w:val="bottom"/>
            <w:tcBorders>
              <w:bottom w:val="single" w:sz="8" w:color="F0533D"/>
            </w:tcBorders>
          </w:tcPr>
          <w:p>
            <w:pPr>
              <w:jc w:val="center"/>
              <w:ind w:left="1041"/>
              <w:spacing w:after="0"/>
              <w:rPr>
                <w:sz w:val="20"/>
                <w:szCs w:val="20"/>
                <w:color w:val="auto"/>
              </w:rPr>
            </w:pPr>
            <w:r>
              <w:rPr>
                <w:rFonts w:ascii="Arial" w:cs="Arial" w:eastAsia="Arial" w:hAnsi="Arial"/>
                <w:sz w:val="14"/>
                <w:szCs w:val="14"/>
                <w:b w:val="1"/>
                <w:bCs w:val="1"/>
                <w:color w:val="F0533D"/>
              </w:rPr>
              <w:t>Threshold</w:t>
            </w:r>
          </w:p>
        </w:tc>
        <w:tc>
          <w:tcPr>
            <w:tcW w:w="1260" w:type="dxa"/>
            <w:vAlign w:val="bottom"/>
            <w:tcBorders>
              <w:bottom w:val="single" w:sz="8" w:color="F0533D"/>
            </w:tcBorders>
          </w:tcPr>
          <w:p>
            <w:pPr>
              <w:jc w:val="right"/>
              <w:ind w:right="199"/>
              <w:spacing w:after="0"/>
              <w:rPr>
                <w:sz w:val="20"/>
                <w:szCs w:val="20"/>
                <w:color w:val="auto"/>
              </w:rPr>
            </w:pPr>
            <w:r>
              <w:rPr>
                <w:rFonts w:ascii="Arial" w:cs="Arial" w:eastAsia="Arial" w:hAnsi="Arial"/>
                <w:sz w:val="14"/>
                <w:szCs w:val="14"/>
                <w:b w:val="1"/>
                <w:bCs w:val="1"/>
                <w:color w:val="F0533D"/>
              </w:rPr>
              <w:t>Threshold</w:t>
            </w:r>
          </w:p>
        </w:tc>
        <w:tc>
          <w:tcPr>
            <w:tcW w:w="1040" w:type="dxa"/>
            <w:vAlign w:val="bottom"/>
            <w:tcBorders>
              <w:bottom w:val="single" w:sz="8" w:color="F0533D"/>
            </w:tcBorders>
          </w:tcPr>
          <w:p>
            <w:pPr>
              <w:jc w:val="right"/>
              <w:ind w:right="239"/>
              <w:spacing w:after="0"/>
              <w:rPr>
                <w:sz w:val="20"/>
                <w:szCs w:val="20"/>
                <w:color w:val="auto"/>
              </w:rPr>
            </w:pPr>
            <w:r>
              <w:rPr>
                <w:rFonts w:ascii="Arial" w:cs="Arial" w:eastAsia="Arial" w:hAnsi="Arial"/>
                <w:sz w:val="14"/>
                <w:szCs w:val="14"/>
                <w:b w:val="1"/>
                <w:bCs w:val="1"/>
                <w:color w:val="F0533D"/>
              </w:rPr>
              <w:t>Target</w:t>
            </w:r>
          </w:p>
        </w:tc>
        <w:tc>
          <w:tcPr>
            <w:tcW w:w="1060" w:type="dxa"/>
            <w:vAlign w:val="bottom"/>
            <w:tcBorders>
              <w:bottom w:val="single" w:sz="8" w:color="F0533D"/>
            </w:tcBorders>
          </w:tcPr>
          <w:p>
            <w:pPr>
              <w:ind w:left="280"/>
              <w:spacing w:after="0"/>
              <w:rPr>
                <w:sz w:val="20"/>
                <w:szCs w:val="20"/>
                <w:color w:val="auto"/>
              </w:rPr>
            </w:pPr>
            <w:r>
              <w:rPr>
                <w:rFonts w:ascii="Arial" w:cs="Arial" w:eastAsia="Arial" w:hAnsi="Arial"/>
                <w:sz w:val="14"/>
                <w:szCs w:val="14"/>
                <w:b w:val="1"/>
                <w:bCs w:val="1"/>
                <w:color w:val="F0533D"/>
              </w:rPr>
              <w:t>Maximum</w:t>
            </w:r>
          </w:p>
        </w:tc>
      </w:tr>
      <w:tr>
        <w:trPr>
          <w:trHeight w:val="237"/>
        </w:trPr>
        <w:tc>
          <w:tcPr>
            <w:tcW w:w="31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 of Goal Attainment</w:t>
            </w:r>
          </w:p>
        </w:tc>
        <w:tc>
          <w:tcPr>
            <w:tcW w:w="2340" w:type="dxa"/>
            <w:vAlign w:val="bottom"/>
            <w:tcBorders>
              <w:bottom w:val="single" w:sz="8" w:color="939598"/>
            </w:tcBorders>
          </w:tcPr>
          <w:p>
            <w:pPr>
              <w:jc w:val="right"/>
              <w:ind w:right="241"/>
              <w:spacing w:after="0"/>
              <w:rPr>
                <w:sz w:val="20"/>
                <w:szCs w:val="20"/>
                <w:color w:val="auto"/>
              </w:rPr>
            </w:pPr>
            <w:r>
              <w:rPr>
                <w:rFonts w:ascii="Arial" w:cs="Arial" w:eastAsia="Arial" w:hAnsi="Arial"/>
                <w:sz w:val="17"/>
                <w:szCs w:val="17"/>
                <w:color w:val="auto"/>
              </w:rPr>
              <w:t>&lt;95%</w:t>
            </w:r>
          </w:p>
        </w:tc>
        <w:tc>
          <w:tcPr>
            <w:tcW w:w="1260" w:type="dxa"/>
            <w:vAlign w:val="bottom"/>
            <w:tcBorders>
              <w:bottom w:val="single" w:sz="8" w:color="939598"/>
            </w:tcBorders>
          </w:tcPr>
          <w:p>
            <w:pPr>
              <w:jc w:val="right"/>
              <w:ind w:right="319"/>
              <w:spacing w:after="0"/>
              <w:rPr>
                <w:sz w:val="20"/>
                <w:szCs w:val="20"/>
                <w:color w:val="auto"/>
              </w:rPr>
            </w:pPr>
            <w:r>
              <w:rPr>
                <w:rFonts w:ascii="Arial" w:cs="Arial" w:eastAsia="Arial" w:hAnsi="Arial"/>
                <w:sz w:val="17"/>
                <w:szCs w:val="17"/>
                <w:color w:val="auto"/>
              </w:rPr>
              <w:t>95%</w:t>
            </w:r>
          </w:p>
        </w:tc>
        <w:tc>
          <w:tcPr>
            <w:tcW w:w="1040" w:type="dxa"/>
            <w:vAlign w:val="bottom"/>
            <w:tcBorders>
              <w:bottom w:val="single" w:sz="8" w:color="939598"/>
            </w:tcBorders>
          </w:tcPr>
          <w:p>
            <w:pPr>
              <w:jc w:val="right"/>
              <w:ind w:right="199"/>
              <w:spacing w:after="0"/>
              <w:rPr>
                <w:sz w:val="20"/>
                <w:szCs w:val="20"/>
                <w:color w:val="auto"/>
              </w:rPr>
            </w:pPr>
            <w:r>
              <w:rPr>
                <w:rFonts w:ascii="Arial" w:cs="Arial" w:eastAsia="Arial" w:hAnsi="Arial"/>
                <w:sz w:val="17"/>
                <w:szCs w:val="17"/>
                <w:color w:val="auto"/>
              </w:rPr>
              <w:t>100%</w:t>
            </w:r>
          </w:p>
        </w:tc>
        <w:tc>
          <w:tcPr>
            <w:tcW w:w="1060" w:type="dxa"/>
            <w:vAlign w:val="bottom"/>
            <w:tcBorders>
              <w:bottom w:val="single" w:sz="8" w:color="939598"/>
            </w:tcBorders>
          </w:tcPr>
          <w:p>
            <w:pPr>
              <w:ind w:left="460"/>
              <w:spacing w:after="0"/>
              <w:rPr>
                <w:sz w:val="20"/>
                <w:szCs w:val="20"/>
                <w:color w:val="auto"/>
              </w:rPr>
            </w:pPr>
            <w:r>
              <w:rPr>
                <w:rFonts w:ascii="Arial" w:cs="Arial" w:eastAsia="Arial" w:hAnsi="Arial"/>
                <w:sz w:val="17"/>
                <w:szCs w:val="17"/>
                <w:color w:val="auto"/>
              </w:rPr>
              <w:t>105%</w:t>
            </w:r>
          </w:p>
        </w:tc>
      </w:tr>
      <w:tr>
        <w:trPr>
          <w:trHeight w:val="216"/>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7"/>
                <w:szCs w:val="17"/>
                <w:color w:val="auto"/>
              </w:rPr>
              <w:t>% of Target Payout</w:t>
            </w:r>
          </w:p>
        </w:tc>
        <w:tc>
          <w:tcPr>
            <w:tcW w:w="2340" w:type="dxa"/>
            <w:vAlign w:val="bottom"/>
            <w:tcBorders>
              <w:bottom w:val="single" w:sz="8" w:color="F0533D"/>
            </w:tcBorders>
          </w:tcPr>
          <w:p>
            <w:pPr>
              <w:jc w:val="right"/>
              <w:ind w:right="241"/>
              <w:spacing w:after="0"/>
              <w:rPr>
                <w:sz w:val="20"/>
                <w:szCs w:val="20"/>
                <w:color w:val="auto"/>
              </w:rPr>
            </w:pPr>
            <w:r>
              <w:rPr>
                <w:rFonts w:ascii="Arial" w:cs="Arial" w:eastAsia="Arial" w:hAnsi="Arial"/>
                <w:sz w:val="17"/>
                <w:szCs w:val="17"/>
                <w:color w:val="auto"/>
              </w:rPr>
              <w:t>0%</w:t>
            </w:r>
          </w:p>
        </w:tc>
        <w:tc>
          <w:tcPr>
            <w:tcW w:w="1260" w:type="dxa"/>
            <w:vAlign w:val="bottom"/>
            <w:tcBorders>
              <w:bottom w:val="single" w:sz="8" w:color="F0533D"/>
            </w:tcBorders>
          </w:tcPr>
          <w:p>
            <w:pPr>
              <w:jc w:val="right"/>
              <w:ind w:right="319"/>
              <w:spacing w:after="0"/>
              <w:rPr>
                <w:sz w:val="20"/>
                <w:szCs w:val="20"/>
                <w:color w:val="auto"/>
              </w:rPr>
            </w:pPr>
            <w:r>
              <w:rPr>
                <w:rFonts w:ascii="Arial" w:cs="Arial" w:eastAsia="Arial" w:hAnsi="Arial"/>
                <w:sz w:val="17"/>
                <w:szCs w:val="17"/>
                <w:color w:val="auto"/>
              </w:rPr>
              <w:t>20%</w:t>
            </w:r>
          </w:p>
        </w:tc>
        <w:tc>
          <w:tcPr>
            <w:tcW w:w="1040" w:type="dxa"/>
            <w:vAlign w:val="bottom"/>
            <w:tcBorders>
              <w:bottom w:val="single" w:sz="8" w:color="F0533D"/>
            </w:tcBorders>
          </w:tcPr>
          <w:p>
            <w:pPr>
              <w:jc w:val="right"/>
              <w:ind w:right="199"/>
              <w:spacing w:after="0"/>
              <w:rPr>
                <w:sz w:val="20"/>
                <w:szCs w:val="20"/>
                <w:color w:val="auto"/>
              </w:rPr>
            </w:pPr>
            <w:r>
              <w:rPr>
                <w:rFonts w:ascii="Arial" w:cs="Arial" w:eastAsia="Arial" w:hAnsi="Arial"/>
                <w:sz w:val="17"/>
                <w:szCs w:val="17"/>
                <w:color w:val="auto"/>
              </w:rPr>
              <w:t>100%</w:t>
            </w:r>
          </w:p>
        </w:tc>
        <w:tc>
          <w:tcPr>
            <w:tcW w:w="1060" w:type="dxa"/>
            <w:vAlign w:val="bottom"/>
            <w:tcBorders>
              <w:bottom w:val="single" w:sz="8" w:color="F0533D"/>
            </w:tcBorders>
          </w:tcPr>
          <w:p>
            <w:pPr>
              <w:ind w:left="460"/>
              <w:spacing w:after="0"/>
              <w:rPr>
                <w:sz w:val="20"/>
                <w:szCs w:val="20"/>
                <w:color w:val="auto"/>
              </w:rPr>
            </w:pPr>
            <w:r>
              <w:rPr>
                <w:rFonts w:ascii="Arial" w:cs="Arial" w:eastAsia="Arial" w:hAnsi="Arial"/>
                <w:sz w:val="17"/>
                <w:szCs w:val="17"/>
                <w:color w:val="auto"/>
              </w:rPr>
              <w:t>200%</w:t>
            </w:r>
          </w:p>
        </w:tc>
      </w:tr>
      <w:tr>
        <w:trPr>
          <w:trHeight w:val="362"/>
        </w:trPr>
        <w:tc>
          <w:tcPr>
            <w:tcW w:w="3160" w:type="dxa"/>
            <w:vAlign w:val="bottom"/>
          </w:tcPr>
          <w:p>
            <w:pPr>
              <w:ind w:left="160"/>
              <w:spacing w:after="0"/>
              <w:rPr>
                <w:sz w:val="20"/>
                <w:szCs w:val="20"/>
                <w:color w:val="auto"/>
              </w:rPr>
            </w:pPr>
            <w:r>
              <w:rPr>
                <w:rFonts w:ascii="Arial" w:cs="Arial" w:eastAsia="Arial" w:hAnsi="Arial"/>
                <w:sz w:val="14"/>
                <w:szCs w:val="14"/>
                <w:b w:val="1"/>
                <w:bCs w:val="1"/>
                <w:color w:val="F0533D"/>
              </w:rPr>
              <w:t>Adjusted EBITDA</w:t>
            </w:r>
          </w:p>
        </w:tc>
        <w:tc>
          <w:tcPr>
            <w:tcW w:w="2340" w:type="dxa"/>
            <w:vAlign w:val="bottom"/>
          </w:tcPr>
          <w:p>
            <w:pPr>
              <w:jc w:val="center"/>
              <w:ind w:left="1041"/>
              <w:spacing w:after="0"/>
              <w:rPr>
                <w:sz w:val="20"/>
                <w:szCs w:val="20"/>
                <w:color w:val="auto"/>
              </w:rPr>
            </w:pPr>
            <w:r>
              <w:rPr>
                <w:rFonts w:ascii="Arial" w:cs="Arial" w:eastAsia="Arial" w:hAnsi="Arial"/>
                <w:sz w:val="14"/>
                <w:szCs w:val="14"/>
                <w:b w:val="1"/>
                <w:bCs w:val="1"/>
                <w:color w:val="F0533D"/>
              </w:rPr>
              <w:t>Below</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5"/>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(60% Weighting)</w:t>
            </w:r>
          </w:p>
        </w:tc>
        <w:tc>
          <w:tcPr>
            <w:tcW w:w="2340" w:type="dxa"/>
            <w:vAlign w:val="bottom"/>
            <w:tcBorders>
              <w:bottom w:val="single" w:sz="8" w:color="F0533D"/>
            </w:tcBorders>
          </w:tcPr>
          <w:p>
            <w:pPr>
              <w:jc w:val="center"/>
              <w:ind w:left="1041"/>
              <w:spacing w:after="0"/>
              <w:rPr>
                <w:sz w:val="20"/>
                <w:szCs w:val="20"/>
                <w:color w:val="auto"/>
              </w:rPr>
            </w:pPr>
            <w:r>
              <w:rPr>
                <w:rFonts w:ascii="Arial" w:cs="Arial" w:eastAsia="Arial" w:hAnsi="Arial"/>
                <w:sz w:val="14"/>
                <w:szCs w:val="14"/>
                <w:b w:val="1"/>
                <w:bCs w:val="1"/>
                <w:color w:val="F0533D"/>
              </w:rPr>
              <w:t>Threshold</w:t>
            </w:r>
          </w:p>
        </w:tc>
        <w:tc>
          <w:tcPr>
            <w:tcW w:w="1260" w:type="dxa"/>
            <w:vAlign w:val="bottom"/>
            <w:tcBorders>
              <w:bottom w:val="single" w:sz="8" w:color="F0533D"/>
            </w:tcBorders>
          </w:tcPr>
          <w:p>
            <w:pPr>
              <w:jc w:val="right"/>
              <w:ind w:right="199"/>
              <w:spacing w:after="0"/>
              <w:rPr>
                <w:sz w:val="20"/>
                <w:szCs w:val="20"/>
                <w:color w:val="auto"/>
              </w:rPr>
            </w:pPr>
            <w:r>
              <w:rPr>
                <w:rFonts w:ascii="Arial" w:cs="Arial" w:eastAsia="Arial" w:hAnsi="Arial"/>
                <w:sz w:val="14"/>
                <w:szCs w:val="14"/>
                <w:b w:val="1"/>
                <w:bCs w:val="1"/>
                <w:color w:val="F0533D"/>
              </w:rPr>
              <w:t>Threshold</w:t>
            </w:r>
          </w:p>
        </w:tc>
        <w:tc>
          <w:tcPr>
            <w:tcW w:w="1040" w:type="dxa"/>
            <w:vAlign w:val="bottom"/>
            <w:tcBorders>
              <w:bottom w:val="single" w:sz="8" w:color="F0533D"/>
            </w:tcBorders>
          </w:tcPr>
          <w:p>
            <w:pPr>
              <w:jc w:val="right"/>
              <w:ind w:right="239"/>
              <w:spacing w:after="0"/>
              <w:rPr>
                <w:sz w:val="20"/>
                <w:szCs w:val="20"/>
                <w:color w:val="auto"/>
              </w:rPr>
            </w:pPr>
            <w:r>
              <w:rPr>
                <w:rFonts w:ascii="Arial" w:cs="Arial" w:eastAsia="Arial" w:hAnsi="Arial"/>
                <w:sz w:val="14"/>
                <w:szCs w:val="14"/>
                <w:b w:val="1"/>
                <w:bCs w:val="1"/>
                <w:color w:val="F0533D"/>
              </w:rPr>
              <w:t>Target</w:t>
            </w:r>
          </w:p>
        </w:tc>
        <w:tc>
          <w:tcPr>
            <w:tcW w:w="1060" w:type="dxa"/>
            <w:vAlign w:val="bottom"/>
            <w:tcBorders>
              <w:bottom w:val="single" w:sz="8" w:color="F0533D"/>
            </w:tcBorders>
          </w:tcPr>
          <w:p>
            <w:pPr>
              <w:ind w:left="280"/>
              <w:spacing w:after="0"/>
              <w:rPr>
                <w:sz w:val="20"/>
                <w:szCs w:val="20"/>
                <w:color w:val="auto"/>
              </w:rPr>
            </w:pPr>
            <w:r>
              <w:rPr>
                <w:rFonts w:ascii="Arial" w:cs="Arial" w:eastAsia="Arial" w:hAnsi="Arial"/>
                <w:sz w:val="14"/>
                <w:szCs w:val="14"/>
                <w:b w:val="1"/>
                <w:bCs w:val="1"/>
                <w:color w:val="F0533D"/>
              </w:rPr>
              <w:t>Maximum</w:t>
            </w:r>
          </w:p>
        </w:tc>
      </w:tr>
      <w:tr>
        <w:trPr>
          <w:trHeight w:val="236"/>
        </w:trPr>
        <w:tc>
          <w:tcPr>
            <w:tcW w:w="31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 of Goal Attainment</w:t>
            </w:r>
          </w:p>
        </w:tc>
        <w:tc>
          <w:tcPr>
            <w:tcW w:w="2340" w:type="dxa"/>
            <w:vAlign w:val="bottom"/>
            <w:tcBorders>
              <w:bottom w:val="single" w:sz="8" w:color="939598"/>
            </w:tcBorders>
          </w:tcPr>
          <w:p>
            <w:pPr>
              <w:jc w:val="right"/>
              <w:ind w:right="241"/>
              <w:spacing w:after="0"/>
              <w:rPr>
                <w:sz w:val="20"/>
                <w:szCs w:val="20"/>
                <w:color w:val="auto"/>
              </w:rPr>
            </w:pPr>
            <w:r>
              <w:rPr>
                <w:rFonts w:ascii="Arial" w:cs="Arial" w:eastAsia="Arial" w:hAnsi="Arial"/>
                <w:sz w:val="17"/>
                <w:szCs w:val="17"/>
                <w:color w:val="auto"/>
              </w:rPr>
              <w:t>&lt;90%</w:t>
            </w:r>
          </w:p>
        </w:tc>
        <w:tc>
          <w:tcPr>
            <w:tcW w:w="1260" w:type="dxa"/>
            <w:vAlign w:val="bottom"/>
            <w:tcBorders>
              <w:bottom w:val="single" w:sz="8" w:color="939598"/>
            </w:tcBorders>
          </w:tcPr>
          <w:p>
            <w:pPr>
              <w:jc w:val="right"/>
              <w:ind w:right="319"/>
              <w:spacing w:after="0"/>
              <w:rPr>
                <w:sz w:val="20"/>
                <w:szCs w:val="20"/>
                <w:color w:val="auto"/>
              </w:rPr>
            </w:pPr>
            <w:r>
              <w:rPr>
                <w:rFonts w:ascii="Arial" w:cs="Arial" w:eastAsia="Arial" w:hAnsi="Arial"/>
                <w:sz w:val="17"/>
                <w:szCs w:val="17"/>
                <w:color w:val="auto"/>
              </w:rPr>
              <w:t>90%</w:t>
            </w:r>
          </w:p>
        </w:tc>
        <w:tc>
          <w:tcPr>
            <w:tcW w:w="1040" w:type="dxa"/>
            <w:vAlign w:val="bottom"/>
            <w:tcBorders>
              <w:bottom w:val="single" w:sz="8" w:color="939598"/>
            </w:tcBorders>
          </w:tcPr>
          <w:p>
            <w:pPr>
              <w:jc w:val="right"/>
              <w:ind w:right="199"/>
              <w:spacing w:after="0"/>
              <w:rPr>
                <w:sz w:val="20"/>
                <w:szCs w:val="20"/>
                <w:color w:val="auto"/>
              </w:rPr>
            </w:pPr>
            <w:r>
              <w:rPr>
                <w:rFonts w:ascii="Arial" w:cs="Arial" w:eastAsia="Arial" w:hAnsi="Arial"/>
                <w:sz w:val="17"/>
                <w:szCs w:val="17"/>
                <w:color w:val="auto"/>
              </w:rPr>
              <w:t>100%</w:t>
            </w:r>
          </w:p>
        </w:tc>
        <w:tc>
          <w:tcPr>
            <w:tcW w:w="1060" w:type="dxa"/>
            <w:vAlign w:val="bottom"/>
            <w:tcBorders>
              <w:bottom w:val="single" w:sz="8" w:color="939598"/>
            </w:tcBorders>
          </w:tcPr>
          <w:p>
            <w:pPr>
              <w:ind w:left="460"/>
              <w:spacing w:after="0"/>
              <w:rPr>
                <w:sz w:val="20"/>
                <w:szCs w:val="20"/>
                <w:color w:val="auto"/>
              </w:rPr>
            </w:pPr>
            <w:r>
              <w:rPr>
                <w:rFonts w:ascii="Arial" w:cs="Arial" w:eastAsia="Arial" w:hAnsi="Arial"/>
                <w:sz w:val="17"/>
                <w:szCs w:val="17"/>
                <w:color w:val="auto"/>
              </w:rPr>
              <w:t>110%</w:t>
            </w:r>
          </w:p>
        </w:tc>
      </w:tr>
      <w:tr>
        <w:trPr>
          <w:trHeight w:val="216"/>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7"/>
                <w:szCs w:val="17"/>
                <w:color w:val="auto"/>
              </w:rPr>
              <w:t>% of Target Payout</w:t>
            </w:r>
          </w:p>
        </w:tc>
        <w:tc>
          <w:tcPr>
            <w:tcW w:w="2340" w:type="dxa"/>
            <w:vAlign w:val="bottom"/>
            <w:tcBorders>
              <w:bottom w:val="single" w:sz="8" w:color="F0533D"/>
            </w:tcBorders>
          </w:tcPr>
          <w:p>
            <w:pPr>
              <w:jc w:val="right"/>
              <w:ind w:right="241"/>
              <w:spacing w:after="0"/>
              <w:rPr>
                <w:sz w:val="20"/>
                <w:szCs w:val="20"/>
                <w:color w:val="auto"/>
              </w:rPr>
            </w:pPr>
            <w:r>
              <w:rPr>
                <w:rFonts w:ascii="Arial" w:cs="Arial" w:eastAsia="Arial" w:hAnsi="Arial"/>
                <w:sz w:val="17"/>
                <w:szCs w:val="17"/>
                <w:color w:val="auto"/>
              </w:rPr>
              <w:t>0%</w:t>
            </w:r>
          </w:p>
        </w:tc>
        <w:tc>
          <w:tcPr>
            <w:tcW w:w="1260" w:type="dxa"/>
            <w:vAlign w:val="bottom"/>
            <w:tcBorders>
              <w:bottom w:val="single" w:sz="8" w:color="F0533D"/>
            </w:tcBorders>
          </w:tcPr>
          <w:p>
            <w:pPr>
              <w:jc w:val="right"/>
              <w:ind w:right="319"/>
              <w:spacing w:after="0"/>
              <w:rPr>
                <w:sz w:val="20"/>
                <w:szCs w:val="20"/>
                <w:color w:val="auto"/>
              </w:rPr>
            </w:pPr>
            <w:r>
              <w:rPr>
                <w:rFonts w:ascii="Arial" w:cs="Arial" w:eastAsia="Arial" w:hAnsi="Arial"/>
                <w:sz w:val="17"/>
                <w:szCs w:val="17"/>
                <w:color w:val="auto"/>
              </w:rPr>
              <w:t>50%</w:t>
            </w:r>
          </w:p>
        </w:tc>
        <w:tc>
          <w:tcPr>
            <w:tcW w:w="1040" w:type="dxa"/>
            <w:vAlign w:val="bottom"/>
            <w:tcBorders>
              <w:bottom w:val="single" w:sz="8" w:color="F0533D"/>
            </w:tcBorders>
          </w:tcPr>
          <w:p>
            <w:pPr>
              <w:jc w:val="right"/>
              <w:ind w:right="199"/>
              <w:spacing w:after="0"/>
              <w:rPr>
                <w:sz w:val="20"/>
                <w:szCs w:val="20"/>
                <w:color w:val="auto"/>
              </w:rPr>
            </w:pPr>
            <w:r>
              <w:rPr>
                <w:rFonts w:ascii="Arial" w:cs="Arial" w:eastAsia="Arial" w:hAnsi="Arial"/>
                <w:sz w:val="17"/>
                <w:szCs w:val="17"/>
                <w:color w:val="auto"/>
              </w:rPr>
              <w:t>100%</w:t>
            </w:r>
          </w:p>
        </w:tc>
        <w:tc>
          <w:tcPr>
            <w:tcW w:w="1060" w:type="dxa"/>
            <w:vAlign w:val="bottom"/>
            <w:tcBorders>
              <w:bottom w:val="single" w:sz="8" w:color="F0533D"/>
            </w:tcBorders>
          </w:tcPr>
          <w:p>
            <w:pPr>
              <w:ind w:left="460"/>
              <w:spacing w:after="0"/>
              <w:rPr>
                <w:sz w:val="20"/>
                <w:szCs w:val="20"/>
                <w:color w:val="auto"/>
              </w:rPr>
            </w:pPr>
            <w:r>
              <w:rPr>
                <w:rFonts w:ascii="Arial" w:cs="Arial" w:eastAsia="Arial" w:hAnsi="Arial"/>
                <w:sz w:val="17"/>
                <w:szCs w:val="17"/>
                <w:color w:val="auto"/>
              </w:rPr>
              <w:t>200%</w:t>
            </w:r>
          </w:p>
        </w:tc>
      </w:tr>
    </w:tbl>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Determination of Fiscal 2026 Achievement and Payouts</w:t>
      </w:r>
    </w:p>
    <w:p>
      <w:pPr>
        <w:spacing w:after="0" w:line="154" w:lineRule="exact"/>
        <w:rPr>
          <w:sz w:val="20"/>
          <w:szCs w:val="20"/>
          <w:color w:val="auto"/>
        </w:rPr>
      </w:pPr>
    </w:p>
    <w:p>
      <w:pPr>
        <w:ind w:left="80" w:right="799"/>
        <w:spacing w:after="0" w:line="267" w:lineRule="auto"/>
        <w:rPr>
          <w:sz w:val="20"/>
          <w:szCs w:val="20"/>
          <w:color w:val="auto"/>
        </w:rPr>
      </w:pPr>
      <w:r>
        <w:rPr>
          <w:rFonts w:ascii="Arial" w:cs="Arial" w:eastAsia="Arial" w:hAnsi="Arial"/>
          <w:sz w:val="17"/>
          <w:szCs w:val="17"/>
          <w:color w:val="auto"/>
        </w:rPr>
        <w:t>The table below shows the actual results based on the Company’s fiscal 2026 performance and the payouts associated with each of the fiscal 2026 metrics as a percentage of target.</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F0533D"/>
              </w:rPr>
              <w:t>% of</w:t>
            </w:r>
          </w:p>
        </w:tc>
      </w:tr>
      <w:tr>
        <w:trPr>
          <w:trHeight w:val="162"/>
        </w:trPr>
        <w:tc>
          <w:tcPr>
            <w:tcW w:w="3340" w:type="dxa"/>
            <w:vAlign w:val="bottom"/>
          </w:tcPr>
          <w:p>
            <w:pPr>
              <w:spacing w:after="0"/>
              <w:rPr>
                <w:sz w:val="14"/>
                <w:szCs w:val="14"/>
                <w:color w:val="auto"/>
              </w:rPr>
            </w:pPr>
          </w:p>
        </w:tc>
        <w:tc>
          <w:tcPr>
            <w:tcW w:w="2700" w:type="dxa"/>
            <w:vAlign w:val="bottom"/>
          </w:tcPr>
          <w:p>
            <w:pPr>
              <w:jc w:val="center"/>
              <w:ind w:left="1180"/>
              <w:spacing w:after="0"/>
              <w:rPr>
                <w:sz w:val="20"/>
                <w:szCs w:val="20"/>
                <w:color w:val="auto"/>
              </w:rPr>
            </w:pPr>
            <w:r>
              <w:rPr>
                <w:rFonts w:ascii="Arial" w:cs="Arial" w:eastAsia="Arial" w:hAnsi="Arial"/>
                <w:sz w:val="14"/>
                <w:szCs w:val="14"/>
                <w:b w:val="1"/>
                <w:bCs w:val="1"/>
                <w:color w:val="F0533D"/>
              </w:rPr>
              <w:t>Performance</w:t>
            </w:r>
          </w:p>
        </w:tc>
        <w:tc>
          <w:tcPr>
            <w:tcW w:w="16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F0533D"/>
              </w:rPr>
              <w:t>Target</w:t>
            </w:r>
          </w:p>
        </w:tc>
      </w:tr>
      <w:tr>
        <w:trPr>
          <w:trHeight w:val="205"/>
        </w:trPr>
        <w:tc>
          <w:tcPr>
            <w:tcW w:w="334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Metrics</w:t>
            </w:r>
          </w:p>
        </w:tc>
        <w:tc>
          <w:tcPr>
            <w:tcW w:w="2700" w:type="dxa"/>
            <w:vAlign w:val="bottom"/>
            <w:tcBorders>
              <w:bottom w:val="single" w:sz="8" w:color="F0533D"/>
            </w:tcBorders>
          </w:tcPr>
          <w:p>
            <w:pPr>
              <w:jc w:val="center"/>
              <w:ind w:left="1220"/>
              <w:spacing w:after="0"/>
              <w:rPr>
                <w:sz w:val="20"/>
                <w:szCs w:val="20"/>
                <w:color w:val="auto"/>
              </w:rPr>
            </w:pPr>
            <w:r>
              <w:rPr>
                <w:rFonts w:ascii="Arial" w:cs="Arial" w:eastAsia="Arial" w:hAnsi="Arial"/>
                <w:sz w:val="14"/>
                <w:szCs w:val="14"/>
                <w:b w:val="1"/>
                <w:bCs w:val="1"/>
                <w:color w:val="F0533D"/>
              </w:rPr>
              <w:t>Target</w:t>
            </w:r>
          </w:p>
        </w:tc>
        <w:tc>
          <w:tcPr>
            <w:tcW w:w="1640" w:type="dxa"/>
            <w:vAlign w:val="bottom"/>
            <w:tcBorders>
              <w:bottom w:val="single" w:sz="8" w:color="F0533D"/>
            </w:tcBorders>
          </w:tcPr>
          <w:p>
            <w:pPr>
              <w:jc w:val="center"/>
              <w:ind w:right="38"/>
              <w:spacing w:after="0"/>
              <w:rPr>
                <w:sz w:val="20"/>
                <w:szCs w:val="20"/>
                <w:color w:val="auto"/>
              </w:rPr>
            </w:pPr>
            <w:r>
              <w:rPr>
                <w:rFonts w:ascii="Arial" w:cs="Arial" w:eastAsia="Arial" w:hAnsi="Arial"/>
                <w:sz w:val="14"/>
                <w:szCs w:val="14"/>
                <w:b w:val="1"/>
                <w:bCs w:val="1"/>
                <w:color w:val="F0533D"/>
              </w:rPr>
              <w:t>Results</w:t>
            </w:r>
          </w:p>
        </w:tc>
        <w:tc>
          <w:tcPr>
            <w:tcW w:w="11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Payout</w:t>
            </w:r>
          </w:p>
        </w:tc>
      </w:tr>
      <w:tr>
        <w:trPr>
          <w:trHeight w:val="297"/>
        </w:trPr>
        <w:tc>
          <w:tcPr>
            <w:tcW w:w="33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Adjusted EBITDA</w:t>
            </w:r>
          </w:p>
        </w:tc>
        <w:tc>
          <w:tcPr>
            <w:tcW w:w="2700" w:type="dxa"/>
            <w:vAlign w:val="bottom"/>
            <w:tcBorders>
              <w:bottom w:val="single" w:sz="8" w:color="939598"/>
            </w:tcBorders>
          </w:tcPr>
          <w:p>
            <w:pPr>
              <w:jc w:val="center"/>
              <w:ind w:left="1240"/>
              <w:spacing w:after="0"/>
              <w:rPr>
                <w:sz w:val="20"/>
                <w:szCs w:val="20"/>
                <w:color w:val="auto"/>
              </w:rPr>
            </w:pPr>
            <w:r>
              <w:rPr>
                <w:rFonts w:ascii="Arial" w:cs="Arial" w:eastAsia="Arial" w:hAnsi="Arial"/>
                <w:sz w:val="17"/>
                <w:szCs w:val="17"/>
                <w:color w:val="auto"/>
              </w:rPr>
              <w:t>$2.7 billion</w:t>
            </w:r>
          </w:p>
        </w:tc>
        <w:tc>
          <w:tcPr>
            <w:tcW w:w="1640" w:type="dxa"/>
            <w:vAlign w:val="bottom"/>
            <w:tcBorders>
              <w:bottom w:val="single" w:sz="8" w:color="939598"/>
            </w:tcBorders>
          </w:tcPr>
          <w:p>
            <w:pPr>
              <w:jc w:val="center"/>
              <w:ind w:right="18"/>
              <w:spacing w:after="0" w:line="297" w:lineRule="exact"/>
              <w:rPr>
                <w:sz w:val="20"/>
                <w:szCs w:val="20"/>
                <w:color w:val="auto"/>
              </w:rPr>
            </w:pPr>
            <w:r>
              <w:rPr>
                <w:rFonts w:ascii="Arial" w:cs="Arial" w:eastAsia="Arial" w:hAnsi="Arial"/>
                <w:sz w:val="17"/>
                <w:szCs w:val="17"/>
                <w:color w:val="auto"/>
                <w:w w:val="94"/>
              </w:rPr>
              <w:t>$2.6 billion</w:t>
            </w:r>
            <w:r>
              <w:rPr>
                <w:rFonts w:ascii="Arial" w:cs="Arial" w:eastAsia="Arial" w:hAnsi="Arial"/>
                <w:sz w:val="28"/>
                <w:szCs w:val="28"/>
                <w:color w:val="auto"/>
                <w:w w:val="94"/>
                <w:vertAlign w:val="superscript"/>
              </w:rPr>
              <w:t>(1)</w:t>
            </w: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47%</w:t>
            </w:r>
          </w:p>
        </w:tc>
      </w:tr>
      <w:tr>
        <w:trPr>
          <w:trHeight w:val="290"/>
        </w:trPr>
        <w:tc>
          <w:tcPr>
            <w:tcW w:w="334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Revenue</w:t>
            </w:r>
          </w:p>
        </w:tc>
        <w:tc>
          <w:tcPr>
            <w:tcW w:w="2700" w:type="dxa"/>
            <w:vAlign w:val="bottom"/>
            <w:tcBorders>
              <w:bottom w:val="single" w:sz="8" w:color="939598"/>
            </w:tcBorders>
          </w:tcPr>
          <w:p>
            <w:pPr>
              <w:jc w:val="center"/>
              <w:ind w:left="1220"/>
              <w:spacing w:after="0"/>
              <w:rPr>
                <w:sz w:val="20"/>
                <w:szCs w:val="20"/>
                <w:color w:val="auto"/>
              </w:rPr>
            </w:pPr>
            <w:r>
              <w:rPr>
                <w:rFonts w:ascii="Arial" w:cs="Arial" w:eastAsia="Arial" w:hAnsi="Arial"/>
                <w:sz w:val="17"/>
                <w:szCs w:val="17"/>
                <w:color w:val="auto"/>
              </w:rPr>
              <w:t>$15.3 billion</w:t>
            </w:r>
          </w:p>
        </w:tc>
        <w:tc>
          <w:tcPr>
            <w:tcW w:w="1640" w:type="dxa"/>
            <w:vAlign w:val="bottom"/>
            <w:tcBorders>
              <w:bottom w:val="single" w:sz="8" w:color="939598"/>
            </w:tcBorders>
          </w:tcPr>
          <w:p>
            <w:pPr>
              <w:jc w:val="center"/>
              <w:ind w:right="38"/>
              <w:spacing w:after="0" w:line="290" w:lineRule="exact"/>
              <w:rPr>
                <w:sz w:val="20"/>
                <w:szCs w:val="20"/>
                <w:color w:val="auto"/>
              </w:rPr>
            </w:pPr>
            <w:r>
              <w:rPr>
                <w:rFonts w:ascii="Arial" w:cs="Arial" w:eastAsia="Arial" w:hAnsi="Arial"/>
                <w:sz w:val="17"/>
                <w:szCs w:val="17"/>
                <w:color w:val="auto"/>
                <w:w w:val="95"/>
              </w:rPr>
              <w:t>$14.7 billion</w:t>
            </w:r>
            <w:r>
              <w:rPr>
                <w:rFonts w:ascii="Arial" w:cs="Arial" w:eastAsia="Arial" w:hAnsi="Arial"/>
                <w:sz w:val="28"/>
                <w:szCs w:val="28"/>
                <w:color w:val="auto"/>
                <w:w w:val="95"/>
                <w:vertAlign w:val="superscript"/>
              </w:rPr>
              <w:t>(1)</w:t>
            </w: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12%</w:t>
            </w:r>
          </w:p>
        </w:tc>
      </w:tr>
      <w:tr>
        <w:trPr>
          <w:trHeight w:val="263"/>
        </w:trPr>
        <w:tc>
          <w:tcPr>
            <w:tcW w:w="3340" w:type="dxa"/>
            <w:vAlign w:val="bottom"/>
            <w:tcBorders>
              <w:bottom w:val="single" w:sz="8" w:color="F0533D"/>
            </w:tcBorders>
          </w:tcPr>
          <w:p>
            <w:pPr>
              <w:ind w:left="160"/>
              <w:spacing w:after="0"/>
              <w:rPr>
                <w:sz w:val="20"/>
                <w:szCs w:val="20"/>
                <w:color w:val="auto"/>
              </w:rPr>
            </w:pPr>
            <w:r>
              <w:rPr>
                <w:rFonts w:ascii="Arial" w:cs="Arial" w:eastAsia="Arial" w:hAnsi="Arial"/>
                <w:sz w:val="17"/>
                <w:szCs w:val="17"/>
                <w:color w:val="auto"/>
              </w:rPr>
              <w:t>Corporate Citizenship</w:t>
            </w:r>
          </w:p>
        </w:tc>
        <w:tc>
          <w:tcPr>
            <w:tcW w:w="2700" w:type="dxa"/>
            <w:vAlign w:val="bottom"/>
            <w:tcBorders>
              <w:bottom w:val="single" w:sz="8" w:color="F0533D"/>
            </w:tcBorders>
          </w:tcPr>
          <w:p>
            <w:pPr>
              <w:jc w:val="center"/>
              <w:ind w:left="1220"/>
              <w:spacing w:after="0" w:line="263" w:lineRule="exact"/>
              <w:rPr>
                <w:sz w:val="20"/>
                <w:szCs w:val="20"/>
                <w:color w:val="auto"/>
              </w:rPr>
            </w:pPr>
            <w:r>
              <w:rPr>
                <w:rFonts w:ascii="Arial" w:cs="Arial" w:eastAsia="Arial" w:hAnsi="Arial"/>
                <w:sz w:val="17"/>
                <w:szCs w:val="17"/>
                <w:color w:val="auto"/>
                <w:w w:val="93"/>
              </w:rPr>
              <w:t>See</w:t>
            </w:r>
            <w:r>
              <w:rPr>
                <w:rFonts w:ascii="Arial" w:cs="Arial" w:eastAsia="Arial" w:hAnsi="Arial"/>
                <w:sz w:val="28"/>
                <w:szCs w:val="28"/>
                <w:color w:val="auto"/>
                <w:w w:val="93"/>
                <w:vertAlign w:val="superscript"/>
              </w:rPr>
              <w:t>(2)</w:t>
            </w:r>
            <w:r>
              <w:rPr>
                <w:rFonts w:ascii="Arial" w:cs="Arial" w:eastAsia="Arial" w:hAnsi="Arial"/>
                <w:sz w:val="17"/>
                <w:szCs w:val="17"/>
                <w:color w:val="auto"/>
                <w:w w:val="93"/>
              </w:rPr>
              <w:t xml:space="preserve"> below</w:t>
            </w:r>
          </w:p>
        </w:tc>
        <w:tc>
          <w:tcPr>
            <w:tcW w:w="1640" w:type="dxa"/>
            <w:vAlign w:val="bottom"/>
            <w:tcBorders>
              <w:bottom w:val="single" w:sz="8" w:color="F0533D"/>
            </w:tcBorders>
          </w:tcPr>
          <w:p>
            <w:pPr>
              <w:jc w:val="center"/>
              <w:ind w:right="18"/>
              <w:spacing w:after="0" w:line="263" w:lineRule="exact"/>
              <w:rPr>
                <w:sz w:val="20"/>
                <w:szCs w:val="20"/>
                <w:color w:val="auto"/>
              </w:rPr>
            </w:pPr>
            <w:r>
              <w:rPr>
                <w:rFonts w:ascii="Arial" w:cs="Arial" w:eastAsia="Arial" w:hAnsi="Arial"/>
                <w:sz w:val="17"/>
                <w:szCs w:val="17"/>
                <w:color w:val="auto"/>
                <w:w w:val="95"/>
              </w:rPr>
              <w:t>See</w:t>
            </w:r>
            <w:r>
              <w:rPr>
                <w:rFonts w:ascii="Arial" w:cs="Arial" w:eastAsia="Arial" w:hAnsi="Arial"/>
                <w:sz w:val="28"/>
                <w:szCs w:val="28"/>
                <w:color w:val="auto"/>
                <w:w w:val="95"/>
                <w:vertAlign w:val="superscript"/>
              </w:rPr>
              <w:t>(2)</w:t>
            </w:r>
            <w:r>
              <w:rPr>
                <w:rFonts w:ascii="Arial" w:cs="Arial" w:eastAsia="Arial" w:hAnsi="Arial"/>
                <w:sz w:val="17"/>
                <w:szCs w:val="17"/>
                <w:color w:val="auto"/>
                <w:w w:val="95"/>
              </w:rPr>
              <w:t xml:space="preserve"> below</w:t>
            </w:r>
          </w:p>
        </w:tc>
        <w:tc>
          <w:tcPr>
            <w:tcW w:w="1180" w:type="dxa"/>
            <w:vAlign w:val="bottom"/>
            <w:tcBorders>
              <w:bottom w:val="single" w:sz="8" w:color="F0533D"/>
            </w:tcBorders>
          </w:tcPr>
          <w:p>
            <w:pPr>
              <w:jc w:val="center"/>
              <w:spacing w:after="0"/>
              <w:rPr>
                <w:sz w:val="20"/>
                <w:szCs w:val="20"/>
                <w:color w:val="auto"/>
              </w:rPr>
            </w:pPr>
            <w:r>
              <w:rPr>
                <w:rFonts w:ascii="Arial" w:cs="Arial" w:eastAsia="Arial" w:hAnsi="Arial"/>
                <w:sz w:val="17"/>
                <w:szCs w:val="17"/>
                <w:color w:val="auto"/>
                <w:w w:val="99"/>
              </w:rPr>
              <w:t>10%</w:t>
            </w:r>
          </w:p>
        </w:tc>
      </w:tr>
    </w:tbl>
    <w:p>
      <w:pPr>
        <w:spacing w:after="0" w:line="307" w:lineRule="exact"/>
        <w:rPr>
          <w:sz w:val="20"/>
          <w:szCs w:val="20"/>
          <w:color w:val="auto"/>
        </w:rPr>
      </w:pPr>
    </w:p>
    <w:p>
      <w:pPr>
        <w:ind w:left="540" w:right="119" w:hanging="356"/>
        <w:spacing w:after="0" w:line="210" w:lineRule="auto"/>
        <w:tabs>
          <w:tab w:leader="none" w:pos="540" w:val="left"/>
        </w:tabs>
        <w:numPr>
          <w:ilvl w:val="0"/>
          <w:numId w:val="67"/>
        </w:numPr>
        <w:rPr>
          <w:rFonts w:ascii="Arial" w:cs="Arial" w:eastAsia="Arial" w:hAnsi="Arial"/>
          <w:sz w:val="23"/>
          <w:szCs w:val="23"/>
          <w:color w:val="auto"/>
          <w:vertAlign w:val="superscript"/>
        </w:rPr>
      </w:pPr>
      <w:r>
        <w:rPr>
          <w:rFonts w:ascii="Arial" w:cs="Arial" w:eastAsia="Arial" w:hAnsi="Arial"/>
          <w:sz w:val="15"/>
          <w:szCs w:val="15"/>
          <w:color w:val="auto"/>
        </w:rPr>
        <w:t>When assessing performance for purposes of the Kyndryl Annual Incentive Plan, the CHC Committee may adjust for certain pre-determined categories as described further above under the section titled “Assessing Performance Results.” For fiscal 2026, beginning with GAAP revenue and adjusted EBITDA as reported in our Fiscal 2026 Form 10-K, the results eliminate the impact of currency movements versus the rates used in the performance targets.</w:t>
      </w:r>
    </w:p>
    <w:p>
      <w:pPr>
        <w:spacing w:after="0" w:line="71" w:lineRule="exact"/>
        <w:rPr>
          <w:rFonts w:ascii="Arial" w:cs="Arial" w:eastAsia="Arial" w:hAnsi="Arial"/>
          <w:sz w:val="23"/>
          <w:szCs w:val="23"/>
          <w:color w:val="auto"/>
          <w:vertAlign w:val="superscript"/>
        </w:rPr>
      </w:pPr>
    </w:p>
    <w:p>
      <w:pPr>
        <w:ind w:left="540" w:right="99" w:hanging="356"/>
        <w:spacing w:after="0"/>
        <w:tabs>
          <w:tab w:leader="none" w:pos="540" w:val="left"/>
        </w:tabs>
        <w:numPr>
          <w:ilvl w:val="0"/>
          <w:numId w:val="67"/>
        </w:numPr>
        <w:rPr>
          <w:rFonts w:ascii="Arial" w:cs="Arial" w:eastAsia="Arial" w:hAnsi="Arial"/>
          <w:sz w:val="23"/>
          <w:szCs w:val="23"/>
          <w:color w:val="auto"/>
          <w:vertAlign w:val="superscript"/>
        </w:rPr>
      </w:pPr>
      <w:r>
        <w:rPr>
          <w:rFonts w:ascii="Arial" w:cs="Arial" w:eastAsia="Arial" w:hAnsi="Arial"/>
          <w:sz w:val="15"/>
          <w:szCs w:val="15"/>
          <w:color w:val="auto"/>
        </w:rPr>
        <w:t>The percentage of target payout with respect to the corporate citizenship objectives was determined based on the Company’s achievement of key set qualitative goals to further the Company’s corporate citizenship strategy that aligns with our strategic business priorities: continuing to build our sustainability program to deliver our commitment to reduce our environmental impact; fostering employee engagement to drive a high-performing culture and build leadership capabilities to attract and retain the talent needed for growth; and continuing to establish a foundation for the culture, systems and platforms which enhance governance, ethics and transparency, focusing on key Company-wide planning and training activities.</w:t>
      </w:r>
    </w:p>
    <w:p>
      <w:pPr>
        <w:spacing w:after="0" w:line="240"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319"/>
        <w:spacing w:after="0" w:line="244" w:lineRule="auto"/>
        <w:rPr>
          <w:sz w:val="20"/>
          <w:szCs w:val="20"/>
          <w:color w:val="auto"/>
        </w:rPr>
      </w:pPr>
      <w:r>
        <w:rPr>
          <w:rFonts w:ascii="Arial" w:cs="Arial" w:eastAsia="Arial" w:hAnsi="Arial"/>
          <w:sz w:val="17"/>
          <w:szCs w:val="17"/>
          <w:color w:val="auto"/>
        </w:rPr>
        <w:t>The results set forth above produced a weighted payout percentage of 69% of target. The CHC Committee did not apply upward or downward adjustments for the NEOs’ individual performance. Based on the Company’s performance achieved, each of the NEOs earned a cash bonus for fiscal 2026 as follows, which amounts are reflected in the “Non-Equity Incentive Plan Compensation” column of the Summary Compensation Table.</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w w:val="98"/>
              </w:rPr>
              <w:t>Target</w:t>
            </w: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F0533D"/>
              </w:rPr>
              <w:t>Fiscal</w:t>
            </w:r>
          </w:p>
        </w:tc>
        <w:tc>
          <w:tcPr>
            <w:tcW w:w="0" w:type="dxa"/>
            <w:vAlign w:val="bottom"/>
          </w:tcPr>
          <w:p>
            <w:pPr>
              <w:spacing w:after="0"/>
              <w:rPr>
                <w:sz w:val="1"/>
                <w:szCs w:val="1"/>
                <w:color w:val="auto"/>
              </w:rPr>
            </w:pPr>
          </w:p>
        </w:tc>
      </w:tr>
      <w:tr>
        <w:trPr>
          <w:trHeight w:val="144"/>
        </w:trPr>
        <w:tc>
          <w:tcPr>
            <w:tcW w:w="2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F0533D"/>
              </w:rPr>
              <w:t>bonus as a</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percentage</w:t>
            </w:r>
          </w:p>
        </w:tc>
        <w:tc>
          <w:tcPr>
            <w:tcW w:w="28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F0533D"/>
              </w:rPr>
              <w:t>Target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Weighted</w:t>
            </w:r>
          </w:p>
        </w:tc>
        <w:tc>
          <w:tcPr>
            <w:tcW w:w="240" w:type="dxa"/>
            <w:vAlign w:val="bottom"/>
          </w:tcPr>
          <w:p>
            <w:pPr>
              <w:spacing w:after="0"/>
              <w:rPr>
                <w:sz w:val="14"/>
                <w:szCs w:val="14"/>
                <w:color w:val="auto"/>
              </w:rPr>
            </w:pPr>
          </w:p>
        </w:tc>
        <w:tc>
          <w:tcPr>
            <w:tcW w:w="840" w:type="dxa"/>
            <w:vAlign w:val="bottom"/>
          </w:tcPr>
          <w:p>
            <w:pPr>
              <w:jc w:val="center"/>
              <w:ind w:right="199"/>
              <w:spacing w:after="0"/>
              <w:rPr>
                <w:sz w:val="20"/>
                <w:szCs w:val="20"/>
                <w:color w:val="auto"/>
              </w:rPr>
            </w:pPr>
            <w:r>
              <w:rPr>
                <w:rFonts w:ascii="Arial" w:cs="Arial" w:eastAsia="Arial" w:hAnsi="Arial"/>
                <w:sz w:val="14"/>
                <w:szCs w:val="14"/>
                <w:b w:val="1"/>
                <w:bCs w:val="1"/>
                <w:color w:val="F0533D"/>
              </w:rPr>
              <w:t>2026</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4"/>
                <w:szCs w:val="14"/>
                <w:b w:val="1"/>
                <w:bCs w:val="1"/>
                <w:color w:val="F0533D"/>
              </w:rPr>
              <w:t>Base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of base</w:t>
            </w:r>
          </w:p>
        </w:tc>
        <w:tc>
          <w:tcPr>
            <w:tcW w:w="2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F0533D"/>
              </w:rPr>
              <w:t>bonus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payout</w:t>
            </w:r>
          </w:p>
        </w:tc>
        <w:tc>
          <w:tcPr>
            <w:tcW w:w="240" w:type="dxa"/>
            <w:vAlign w:val="bottom"/>
          </w:tcPr>
          <w:p>
            <w:pPr>
              <w:spacing w:after="0"/>
              <w:rPr>
                <w:sz w:val="14"/>
                <w:szCs w:val="14"/>
                <w:color w:val="auto"/>
              </w:rPr>
            </w:pPr>
          </w:p>
        </w:tc>
        <w:tc>
          <w:tcPr>
            <w:tcW w:w="840" w:type="dxa"/>
            <w:vAlign w:val="bottom"/>
          </w:tcPr>
          <w:p>
            <w:pPr>
              <w:jc w:val="center"/>
              <w:ind w:right="239"/>
              <w:spacing w:after="0"/>
              <w:rPr>
                <w:sz w:val="20"/>
                <w:szCs w:val="20"/>
                <w:color w:val="auto"/>
              </w:rPr>
            </w:pPr>
            <w:r>
              <w:rPr>
                <w:rFonts w:ascii="Arial" w:cs="Arial" w:eastAsia="Arial" w:hAnsi="Arial"/>
                <w:sz w:val="14"/>
                <w:szCs w:val="14"/>
                <w:b w:val="1"/>
                <w:bCs w:val="1"/>
                <w:color w:val="F0533D"/>
              </w:rPr>
              <w:t>bonus</w:t>
            </w:r>
          </w:p>
        </w:tc>
        <w:tc>
          <w:tcPr>
            <w:tcW w:w="0" w:type="dxa"/>
            <w:vAlign w:val="bottom"/>
          </w:tcPr>
          <w:p>
            <w:pPr>
              <w:spacing w:after="0"/>
              <w:rPr>
                <w:sz w:val="1"/>
                <w:szCs w:val="1"/>
                <w:color w:val="auto"/>
              </w:rPr>
            </w:pPr>
          </w:p>
        </w:tc>
      </w:tr>
      <w:tr>
        <w:trPr>
          <w:trHeight w:val="229"/>
        </w:trPr>
        <w:tc>
          <w:tcPr>
            <w:tcW w:w="270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Name</w:t>
            </w:r>
          </w:p>
        </w:tc>
        <w:tc>
          <w:tcPr>
            <w:tcW w:w="1180" w:type="dxa"/>
            <w:vAlign w:val="bottom"/>
            <w:tcBorders>
              <w:bottom w:val="single" w:sz="8" w:color="F0533D"/>
            </w:tcBorders>
          </w:tcPr>
          <w:p>
            <w:pPr>
              <w:spacing w:after="0"/>
              <w:rPr>
                <w:sz w:val="19"/>
                <w:szCs w:val="19"/>
                <w:color w:val="auto"/>
              </w:rPr>
            </w:pPr>
          </w:p>
        </w:tc>
        <w:tc>
          <w:tcPr>
            <w:tcW w:w="820" w:type="dxa"/>
            <w:vAlign w:val="bottom"/>
            <w:tcBorders>
              <w:bottom w:val="single" w:sz="8" w:color="F0533D"/>
            </w:tcBorders>
          </w:tcPr>
          <w:p>
            <w:pPr>
              <w:ind w:left="20"/>
              <w:spacing w:after="0" w:line="230" w:lineRule="exact"/>
              <w:rPr>
                <w:sz w:val="20"/>
                <w:szCs w:val="20"/>
                <w:color w:val="auto"/>
              </w:rPr>
            </w:pPr>
            <w:r>
              <w:rPr>
                <w:rFonts w:ascii="Arial" w:cs="Arial" w:eastAsia="Arial" w:hAnsi="Arial"/>
                <w:sz w:val="14"/>
                <w:szCs w:val="14"/>
                <w:b w:val="1"/>
                <w:bCs w:val="1"/>
                <w:color w:val="F0533D"/>
              </w:rPr>
              <w:t>salary</w:t>
            </w:r>
            <w:r>
              <w:rPr>
                <w:rFonts w:ascii="Arial" w:cs="Arial" w:eastAsia="Arial" w:hAnsi="Arial"/>
                <w:sz w:val="23"/>
                <w:szCs w:val="23"/>
                <w:b w:val="1"/>
                <w:bCs w:val="1"/>
                <w:color w:val="F0533D"/>
                <w:vertAlign w:val="superscript"/>
              </w:rPr>
              <w:t>(1)</w:t>
            </w:r>
          </w:p>
        </w:tc>
        <w:tc>
          <w:tcPr>
            <w:tcW w:w="96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salary</w:t>
            </w:r>
          </w:p>
        </w:tc>
        <w:tc>
          <w:tcPr>
            <w:tcW w:w="1160" w:type="dxa"/>
            <w:vAlign w:val="bottom"/>
            <w:tcBorders>
              <w:bottom w:val="single" w:sz="8" w:color="F0533D"/>
            </w:tcBorders>
            <w:gridSpan w:val="2"/>
          </w:tcPr>
          <w:p>
            <w:pPr>
              <w:ind w:left="100"/>
              <w:spacing w:after="0" w:line="230" w:lineRule="exact"/>
              <w:rPr>
                <w:sz w:val="20"/>
                <w:szCs w:val="20"/>
                <w:color w:val="auto"/>
              </w:rPr>
            </w:pPr>
            <w:r>
              <w:rPr>
                <w:rFonts w:ascii="Arial" w:cs="Arial" w:eastAsia="Arial" w:hAnsi="Arial"/>
                <w:sz w:val="14"/>
                <w:szCs w:val="14"/>
                <w:b w:val="1"/>
                <w:bCs w:val="1"/>
                <w:color w:val="F0533D"/>
              </w:rPr>
              <w:t>opportunity</w:t>
            </w:r>
            <w:r>
              <w:rPr>
                <w:rFonts w:ascii="Arial" w:cs="Arial" w:eastAsia="Arial" w:hAnsi="Arial"/>
                <w:sz w:val="23"/>
                <w:szCs w:val="23"/>
                <w:b w:val="1"/>
                <w:bCs w:val="1"/>
                <w:color w:val="F0533D"/>
                <w:vertAlign w:val="superscript"/>
              </w:rPr>
              <w:t>(2)</w:t>
            </w:r>
          </w:p>
        </w:tc>
        <w:tc>
          <w:tcPr>
            <w:tcW w:w="96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percentage</w:t>
            </w:r>
          </w:p>
        </w:tc>
        <w:tc>
          <w:tcPr>
            <w:tcW w:w="1080" w:type="dxa"/>
            <w:vAlign w:val="bottom"/>
            <w:tcBorders>
              <w:bottom w:val="single" w:sz="8" w:color="F0533D"/>
            </w:tcBorders>
            <w:gridSpan w:val="2"/>
          </w:tcPr>
          <w:p>
            <w:pPr>
              <w:jc w:val="center"/>
              <w:spacing w:after="0" w:line="230" w:lineRule="exact"/>
              <w:rPr>
                <w:sz w:val="20"/>
                <w:szCs w:val="20"/>
                <w:color w:val="auto"/>
              </w:rPr>
            </w:pPr>
            <w:r>
              <w:rPr>
                <w:rFonts w:ascii="Arial" w:cs="Arial" w:eastAsia="Arial" w:hAnsi="Arial"/>
                <w:sz w:val="14"/>
                <w:szCs w:val="14"/>
                <w:b w:val="1"/>
                <w:bCs w:val="1"/>
                <w:color w:val="F0533D"/>
                <w:w w:val="96"/>
              </w:rPr>
              <w:t>payment</w:t>
            </w:r>
            <w:r>
              <w:rPr>
                <w:rFonts w:ascii="Arial" w:cs="Arial" w:eastAsia="Arial" w:hAnsi="Arial"/>
                <w:sz w:val="23"/>
                <w:szCs w:val="23"/>
                <w:b w:val="1"/>
                <w:bCs w:val="1"/>
                <w:color w:val="F0533D"/>
                <w:w w:val="96"/>
                <w:vertAlign w:val="superscript"/>
              </w:rPr>
              <w:t>(3)</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Martin Schroeter</w:t>
            </w:r>
          </w:p>
        </w:tc>
        <w:tc>
          <w:tcPr>
            <w:tcW w:w="2000" w:type="dxa"/>
            <w:vAlign w:val="bottom"/>
            <w:tcBorders>
              <w:bottom w:val="single" w:sz="8" w:color="939598"/>
            </w:tcBorders>
            <w:gridSpan w:val="2"/>
          </w:tcPr>
          <w:p>
            <w:pPr>
              <w:ind w:left="1040"/>
              <w:spacing w:after="0"/>
              <w:rPr>
                <w:sz w:val="20"/>
                <w:szCs w:val="20"/>
                <w:color w:val="auto"/>
              </w:rPr>
            </w:pPr>
            <w:r>
              <w:rPr>
                <w:rFonts w:ascii="Arial" w:cs="Arial" w:eastAsia="Arial" w:hAnsi="Arial"/>
                <w:sz w:val="17"/>
                <w:szCs w:val="17"/>
                <w:color w:val="auto"/>
              </w:rPr>
              <w:t>$1,450,000</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225%</w:t>
            </w:r>
          </w:p>
        </w:tc>
        <w:tc>
          <w:tcPr>
            <w:tcW w:w="1160" w:type="dxa"/>
            <w:vAlign w:val="bottom"/>
            <w:tcBorders>
              <w:bottom w:val="single" w:sz="8" w:color="939598"/>
            </w:tcBorders>
            <w:gridSpan w:val="2"/>
          </w:tcPr>
          <w:p>
            <w:pPr>
              <w:ind w:left="140"/>
              <w:spacing w:after="0"/>
              <w:rPr>
                <w:sz w:val="20"/>
                <w:szCs w:val="20"/>
                <w:color w:val="auto"/>
              </w:rPr>
            </w:pPr>
            <w:r>
              <w:rPr>
                <w:rFonts w:ascii="Arial" w:cs="Arial" w:eastAsia="Arial" w:hAnsi="Arial"/>
                <w:sz w:val="17"/>
                <w:szCs w:val="17"/>
                <w:color w:val="auto"/>
              </w:rPr>
              <w:t>$3,122,260</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1080" w:type="dxa"/>
            <w:vAlign w:val="bottom"/>
            <w:tcBorders>
              <w:bottom w:val="single" w:sz="8" w:color="939598"/>
            </w:tcBorders>
            <w:gridSpan w:val="2"/>
          </w:tcPr>
          <w:p>
            <w:pPr>
              <w:ind w:left="80"/>
              <w:spacing w:after="0"/>
              <w:rPr>
                <w:sz w:val="20"/>
                <w:szCs w:val="20"/>
                <w:color w:val="auto"/>
              </w:rPr>
            </w:pPr>
            <w:r>
              <w:rPr>
                <w:rFonts w:ascii="Arial" w:cs="Arial" w:eastAsia="Arial" w:hAnsi="Arial"/>
                <w:sz w:val="17"/>
                <w:szCs w:val="17"/>
                <w:color w:val="auto"/>
              </w:rPr>
              <w:t>$2,154,360</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Harsh Chugh</w:t>
            </w:r>
          </w:p>
        </w:tc>
        <w:tc>
          <w:tcPr>
            <w:tcW w:w="1180" w:type="dxa"/>
            <w:vAlign w:val="bottom"/>
            <w:tcBorders>
              <w:bottom w:val="single" w:sz="8" w:color="939598"/>
            </w:tcBorders>
          </w:tcPr>
          <w:p>
            <w:pPr>
              <w:ind w:left="10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939598"/>
            </w:tcBorders>
          </w:tcPr>
          <w:p>
            <w:pPr>
              <w:ind w:left="100"/>
              <w:spacing w:after="0"/>
              <w:rPr>
                <w:sz w:val="20"/>
                <w:szCs w:val="20"/>
                <w:color w:val="auto"/>
              </w:rPr>
            </w:pPr>
            <w:r>
              <w:rPr>
                <w:rFonts w:ascii="Arial" w:cs="Arial" w:eastAsia="Arial" w:hAnsi="Arial"/>
                <w:sz w:val="17"/>
                <w:szCs w:val="17"/>
                <w:color w:val="auto"/>
              </w:rPr>
              <w:t>825,000</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100%</w:t>
            </w:r>
          </w:p>
        </w:tc>
        <w:tc>
          <w:tcPr>
            <w:tcW w:w="2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776,146</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2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535,541</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Elly Keinan</w:t>
            </w:r>
          </w:p>
        </w:tc>
        <w:tc>
          <w:tcPr>
            <w:tcW w:w="2000" w:type="dxa"/>
            <w:vAlign w:val="bottom"/>
            <w:tcBorders>
              <w:bottom w:val="single" w:sz="8" w:color="939598"/>
            </w:tcBorders>
            <w:gridSpan w:val="2"/>
          </w:tcPr>
          <w:p>
            <w:pPr>
              <w:ind w:left="1040"/>
              <w:spacing w:after="0"/>
              <w:rPr>
                <w:sz w:val="20"/>
                <w:szCs w:val="20"/>
                <w:color w:val="auto"/>
              </w:rPr>
            </w:pPr>
            <w:r>
              <w:rPr>
                <w:rFonts w:ascii="Arial" w:cs="Arial" w:eastAsia="Arial" w:hAnsi="Arial"/>
                <w:sz w:val="17"/>
                <w:szCs w:val="17"/>
                <w:color w:val="auto"/>
              </w:rPr>
              <w:t>$1,000,000</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200%</w:t>
            </w:r>
          </w:p>
        </w:tc>
        <w:tc>
          <w:tcPr>
            <w:tcW w:w="1160" w:type="dxa"/>
            <w:vAlign w:val="bottom"/>
            <w:tcBorders>
              <w:bottom w:val="single" w:sz="8" w:color="939598"/>
            </w:tcBorders>
            <w:gridSpan w:val="2"/>
          </w:tcPr>
          <w:p>
            <w:pPr>
              <w:ind w:left="140"/>
              <w:spacing w:after="0"/>
              <w:rPr>
                <w:sz w:val="20"/>
                <w:szCs w:val="20"/>
                <w:color w:val="auto"/>
              </w:rPr>
            </w:pPr>
            <w:r>
              <w:rPr>
                <w:rFonts w:ascii="Arial" w:cs="Arial" w:eastAsia="Arial" w:hAnsi="Arial"/>
                <w:sz w:val="17"/>
                <w:szCs w:val="17"/>
                <w:color w:val="auto"/>
              </w:rPr>
              <w:t>$1,948,342</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1080" w:type="dxa"/>
            <w:vAlign w:val="bottom"/>
            <w:tcBorders>
              <w:bottom w:val="single" w:sz="8" w:color="939598"/>
            </w:tcBorders>
            <w:gridSpan w:val="2"/>
          </w:tcPr>
          <w:p>
            <w:pPr>
              <w:ind w:left="80"/>
              <w:spacing w:after="0"/>
              <w:rPr>
                <w:sz w:val="20"/>
                <w:szCs w:val="20"/>
                <w:color w:val="auto"/>
              </w:rPr>
            </w:pPr>
            <w:r>
              <w:rPr>
                <w:rFonts w:ascii="Arial" w:cs="Arial" w:eastAsia="Arial" w:hAnsi="Arial"/>
                <w:sz w:val="17"/>
                <w:szCs w:val="17"/>
                <w:color w:val="auto"/>
              </w:rPr>
              <w:t>$1,344,356</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Maryjo Charbonnier</w:t>
            </w:r>
          </w:p>
        </w:tc>
        <w:tc>
          <w:tcPr>
            <w:tcW w:w="1180" w:type="dxa"/>
            <w:vAlign w:val="bottom"/>
            <w:tcBorders>
              <w:bottom w:val="single" w:sz="8" w:color="939598"/>
            </w:tcBorders>
          </w:tcPr>
          <w:p>
            <w:pPr>
              <w:ind w:left="10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939598"/>
            </w:tcBorders>
          </w:tcPr>
          <w:p>
            <w:pPr>
              <w:ind w:left="100"/>
              <w:spacing w:after="0"/>
              <w:rPr>
                <w:sz w:val="20"/>
                <w:szCs w:val="20"/>
                <w:color w:val="auto"/>
              </w:rPr>
            </w:pPr>
            <w:r>
              <w:rPr>
                <w:rFonts w:ascii="Arial" w:cs="Arial" w:eastAsia="Arial" w:hAnsi="Arial"/>
                <w:sz w:val="17"/>
                <w:szCs w:val="17"/>
                <w:color w:val="auto"/>
              </w:rPr>
              <w:t>700,000</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125%</w:t>
            </w:r>
          </w:p>
        </w:tc>
        <w:tc>
          <w:tcPr>
            <w:tcW w:w="2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869,546</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2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599,987</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Mark Ringes</w:t>
            </w:r>
          </w:p>
        </w:tc>
        <w:tc>
          <w:tcPr>
            <w:tcW w:w="1180" w:type="dxa"/>
            <w:vAlign w:val="bottom"/>
            <w:tcBorders>
              <w:bottom w:val="single" w:sz="8" w:color="939598"/>
            </w:tcBorders>
          </w:tcPr>
          <w:p>
            <w:pPr>
              <w:ind w:left="10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939598"/>
            </w:tcBorders>
          </w:tcPr>
          <w:p>
            <w:pPr>
              <w:ind w:left="100"/>
              <w:spacing w:after="0"/>
              <w:rPr>
                <w:sz w:val="20"/>
                <w:szCs w:val="20"/>
                <w:color w:val="auto"/>
              </w:rPr>
            </w:pPr>
            <w:r>
              <w:rPr>
                <w:rFonts w:ascii="Arial" w:cs="Arial" w:eastAsia="Arial" w:hAnsi="Arial"/>
                <w:sz w:val="17"/>
                <w:szCs w:val="17"/>
                <w:color w:val="auto"/>
              </w:rPr>
              <w:t>478,547</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100%</w:t>
            </w:r>
          </w:p>
        </w:tc>
        <w:tc>
          <w:tcPr>
            <w:tcW w:w="2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475,637</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2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328,189</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David Wyshner</w:t>
            </w:r>
          </w:p>
        </w:tc>
        <w:tc>
          <w:tcPr>
            <w:tcW w:w="1180" w:type="dxa"/>
            <w:vAlign w:val="bottom"/>
            <w:tcBorders>
              <w:bottom w:val="single" w:sz="8" w:color="939598"/>
            </w:tcBorders>
          </w:tcPr>
          <w:p>
            <w:pPr>
              <w:ind w:left="10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939598"/>
            </w:tcBorders>
          </w:tcPr>
          <w:p>
            <w:pPr>
              <w:ind w:left="100"/>
              <w:spacing w:after="0"/>
              <w:rPr>
                <w:sz w:val="20"/>
                <w:szCs w:val="20"/>
                <w:color w:val="auto"/>
              </w:rPr>
            </w:pPr>
            <w:r>
              <w:rPr>
                <w:rFonts w:ascii="Arial" w:cs="Arial" w:eastAsia="Arial" w:hAnsi="Arial"/>
                <w:sz w:val="17"/>
                <w:szCs w:val="17"/>
                <w:color w:val="auto"/>
              </w:rPr>
              <w:t>950,000</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125%</w:t>
            </w:r>
          </w:p>
        </w:tc>
        <w:tc>
          <w:tcPr>
            <w:tcW w:w="2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985,715</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2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680,143</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Edward Sebold</w:t>
            </w:r>
          </w:p>
        </w:tc>
        <w:tc>
          <w:tcPr>
            <w:tcW w:w="1180" w:type="dxa"/>
            <w:vAlign w:val="bottom"/>
            <w:tcBorders>
              <w:bottom w:val="single" w:sz="8" w:color="939598"/>
            </w:tcBorders>
          </w:tcPr>
          <w:p>
            <w:pPr>
              <w:ind w:left="10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939598"/>
            </w:tcBorders>
          </w:tcPr>
          <w:p>
            <w:pPr>
              <w:ind w:left="100"/>
              <w:spacing w:after="0"/>
              <w:rPr>
                <w:sz w:val="20"/>
                <w:szCs w:val="20"/>
                <w:color w:val="auto"/>
              </w:rPr>
            </w:pPr>
            <w:r>
              <w:rPr>
                <w:rFonts w:ascii="Arial" w:cs="Arial" w:eastAsia="Arial" w:hAnsi="Arial"/>
                <w:sz w:val="17"/>
                <w:szCs w:val="17"/>
                <w:color w:val="auto"/>
              </w:rPr>
              <w:t>750,000</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125%</w:t>
            </w:r>
          </w:p>
        </w:tc>
        <w:tc>
          <w:tcPr>
            <w:tcW w:w="2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794,126</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2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547,947</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Vineet Khurana</w:t>
            </w:r>
          </w:p>
        </w:tc>
        <w:tc>
          <w:tcPr>
            <w:tcW w:w="1180" w:type="dxa"/>
            <w:vAlign w:val="bottom"/>
            <w:tcBorders>
              <w:bottom w:val="single" w:sz="8" w:color="939598"/>
            </w:tcBorders>
          </w:tcPr>
          <w:p>
            <w:pPr>
              <w:ind w:left="10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939598"/>
            </w:tcBorders>
          </w:tcPr>
          <w:p>
            <w:pPr>
              <w:ind w:left="100"/>
              <w:spacing w:after="0"/>
              <w:rPr>
                <w:sz w:val="20"/>
                <w:szCs w:val="20"/>
                <w:color w:val="auto"/>
              </w:rPr>
            </w:pPr>
            <w:r>
              <w:rPr>
                <w:rFonts w:ascii="Arial" w:cs="Arial" w:eastAsia="Arial" w:hAnsi="Arial"/>
                <w:sz w:val="17"/>
                <w:szCs w:val="17"/>
                <w:color w:val="auto"/>
              </w:rPr>
              <w:t>525,000</w:t>
            </w:r>
          </w:p>
        </w:tc>
        <w:tc>
          <w:tcPr>
            <w:tcW w:w="9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100%</w:t>
            </w:r>
          </w:p>
        </w:tc>
        <w:tc>
          <w:tcPr>
            <w:tcW w:w="2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521,073</w:t>
            </w:r>
          </w:p>
        </w:tc>
        <w:tc>
          <w:tcPr>
            <w:tcW w:w="960" w:type="dxa"/>
            <w:vAlign w:val="bottom"/>
            <w:tcBorders>
              <w:bottom w:val="single" w:sz="8" w:color="939598"/>
            </w:tcBorders>
          </w:tcPr>
          <w:p>
            <w:pPr>
              <w:jc w:val="right"/>
              <w:ind w:right="158"/>
              <w:spacing w:after="0"/>
              <w:rPr>
                <w:sz w:val="20"/>
                <w:szCs w:val="20"/>
                <w:color w:val="auto"/>
              </w:rPr>
            </w:pPr>
            <w:r>
              <w:rPr>
                <w:rFonts w:ascii="Arial" w:cs="Arial" w:eastAsia="Arial" w:hAnsi="Arial"/>
                <w:sz w:val="17"/>
                <w:szCs w:val="17"/>
                <w:color w:val="auto"/>
              </w:rPr>
              <w:t>69%</w:t>
            </w:r>
          </w:p>
        </w:tc>
        <w:tc>
          <w:tcPr>
            <w:tcW w:w="2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939598"/>
            </w:tcBorders>
          </w:tcPr>
          <w:p>
            <w:pPr>
              <w:ind w:left="80"/>
              <w:spacing w:after="0"/>
              <w:rPr>
                <w:sz w:val="20"/>
                <w:szCs w:val="20"/>
                <w:color w:val="auto"/>
              </w:rPr>
            </w:pPr>
            <w:r>
              <w:rPr>
                <w:rFonts w:ascii="Arial" w:cs="Arial" w:eastAsia="Arial" w:hAnsi="Arial"/>
                <w:sz w:val="17"/>
                <w:szCs w:val="17"/>
                <w:color w:val="auto"/>
              </w:rPr>
              <w:t>359,541</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40" w:hanging="356"/>
        <w:spacing w:after="0"/>
        <w:tabs>
          <w:tab w:leader="none" w:pos="540" w:val="left"/>
        </w:tabs>
        <w:numPr>
          <w:ilvl w:val="0"/>
          <w:numId w:val="68"/>
        </w:numPr>
        <w:rPr>
          <w:rFonts w:ascii="Arial" w:cs="Arial" w:eastAsia="Arial" w:hAnsi="Arial"/>
          <w:sz w:val="23"/>
          <w:szCs w:val="23"/>
          <w:color w:val="auto"/>
          <w:vertAlign w:val="superscript"/>
        </w:rPr>
      </w:pPr>
      <w:r>
        <w:rPr>
          <w:rFonts w:ascii="Arial" w:cs="Arial" w:eastAsia="Arial" w:hAnsi="Arial"/>
          <w:sz w:val="15"/>
          <w:szCs w:val="15"/>
          <w:color w:val="auto"/>
        </w:rPr>
        <w:t>Effective as of July 1, 2025.</w:t>
      </w:r>
    </w:p>
    <w:p>
      <w:pPr>
        <w:spacing w:after="0" w:line="65" w:lineRule="exact"/>
        <w:rPr>
          <w:rFonts w:ascii="Arial" w:cs="Arial" w:eastAsia="Arial" w:hAnsi="Arial"/>
          <w:sz w:val="23"/>
          <w:szCs w:val="23"/>
          <w:color w:val="auto"/>
          <w:vertAlign w:val="superscript"/>
        </w:rPr>
      </w:pPr>
    </w:p>
    <w:p>
      <w:pPr>
        <w:ind w:left="540" w:hanging="356"/>
        <w:spacing w:after="0" w:line="185" w:lineRule="auto"/>
        <w:tabs>
          <w:tab w:leader="none" w:pos="540" w:val="left"/>
        </w:tabs>
        <w:numPr>
          <w:ilvl w:val="0"/>
          <w:numId w:val="68"/>
        </w:numPr>
        <w:rPr>
          <w:rFonts w:ascii="Arial" w:cs="Arial" w:eastAsia="Arial" w:hAnsi="Arial"/>
          <w:sz w:val="23"/>
          <w:szCs w:val="23"/>
          <w:color w:val="auto"/>
          <w:vertAlign w:val="superscript"/>
        </w:rPr>
      </w:pPr>
      <w:r>
        <w:rPr>
          <w:rFonts w:ascii="Arial" w:cs="Arial" w:eastAsia="Arial" w:hAnsi="Arial"/>
          <w:sz w:val="15"/>
          <w:szCs w:val="15"/>
          <w:color w:val="auto"/>
        </w:rPr>
        <w:t>Fiscal 2026 AIP target incentive opportunity is prorated for changes in each NEO’s salary during the fiscal year.</w:t>
      </w:r>
    </w:p>
    <w:p>
      <w:pPr>
        <w:spacing w:after="0" w:line="70" w:lineRule="exact"/>
        <w:rPr>
          <w:rFonts w:ascii="Arial" w:cs="Arial" w:eastAsia="Arial" w:hAnsi="Arial"/>
          <w:sz w:val="23"/>
          <w:szCs w:val="23"/>
          <w:color w:val="auto"/>
          <w:vertAlign w:val="superscript"/>
        </w:rPr>
      </w:pPr>
    </w:p>
    <w:p>
      <w:pPr>
        <w:ind w:left="540" w:right="179" w:hanging="356"/>
        <w:spacing w:after="0" w:line="199" w:lineRule="auto"/>
        <w:tabs>
          <w:tab w:leader="none" w:pos="540" w:val="left"/>
        </w:tabs>
        <w:numPr>
          <w:ilvl w:val="0"/>
          <w:numId w:val="68"/>
        </w:numPr>
        <w:rPr>
          <w:rFonts w:ascii="Arial" w:cs="Arial" w:eastAsia="Arial" w:hAnsi="Arial"/>
          <w:sz w:val="23"/>
          <w:szCs w:val="23"/>
          <w:color w:val="auto"/>
          <w:vertAlign w:val="superscript"/>
        </w:rPr>
      </w:pPr>
      <w:r>
        <w:rPr>
          <w:rFonts w:ascii="Arial" w:cs="Arial" w:eastAsia="Arial" w:hAnsi="Arial"/>
          <w:sz w:val="15"/>
          <w:szCs w:val="15"/>
          <w:color w:val="auto"/>
        </w:rPr>
        <w:t>For Messrs. Wyshner and Sebold, their annual cash bonus payments for fiscal 2026 reflected in the table were prorated up to the date of departure on February 5, 2026.</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1"/>
          <w:szCs w:val="21"/>
          <w:b w:val="1"/>
          <w:bCs w:val="1"/>
          <w:i w:val="1"/>
          <w:iCs w:val="1"/>
          <w:color w:val="auto"/>
        </w:rPr>
        <w:t>Long-Term Equity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127000</wp:posOffset>
            </wp:positionV>
            <wp:extent cx="5627370" cy="20097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627370" cy="200977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FFFFFF"/>
        </w:rPr>
        <w:t>LINK TO</w:t>
      </w:r>
    </w:p>
    <w:p>
      <w:pPr>
        <w:spacing w:after="0" w:line="10"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FFFFFF"/>
        </w:rPr>
        <w:t>COMPENSATION</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FFFFFF"/>
        </w:rPr>
        <w:t>PHILOSOPHY</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7"/>
          <w:szCs w:val="17"/>
          <w:color w:val="FFFFFF"/>
        </w:rPr>
        <w:t> </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right="219"/>
        <w:spacing w:after="0" w:line="239" w:lineRule="auto"/>
        <w:rPr>
          <w:sz w:val="20"/>
          <w:szCs w:val="20"/>
          <w:color w:val="auto"/>
        </w:rPr>
      </w:pPr>
      <w:r>
        <w:rPr>
          <w:rFonts w:ascii="Arial" w:cs="Arial" w:eastAsia="Arial" w:hAnsi="Arial"/>
          <w:sz w:val="17"/>
          <w:szCs w:val="17"/>
          <w:color w:val="auto"/>
        </w:rPr>
        <w:t>Long-term equity incentive awards are intended to ensure that our NEOs have a continuing stake in our long-term success, are motivated to achieve longer-term performance objectives linked to our business strategy and receive compensation tied to stockholder value creation. We grant long-term equity incentive (“LTI”) awards under the Amended and Restated Kyndryl 2021 Long-Term Performance Plan (“LTPP”).</w:t>
      </w:r>
    </w:p>
    <w:p>
      <w:pPr>
        <w:spacing w:after="0" w:line="74" w:lineRule="exact"/>
        <w:rPr>
          <w:sz w:val="20"/>
          <w:szCs w:val="20"/>
          <w:color w:val="auto"/>
        </w:rPr>
      </w:pPr>
    </w:p>
    <w:p>
      <w:pPr>
        <w:sectPr>
          <w:pgSz w:w="11900" w:h="16838" w:orient="portrait"/>
          <w:cols w:equalWidth="0" w:num="2">
            <w:col w:w="2680" w:space="220"/>
            <w:col w:w="6119"/>
          </w:cols>
          <w:pgMar w:left="1440" w:top="114" w:right="1440" w:bottom="1440" w:gutter="0" w:footer="0" w:header="0"/>
          <w:type w:val="continuous"/>
        </w:sectPr>
      </w:pPr>
    </w:p>
    <w:p>
      <w:pPr>
        <w:ind w:left="260" w:right="259"/>
        <w:spacing w:after="0" w:line="244" w:lineRule="auto"/>
        <w:rPr>
          <w:sz w:val="20"/>
          <w:szCs w:val="20"/>
          <w:color w:val="auto"/>
        </w:rPr>
      </w:pPr>
      <w:r>
        <w:rPr>
          <w:rFonts w:ascii="Arial" w:cs="Arial" w:eastAsia="Arial" w:hAnsi="Arial"/>
          <w:sz w:val="17"/>
          <w:szCs w:val="17"/>
          <w:color w:val="auto"/>
        </w:rPr>
        <w:t>In determining the size and award mix of the annual long-term incentive opportunity, the CHC Committee considers a number of factors, including competitive market data. The CHC Committee currently awards a mix of PSUs and time-vesting RSUs that consists 65% of PSUs and 35% of RSUs, to NEOs as part of the annual long-term incentive opportunity.</w:t>
      </w:r>
    </w:p>
    <w:p>
      <w:pPr>
        <w:spacing w:after="0" w:line="69" w:lineRule="exact"/>
        <w:rPr>
          <w:sz w:val="20"/>
          <w:szCs w:val="20"/>
          <w:color w:val="auto"/>
        </w:rPr>
      </w:pPr>
    </w:p>
    <w:p>
      <w:pPr>
        <w:ind w:left="260" w:right="239"/>
        <w:spacing w:after="0" w:line="267" w:lineRule="auto"/>
        <w:rPr>
          <w:sz w:val="20"/>
          <w:szCs w:val="20"/>
          <w:color w:val="auto"/>
        </w:rPr>
      </w:pPr>
      <w:r>
        <w:rPr>
          <w:rFonts w:ascii="Arial" w:cs="Arial" w:eastAsia="Arial" w:hAnsi="Arial"/>
          <w:sz w:val="17"/>
          <w:szCs w:val="17"/>
          <w:color w:val="auto"/>
        </w:rPr>
        <w:t>Once PSU awards have been granted, the number of shares that an NEO will receive on vesting, if any, depends on the Company’s attainment of specific financial or strategic targets.</w:t>
      </w:r>
    </w:p>
    <w:p>
      <w:pPr>
        <w:spacing w:after="0" w:line="51" w:lineRule="exact"/>
        <w:rPr>
          <w:sz w:val="20"/>
          <w:szCs w:val="20"/>
          <w:color w:val="auto"/>
        </w:rPr>
      </w:pPr>
    </w:p>
    <w:p>
      <w:pPr>
        <w:ind w:left="260" w:right="419"/>
        <w:spacing w:after="0" w:line="267" w:lineRule="auto"/>
        <w:rPr>
          <w:sz w:val="20"/>
          <w:szCs w:val="20"/>
          <w:color w:val="auto"/>
        </w:rPr>
      </w:pPr>
      <w:r>
        <w:rPr>
          <w:rFonts w:ascii="Arial" w:cs="Arial" w:eastAsia="Arial" w:hAnsi="Arial"/>
          <w:sz w:val="17"/>
          <w:szCs w:val="17"/>
          <w:color w:val="auto"/>
        </w:rPr>
        <w:t>Finally, the CHC Committee considers time-vesting RSUs an important tool to retain key talent and ensure that executives have a continuing stake in our long-term success.</w:t>
      </w:r>
    </w:p>
    <w:p>
      <w:pPr>
        <w:spacing w:after="0" w:line="173" w:lineRule="exact"/>
        <w:rPr>
          <w:sz w:val="20"/>
          <w:szCs w:val="20"/>
          <w:color w:val="auto"/>
        </w:rPr>
      </w:pPr>
    </w:p>
    <w:p>
      <w:pPr>
        <w:ind w:left="80" w:right="199"/>
        <w:spacing w:after="0" w:line="244" w:lineRule="auto"/>
        <w:rPr>
          <w:sz w:val="20"/>
          <w:szCs w:val="20"/>
          <w:color w:val="auto"/>
        </w:rPr>
      </w:pPr>
      <w:r>
        <w:rPr>
          <w:rFonts w:ascii="Arial" w:cs="Arial" w:eastAsia="Arial" w:hAnsi="Arial"/>
          <w:sz w:val="17"/>
          <w:szCs w:val="17"/>
          <w:color w:val="auto"/>
        </w:rPr>
        <w:t>In April 2025, the CHC Committee reviewed each NEO’s long-term incentive opportunity against compensation peer group data and internal considerations. For fiscal 2026, the CHC Committee retained the overall long-term incentive framework, while simplifying the PSU design to a two-metric structure with adjusted operating cash flow as the primary funding metric and relative TSR as a payout modifier.</w:t>
      </w:r>
    </w:p>
    <w:p>
      <w:pPr>
        <w:spacing w:after="0" w:line="218" w:lineRule="exact"/>
        <w:rPr>
          <w:sz w:val="20"/>
          <w:szCs w:val="20"/>
          <w:color w:val="auto"/>
        </w:rPr>
      </w:pPr>
    </w:p>
    <w:p>
      <w:pPr>
        <w:ind w:left="80" w:right="4219"/>
        <w:spacing w:after="0" w:line="235" w:lineRule="auto"/>
        <w:rPr>
          <w:sz w:val="20"/>
          <w:szCs w:val="20"/>
          <w:color w:val="auto"/>
        </w:rPr>
      </w:pPr>
      <w:r>
        <w:rPr>
          <w:rFonts w:ascii="Arial" w:cs="Arial" w:eastAsia="Arial" w:hAnsi="Arial"/>
          <w:sz w:val="17"/>
          <w:szCs w:val="17"/>
          <w:color w:val="auto"/>
        </w:rPr>
        <w:t>In June 2025, the CHC Committee granted the fiscal 2026 annual long-term equity incentive awards under the LTPP in the form of PSUs and RSUs. The CHC Committee determined to balance its goals of tying our NEOs’ compensation to achievement of business objectives and attracting and retaining high-performing talent by awarding 65% of the total target award opportunity in the form of PSUs and 35% of the total target award opportunity in the form of time-vesting RSUs for each of our executive officers. This does not reflect special one-time RSU awards granted to certain senior executives in fiscal 2026 that were intended to recognize the retention of highly qualified leaders for business continuity and leadership in key areas and growth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-1565275</wp:posOffset>
            </wp:positionV>
            <wp:extent cx="2459990" cy="123444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459990" cy="1234440"/>
                    </a:xfrm>
                    <a:prstGeom prst="rect">
                      <a:avLst/>
                    </a:prstGeom>
                    <a:noFill/>
                  </pic:spPr>
                </pic:pic>
              </a:graphicData>
            </a:graphic>
          </wp:anchor>
        </w:drawing>
      </w:r>
    </w:p>
    <w:p>
      <w:pPr>
        <w:spacing w:after="0" w:line="165"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b w:val="1"/>
          <w:bCs w:val="1"/>
          <w:color w:val="auto"/>
        </w:rPr>
        <w:t xml:space="preserve">RSUs. </w:t>
      </w:r>
      <w:r>
        <w:rPr>
          <w:rFonts w:ascii="Arial" w:cs="Arial" w:eastAsia="Arial" w:hAnsi="Arial"/>
          <w:sz w:val="17"/>
          <w:szCs w:val="17"/>
          <w:color w:val="auto"/>
        </w:rPr>
        <w:t>RSUs vest in four equal annual installments beginning on the anniversary of the grant date,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NEO’s continued employment through each applicable vesting date. For information regarding special one-time RSU awards granted to certain senior executives in fiscal 2026, see “Special Long-Term Incentive Awards” below.</w:t>
      </w:r>
    </w:p>
    <w:p>
      <w:pPr>
        <w:spacing w:after="0" w:line="121"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b w:val="1"/>
          <w:bCs w:val="1"/>
          <w:color w:val="auto"/>
        </w:rPr>
        <w:t xml:space="preserve">PSUs. </w:t>
      </w:r>
      <w:r>
        <w:rPr>
          <w:rFonts w:ascii="Arial" w:cs="Arial" w:eastAsia="Arial" w:hAnsi="Arial"/>
          <w:sz w:val="17"/>
          <w:szCs w:val="17"/>
          <w:color w:val="auto"/>
        </w:rPr>
        <w:t>The CHC Committee uses PSUs to tie a meaningful portion of long-term compensation to multi-year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and stockholder value creation. For fiscal 2026, PSUs vest based on adjusted operating cash flow over a three-year performance period, subject to relative TSR performance applied as a payout modifier. The PSUs vest upon the CHC Committee’s certification of the extent to which the performance criteria have been achieved during the applicable performance period.</w:t>
      </w:r>
    </w:p>
    <w:p>
      <w:pPr>
        <w:spacing w:after="0" w:line="126" w:lineRule="exact"/>
        <w:rPr>
          <w:sz w:val="20"/>
          <w:szCs w:val="20"/>
          <w:color w:val="auto"/>
        </w:rPr>
      </w:pPr>
    </w:p>
    <w:p>
      <w:pPr>
        <w:jc w:val="both"/>
        <w:ind w:left="80" w:right="199"/>
        <w:spacing w:after="0" w:line="249" w:lineRule="auto"/>
        <w:rPr>
          <w:sz w:val="20"/>
          <w:szCs w:val="20"/>
          <w:color w:val="auto"/>
        </w:rPr>
      </w:pPr>
      <w:r>
        <w:rPr>
          <w:rFonts w:ascii="Arial" w:cs="Arial" w:eastAsia="Arial" w:hAnsi="Arial"/>
          <w:sz w:val="17"/>
          <w:szCs w:val="17"/>
          <w:color w:val="auto"/>
        </w:rPr>
        <w:t>Consistent with our pay for performance philosophy, the realizable pay of our NEOs for fiscal 2026 was substantially lower than their grant-date pay, as indicated in the “Pay vs. Performance” section of this Proxy Statement, reflecting our performance and stock price movement during the year.</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56" w:name="page57"/>
    <w:bookmarkEnd w:id="5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Fiscal 2026 Long-Term Incentive Awards</w:t>
      </w:r>
    </w:p>
    <w:p>
      <w:pPr>
        <w:spacing w:after="0" w:line="154" w:lineRule="exact"/>
        <w:rPr>
          <w:sz w:val="20"/>
          <w:szCs w:val="20"/>
          <w:color w:val="auto"/>
        </w:rPr>
      </w:pPr>
    </w:p>
    <w:p>
      <w:pPr>
        <w:ind w:left="80" w:right="219"/>
        <w:spacing w:after="0" w:line="244" w:lineRule="auto"/>
        <w:rPr>
          <w:sz w:val="20"/>
          <w:szCs w:val="20"/>
          <w:color w:val="auto"/>
        </w:rPr>
      </w:pPr>
      <w:r>
        <w:rPr>
          <w:rFonts w:ascii="Arial" w:cs="Arial" w:eastAsia="Arial" w:hAnsi="Arial"/>
          <w:sz w:val="17"/>
          <w:szCs w:val="17"/>
          <w:color w:val="auto"/>
        </w:rPr>
        <w:t>As described earlier, the CHC Committee approved changes to the PSU design for fiscal 2026 to simplify the program and focus management on a key strategic metric that we believe will have the most impact on driving long-term performance. The table below sets forth the performance metrics for the fiscal 2026 long-term equity incentive award and the CHC Committee’s rationale for selecting each metric.</w:t>
      </w: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200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Metric</w:t>
            </w:r>
            <w:r>
              <w:rPr>
                <w:rFonts w:ascii="Arial" w:cs="Arial" w:eastAsia="Arial" w:hAnsi="Arial"/>
                <w:sz w:val="23"/>
                <w:szCs w:val="23"/>
                <w:b w:val="1"/>
                <w:bCs w:val="1"/>
                <w:color w:val="F0533D"/>
                <w:vertAlign w:val="superscript"/>
              </w:rPr>
              <w:t>(1)</w:t>
            </w:r>
          </w:p>
        </w:tc>
        <w:tc>
          <w:tcPr>
            <w:tcW w:w="1280" w:type="dxa"/>
            <w:vAlign w:val="bottom"/>
            <w:tcBorders>
              <w:bottom w:val="single" w:sz="8" w:color="F0533D"/>
            </w:tcBorders>
          </w:tcPr>
          <w:p>
            <w:pPr>
              <w:spacing w:after="0"/>
              <w:rPr>
                <w:sz w:val="22"/>
                <w:szCs w:val="22"/>
                <w:color w:val="auto"/>
              </w:rPr>
            </w:pPr>
          </w:p>
        </w:tc>
        <w:tc>
          <w:tcPr>
            <w:tcW w:w="5580" w:type="dxa"/>
            <w:vAlign w:val="bottom"/>
            <w:tcBorders>
              <w:bottom w:val="single" w:sz="8" w:color="F0533D"/>
            </w:tcBorders>
          </w:tcPr>
          <w:p>
            <w:pPr>
              <w:ind w:left="280"/>
              <w:spacing w:after="0"/>
              <w:rPr>
                <w:sz w:val="20"/>
                <w:szCs w:val="20"/>
                <w:color w:val="auto"/>
              </w:rPr>
            </w:pPr>
            <w:r>
              <w:rPr>
                <w:rFonts w:ascii="Arial" w:cs="Arial" w:eastAsia="Arial" w:hAnsi="Arial"/>
                <w:sz w:val="14"/>
                <w:szCs w:val="14"/>
                <w:b w:val="1"/>
                <w:bCs w:val="1"/>
                <w:color w:val="F0533D"/>
              </w:rPr>
              <w:t>Rationale for Selection</w:t>
            </w:r>
          </w:p>
        </w:tc>
      </w:tr>
      <w:tr>
        <w:trPr>
          <w:trHeight w:val="223"/>
        </w:trPr>
        <w:tc>
          <w:tcPr>
            <w:tcW w:w="2000" w:type="dxa"/>
            <w:vAlign w:val="bottom"/>
          </w:tcPr>
          <w:p>
            <w:pPr>
              <w:ind w:left="160"/>
              <w:spacing w:after="0"/>
              <w:rPr>
                <w:sz w:val="20"/>
                <w:szCs w:val="20"/>
                <w:color w:val="auto"/>
              </w:rPr>
            </w:pPr>
            <w:r>
              <w:rPr>
                <w:rFonts w:ascii="Arial" w:cs="Arial" w:eastAsia="Arial" w:hAnsi="Arial"/>
                <w:sz w:val="17"/>
                <w:szCs w:val="17"/>
                <w:b w:val="1"/>
                <w:bCs w:val="1"/>
                <w:color w:val="auto"/>
              </w:rPr>
              <w:t>Adjusted Operating</w:t>
            </w:r>
          </w:p>
        </w:tc>
        <w:tc>
          <w:tcPr>
            <w:tcW w:w="1280" w:type="dxa"/>
            <w:vAlign w:val="bottom"/>
          </w:tcPr>
          <w:p>
            <w:pPr>
              <w:ind w:left="260"/>
              <w:spacing w:after="0"/>
              <w:rPr>
                <w:sz w:val="20"/>
                <w:szCs w:val="20"/>
                <w:color w:val="auto"/>
              </w:rPr>
            </w:pPr>
            <w:r>
              <w:rPr>
                <w:rFonts w:ascii="Arial" w:cs="Arial" w:eastAsia="Arial" w:hAnsi="Arial"/>
                <w:sz w:val="17"/>
                <w:szCs w:val="17"/>
                <w:color w:val="auto"/>
              </w:rPr>
              <w:t>100%</w:t>
            </w:r>
          </w:p>
        </w:tc>
        <w:tc>
          <w:tcPr>
            <w:tcW w:w="5580" w:type="dxa"/>
            <w:vAlign w:val="bottom"/>
          </w:tcPr>
          <w:p>
            <w:pPr>
              <w:ind w:left="2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management to evaluate our operating results, plan</w:t>
            </w:r>
          </w:p>
        </w:tc>
      </w:tr>
      <w:tr>
        <w:trPr>
          <w:trHeight w:val="250"/>
        </w:trPr>
        <w:tc>
          <w:tcPr>
            <w:tcW w:w="2000" w:type="dxa"/>
            <w:vAlign w:val="bottom"/>
          </w:tcPr>
          <w:p>
            <w:pPr>
              <w:ind w:left="160"/>
              <w:spacing w:after="0" w:line="250" w:lineRule="exact"/>
              <w:rPr>
                <w:sz w:val="20"/>
                <w:szCs w:val="20"/>
                <w:color w:val="auto"/>
              </w:rPr>
            </w:pPr>
            <w:r>
              <w:rPr>
                <w:rFonts w:ascii="Arial" w:cs="Arial" w:eastAsia="Arial" w:hAnsi="Arial"/>
                <w:sz w:val="17"/>
                <w:szCs w:val="17"/>
                <w:b w:val="1"/>
                <w:bCs w:val="1"/>
                <w:color w:val="auto"/>
              </w:rPr>
              <w:t>Cash Flow</w:t>
            </w:r>
            <w:r>
              <w:rPr>
                <w:rFonts w:ascii="Arial" w:cs="Arial" w:eastAsia="Arial" w:hAnsi="Arial"/>
                <w:sz w:val="28"/>
                <w:szCs w:val="28"/>
                <w:b w:val="1"/>
                <w:bCs w:val="1"/>
                <w:color w:val="auto"/>
                <w:vertAlign w:val="superscript"/>
              </w:rPr>
              <w:t>(2)</w:t>
            </w:r>
          </w:p>
        </w:tc>
        <w:tc>
          <w:tcPr>
            <w:tcW w:w="1280" w:type="dxa"/>
            <w:vAlign w:val="bottom"/>
          </w:tcPr>
          <w:p>
            <w:pPr>
              <w:ind w:left="260"/>
              <w:spacing w:after="0"/>
              <w:rPr>
                <w:sz w:val="20"/>
                <w:szCs w:val="20"/>
                <w:color w:val="auto"/>
              </w:rPr>
            </w:pPr>
            <w:r>
              <w:rPr>
                <w:rFonts w:ascii="Arial" w:cs="Arial" w:eastAsia="Arial" w:hAnsi="Arial"/>
                <w:sz w:val="17"/>
                <w:szCs w:val="17"/>
                <w:color w:val="auto"/>
              </w:rPr>
              <w:t>weighting</w:t>
            </w:r>
          </w:p>
        </w:tc>
        <w:tc>
          <w:tcPr>
            <w:tcW w:w="5580" w:type="dxa"/>
            <w:vAlign w:val="bottom"/>
          </w:tcPr>
          <w:p>
            <w:pPr>
              <w:ind w:left="440"/>
              <w:spacing w:after="0"/>
              <w:rPr>
                <w:sz w:val="20"/>
                <w:szCs w:val="20"/>
                <w:color w:val="auto"/>
              </w:rPr>
            </w:pPr>
            <w:r>
              <w:rPr>
                <w:rFonts w:ascii="Arial" w:cs="Arial" w:eastAsia="Arial" w:hAnsi="Arial"/>
                <w:sz w:val="17"/>
                <w:szCs w:val="17"/>
                <w:color w:val="auto"/>
              </w:rPr>
              <w:t>strategic investments and assess our ability and need to incur and</w:t>
            </w:r>
          </w:p>
        </w:tc>
      </w:tr>
      <w:tr>
        <w:trPr>
          <w:trHeight w:val="225"/>
        </w:trPr>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580" w:type="dxa"/>
            <w:vAlign w:val="bottom"/>
          </w:tcPr>
          <w:p>
            <w:pPr>
              <w:ind w:left="440"/>
              <w:spacing w:after="0"/>
              <w:rPr>
                <w:sz w:val="20"/>
                <w:szCs w:val="20"/>
                <w:color w:val="auto"/>
              </w:rPr>
            </w:pPr>
            <w:r>
              <w:rPr>
                <w:rFonts w:ascii="Arial" w:cs="Arial" w:eastAsia="Arial" w:hAnsi="Arial"/>
                <w:sz w:val="17"/>
                <w:szCs w:val="17"/>
                <w:color w:val="auto"/>
              </w:rPr>
              <w:t>service debt</w:t>
            </w:r>
          </w:p>
        </w:tc>
      </w:tr>
      <w:tr>
        <w:trPr>
          <w:trHeight w:val="227"/>
        </w:trPr>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580" w:type="dxa"/>
            <w:vAlign w:val="bottom"/>
          </w:tcPr>
          <w:p>
            <w:pPr>
              <w:ind w:left="2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investors to assess our business</w:t>
            </w:r>
          </w:p>
        </w:tc>
      </w:tr>
      <w:tr>
        <w:trPr>
          <w:trHeight w:val="207"/>
        </w:trPr>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580" w:type="dxa"/>
            <w:vAlign w:val="bottom"/>
          </w:tcPr>
          <w:p>
            <w:pPr>
              <w:ind w:left="2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CHC Committee believes this metric is an indicator of the strength</w:t>
            </w:r>
          </w:p>
        </w:tc>
      </w:tr>
      <w:tr>
        <w:trPr>
          <w:trHeight w:val="225"/>
        </w:trPr>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580" w:type="dxa"/>
            <w:vAlign w:val="bottom"/>
          </w:tcPr>
          <w:p>
            <w:pPr>
              <w:ind w:left="440"/>
              <w:spacing w:after="0"/>
              <w:rPr>
                <w:sz w:val="20"/>
                <w:szCs w:val="20"/>
                <w:color w:val="auto"/>
              </w:rPr>
            </w:pPr>
            <w:r>
              <w:rPr>
                <w:rFonts w:ascii="Arial" w:cs="Arial" w:eastAsia="Arial" w:hAnsi="Arial"/>
                <w:sz w:val="17"/>
                <w:szCs w:val="17"/>
                <w:color w:val="auto"/>
              </w:rPr>
              <w:t>of our operating results</w:t>
            </w:r>
          </w:p>
        </w:tc>
      </w:tr>
      <w:tr>
        <w:trPr>
          <w:trHeight w:val="68"/>
        </w:trPr>
        <w:tc>
          <w:tcPr>
            <w:tcW w:w="2000" w:type="dxa"/>
            <w:vAlign w:val="bottom"/>
            <w:tcBorders>
              <w:bottom w:val="single" w:sz="8" w:color="A6A6A6"/>
            </w:tcBorders>
          </w:tcPr>
          <w:p>
            <w:pPr>
              <w:spacing w:after="0"/>
              <w:rPr>
                <w:sz w:val="5"/>
                <w:szCs w:val="5"/>
                <w:color w:val="auto"/>
              </w:rPr>
            </w:pPr>
          </w:p>
        </w:tc>
        <w:tc>
          <w:tcPr>
            <w:tcW w:w="1280" w:type="dxa"/>
            <w:vAlign w:val="bottom"/>
            <w:tcBorders>
              <w:bottom w:val="single" w:sz="8" w:color="A6A6A6"/>
            </w:tcBorders>
          </w:tcPr>
          <w:p>
            <w:pPr>
              <w:spacing w:after="0"/>
              <w:rPr>
                <w:sz w:val="5"/>
                <w:szCs w:val="5"/>
                <w:color w:val="auto"/>
              </w:rPr>
            </w:pPr>
          </w:p>
        </w:tc>
        <w:tc>
          <w:tcPr>
            <w:tcW w:w="5580" w:type="dxa"/>
            <w:vAlign w:val="bottom"/>
            <w:tcBorders>
              <w:bottom w:val="single" w:sz="8" w:color="A6A6A6"/>
            </w:tcBorders>
          </w:tcPr>
          <w:p>
            <w:pPr>
              <w:spacing w:after="0"/>
              <w:rPr>
                <w:sz w:val="5"/>
                <w:szCs w:val="5"/>
                <w:color w:val="auto"/>
              </w:rPr>
            </w:pPr>
          </w:p>
        </w:tc>
      </w:tr>
      <w:tr>
        <w:trPr>
          <w:trHeight w:val="223"/>
        </w:trPr>
        <w:tc>
          <w:tcPr>
            <w:tcW w:w="2000" w:type="dxa"/>
            <w:vAlign w:val="bottom"/>
          </w:tcPr>
          <w:p>
            <w:pPr>
              <w:ind w:left="160"/>
              <w:spacing w:after="0"/>
              <w:rPr>
                <w:sz w:val="20"/>
                <w:szCs w:val="20"/>
                <w:color w:val="auto"/>
              </w:rPr>
            </w:pPr>
            <w:r>
              <w:rPr>
                <w:rFonts w:ascii="Arial" w:cs="Arial" w:eastAsia="Arial" w:hAnsi="Arial"/>
                <w:sz w:val="17"/>
                <w:szCs w:val="17"/>
                <w:b w:val="1"/>
                <w:bCs w:val="1"/>
                <w:color w:val="auto"/>
              </w:rPr>
              <w:t>Relative TSR</w:t>
            </w:r>
          </w:p>
        </w:tc>
        <w:tc>
          <w:tcPr>
            <w:tcW w:w="1280" w:type="dxa"/>
            <w:vAlign w:val="bottom"/>
          </w:tcPr>
          <w:p>
            <w:pPr>
              <w:ind w:left="260"/>
              <w:spacing w:after="0"/>
              <w:rPr>
                <w:sz w:val="20"/>
                <w:szCs w:val="20"/>
                <w:color w:val="auto"/>
              </w:rPr>
            </w:pPr>
            <w:r>
              <w:rPr>
                <w:rFonts w:ascii="Arial" w:cs="Arial" w:eastAsia="Arial" w:hAnsi="Arial"/>
                <w:sz w:val="17"/>
                <w:szCs w:val="17"/>
                <w:color w:val="auto"/>
              </w:rPr>
              <w:t>+/- 20%</w:t>
            </w:r>
          </w:p>
        </w:tc>
        <w:tc>
          <w:tcPr>
            <w:tcW w:w="5580" w:type="dxa"/>
            <w:vAlign w:val="bottom"/>
          </w:tcPr>
          <w:p>
            <w:pPr>
              <w:ind w:left="28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Reflects the performance of Kyndryl’s stock relative to the broader</w:t>
            </w:r>
          </w:p>
        </w:tc>
      </w:tr>
      <w:tr>
        <w:trPr>
          <w:trHeight w:val="234"/>
        </w:trPr>
        <w:tc>
          <w:tcPr>
            <w:tcW w:w="2000" w:type="dxa"/>
            <w:vAlign w:val="bottom"/>
          </w:tcPr>
          <w:p>
            <w:pPr>
              <w:ind w:left="160"/>
              <w:spacing w:after="0" w:line="235" w:lineRule="exact"/>
              <w:rPr>
                <w:sz w:val="20"/>
                <w:szCs w:val="20"/>
                <w:color w:val="auto"/>
              </w:rPr>
            </w:pPr>
            <w:r>
              <w:rPr>
                <w:rFonts w:ascii="Arial" w:cs="Arial" w:eastAsia="Arial" w:hAnsi="Arial"/>
                <w:sz w:val="17"/>
                <w:szCs w:val="17"/>
                <w:b w:val="1"/>
                <w:bCs w:val="1"/>
                <w:color w:val="auto"/>
              </w:rPr>
              <w:t>modifier</w:t>
            </w:r>
            <w:r>
              <w:rPr>
                <w:rFonts w:ascii="Arial" w:cs="Arial" w:eastAsia="Arial" w:hAnsi="Arial"/>
                <w:sz w:val="27"/>
                <w:szCs w:val="27"/>
                <w:b w:val="1"/>
                <w:bCs w:val="1"/>
                <w:color w:val="auto"/>
                <w:vertAlign w:val="superscript"/>
              </w:rPr>
              <w:t>(3)</w:t>
            </w:r>
          </w:p>
        </w:tc>
        <w:tc>
          <w:tcPr>
            <w:tcW w:w="1280" w:type="dxa"/>
            <w:vAlign w:val="bottom"/>
          </w:tcPr>
          <w:p>
            <w:pPr>
              <w:ind w:left="260"/>
              <w:spacing w:after="0"/>
              <w:rPr>
                <w:sz w:val="20"/>
                <w:szCs w:val="20"/>
                <w:color w:val="auto"/>
              </w:rPr>
            </w:pPr>
            <w:r>
              <w:rPr>
                <w:rFonts w:ascii="Arial" w:cs="Arial" w:eastAsia="Arial" w:hAnsi="Arial"/>
                <w:sz w:val="17"/>
                <w:szCs w:val="17"/>
                <w:color w:val="auto"/>
              </w:rPr>
              <w:t>modifier</w:t>
            </w:r>
          </w:p>
        </w:tc>
        <w:tc>
          <w:tcPr>
            <w:tcW w:w="5580" w:type="dxa"/>
            <w:vAlign w:val="bottom"/>
          </w:tcPr>
          <w:p>
            <w:pPr>
              <w:ind w:left="440"/>
              <w:spacing w:after="0"/>
              <w:rPr>
                <w:sz w:val="20"/>
                <w:szCs w:val="20"/>
                <w:color w:val="auto"/>
              </w:rPr>
            </w:pPr>
            <w:r>
              <w:rPr>
                <w:rFonts w:ascii="Arial" w:cs="Arial" w:eastAsia="Arial" w:hAnsi="Arial"/>
                <w:sz w:val="17"/>
                <w:szCs w:val="17"/>
                <w:color w:val="auto"/>
              </w:rPr>
              <w:t>market; relative TSR is used as a modifier of adjusted operating</w:t>
            </w:r>
          </w:p>
        </w:tc>
      </w:tr>
      <w:tr>
        <w:trPr>
          <w:trHeight w:val="225"/>
        </w:trPr>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580" w:type="dxa"/>
            <w:vAlign w:val="bottom"/>
          </w:tcPr>
          <w:p>
            <w:pPr>
              <w:ind w:left="440"/>
              <w:spacing w:after="0"/>
              <w:rPr>
                <w:sz w:val="20"/>
                <w:szCs w:val="20"/>
                <w:color w:val="auto"/>
              </w:rPr>
            </w:pPr>
            <w:r>
              <w:rPr>
                <w:rFonts w:ascii="Arial" w:cs="Arial" w:eastAsia="Arial" w:hAnsi="Arial"/>
                <w:sz w:val="17"/>
                <w:szCs w:val="17"/>
                <w:color w:val="auto"/>
              </w:rPr>
              <w:t>cash flow performance</w:t>
            </w:r>
          </w:p>
        </w:tc>
      </w:tr>
      <w:tr>
        <w:trPr>
          <w:trHeight w:val="108"/>
        </w:trPr>
        <w:tc>
          <w:tcPr>
            <w:tcW w:w="2000" w:type="dxa"/>
            <w:vAlign w:val="bottom"/>
            <w:tcBorders>
              <w:bottom w:val="single" w:sz="8" w:color="F0533D"/>
            </w:tcBorders>
          </w:tcPr>
          <w:p>
            <w:pPr>
              <w:spacing w:after="0"/>
              <w:rPr>
                <w:sz w:val="9"/>
                <w:szCs w:val="9"/>
                <w:color w:val="auto"/>
              </w:rPr>
            </w:pPr>
          </w:p>
        </w:tc>
        <w:tc>
          <w:tcPr>
            <w:tcW w:w="1280" w:type="dxa"/>
            <w:vAlign w:val="bottom"/>
            <w:tcBorders>
              <w:bottom w:val="single" w:sz="8" w:color="F0533D"/>
            </w:tcBorders>
          </w:tcPr>
          <w:p>
            <w:pPr>
              <w:spacing w:after="0"/>
              <w:rPr>
                <w:sz w:val="9"/>
                <w:szCs w:val="9"/>
                <w:color w:val="auto"/>
              </w:rPr>
            </w:pPr>
          </w:p>
        </w:tc>
        <w:tc>
          <w:tcPr>
            <w:tcW w:w="5580" w:type="dxa"/>
            <w:vAlign w:val="bottom"/>
            <w:tcBorders>
              <w:bottom w:val="single" w:sz="8" w:color="F0533D"/>
            </w:tcBorders>
          </w:tcPr>
          <w:p>
            <w:pPr>
              <w:spacing w:after="0"/>
              <w:rPr>
                <w:sz w:val="9"/>
                <w:szCs w:val="9"/>
                <w:color w:val="auto"/>
              </w:rPr>
            </w:pPr>
          </w:p>
        </w:tc>
      </w:tr>
    </w:tbl>
    <w:p>
      <w:pPr>
        <w:spacing w:after="0" w:line="307" w:lineRule="exact"/>
        <w:rPr>
          <w:sz w:val="20"/>
          <w:szCs w:val="20"/>
          <w:color w:val="auto"/>
        </w:rPr>
      </w:pPr>
    </w:p>
    <w:p>
      <w:pPr>
        <w:ind w:left="540" w:right="499" w:hanging="356"/>
        <w:spacing w:after="0" w:line="199" w:lineRule="auto"/>
        <w:tabs>
          <w:tab w:leader="none" w:pos="540" w:val="left"/>
        </w:tabs>
        <w:numPr>
          <w:ilvl w:val="0"/>
          <w:numId w:val="69"/>
        </w:numPr>
        <w:rPr>
          <w:rFonts w:ascii="Arial" w:cs="Arial" w:eastAsia="Arial" w:hAnsi="Arial"/>
          <w:sz w:val="23"/>
          <w:szCs w:val="23"/>
          <w:color w:val="auto"/>
          <w:vertAlign w:val="superscript"/>
        </w:rPr>
      </w:pPr>
      <w:r>
        <w:rPr>
          <w:rFonts w:ascii="Arial" w:cs="Arial" w:eastAsia="Arial" w:hAnsi="Arial"/>
          <w:sz w:val="15"/>
          <w:szCs w:val="15"/>
          <w:color w:val="auto"/>
        </w:rPr>
        <w:t>When assessing performance for purposes of LTI, the CHC Committee may adjust for certain pre-determined items as described further above under the section titled “Assessing Performance Results.”</w:t>
      </w:r>
    </w:p>
    <w:p>
      <w:pPr>
        <w:spacing w:after="0" w:line="69" w:lineRule="exact"/>
        <w:rPr>
          <w:rFonts w:ascii="Arial" w:cs="Arial" w:eastAsia="Arial" w:hAnsi="Arial"/>
          <w:sz w:val="23"/>
          <w:szCs w:val="23"/>
          <w:color w:val="auto"/>
          <w:vertAlign w:val="superscript"/>
        </w:rPr>
      </w:pPr>
    </w:p>
    <w:p>
      <w:pPr>
        <w:ind w:left="540" w:right="139" w:hanging="356"/>
        <w:spacing w:after="0" w:line="210" w:lineRule="auto"/>
        <w:tabs>
          <w:tab w:leader="none" w:pos="540" w:val="left"/>
        </w:tabs>
        <w:numPr>
          <w:ilvl w:val="0"/>
          <w:numId w:val="69"/>
        </w:numPr>
        <w:rPr>
          <w:rFonts w:ascii="Arial" w:cs="Arial" w:eastAsia="Arial" w:hAnsi="Arial"/>
          <w:sz w:val="23"/>
          <w:szCs w:val="23"/>
          <w:color w:val="auto"/>
          <w:vertAlign w:val="superscript"/>
        </w:rPr>
      </w:pPr>
      <w:r>
        <w:rPr>
          <w:rFonts w:ascii="Arial" w:cs="Arial" w:eastAsia="Arial" w:hAnsi="Arial"/>
          <w:sz w:val="15"/>
          <w:szCs w:val="15"/>
          <w:color w:val="auto"/>
        </w:rPr>
        <w:t>“Adjusted Operating Cash Flow” means cash flows from operating activities (GAAP) after adding back transaction-related payments, charges related to lease terminations, payments related to workforce rebalancing charges incurred prior to March 31, 2024, and significant litigation payments. For a more detailed description of the excluded items, see our quarterly earnings releases.</w:t>
      </w:r>
    </w:p>
    <w:p>
      <w:pPr>
        <w:spacing w:after="0" w:line="71" w:lineRule="exact"/>
        <w:rPr>
          <w:rFonts w:ascii="Arial" w:cs="Arial" w:eastAsia="Arial" w:hAnsi="Arial"/>
          <w:sz w:val="23"/>
          <w:szCs w:val="23"/>
          <w:color w:val="auto"/>
          <w:vertAlign w:val="superscript"/>
        </w:rPr>
      </w:pPr>
    </w:p>
    <w:p>
      <w:pPr>
        <w:ind w:left="540" w:right="319" w:hanging="356"/>
        <w:spacing w:after="0" w:line="199" w:lineRule="auto"/>
        <w:tabs>
          <w:tab w:leader="none" w:pos="540" w:val="left"/>
        </w:tabs>
        <w:numPr>
          <w:ilvl w:val="0"/>
          <w:numId w:val="69"/>
        </w:numPr>
        <w:rPr>
          <w:rFonts w:ascii="Arial" w:cs="Arial" w:eastAsia="Arial" w:hAnsi="Arial"/>
          <w:sz w:val="23"/>
          <w:szCs w:val="23"/>
          <w:color w:val="auto"/>
          <w:vertAlign w:val="superscript"/>
        </w:rPr>
      </w:pPr>
      <w:r>
        <w:rPr>
          <w:rFonts w:ascii="Arial" w:cs="Arial" w:eastAsia="Arial" w:hAnsi="Arial"/>
          <w:sz w:val="15"/>
          <w:szCs w:val="15"/>
          <w:color w:val="auto"/>
        </w:rPr>
        <w:t>Relative TSR payout modifier is based on the percentile rank of Kyndryl’s TSR over the three-year performance period in comparison with companies in the S&amp;P MidCap 400 Index.</w:t>
      </w:r>
    </w:p>
    <w:p>
      <w:pPr>
        <w:spacing w:after="0" w:line="119" w:lineRule="exact"/>
        <w:rPr>
          <w:sz w:val="20"/>
          <w:szCs w:val="20"/>
          <w:color w:val="auto"/>
        </w:rPr>
      </w:pPr>
    </w:p>
    <w:p>
      <w:pPr>
        <w:ind w:left="80" w:right="199"/>
        <w:spacing w:after="0" w:line="267" w:lineRule="auto"/>
        <w:rPr>
          <w:sz w:val="20"/>
          <w:szCs w:val="20"/>
          <w:color w:val="auto"/>
        </w:rPr>
      </w:pPr>
      <w:r>
        <w:rPr>
          <w:rFonts w:ascii="Arial" w:cs="Arial" w:eastAsia="Arial" w:hAnsi="Arial"/>
          <w:sz w:val="17"/>
          <w:szCs w:val="17"/>
          <w:color w:val="auto"/>
        </w:rPr>
        <w:t>The following table sets forth the percentage of PSUs that vest upon our achievement of below threshold, threshold, target and maximum performance for each of the performance criteria for the fiscal 2026-2028 performance period.</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3480" w:type="dxa"/>
            <w:vAlign w:val="bottom"/>
            <w:gridSpan w:val="2"/>
          </w:tcPr>
          <w:p>
            <w:pPr>
              <w:jc w:val="center"/>
              <w:ind w:left="283"/>
              <w:spacing w:after="0"/>
              <w:rPr>
                <w:sz w:val="20"/>
                <w:szCs w:val="20"/>
                <w:color w:val="auto"/>
              </w:rPr>
            </w:pPr>
            <w:r>
              <w:rPr>
                <w:rFonts w:ascii="Arial" w:cs="Arial" w:eastAsia="Arial" w:hAnsi="Arial"/>
                <w:sz w:val="14"/>
                <w:szCs w:val="14"/>
                <w:b w:val="1"/>
                <w:bCs w:val="1"/>
                <w:color w:val="F0533D"/>
              </w:rPr>
              <w:t>Adjusted Operating</w:t>
            </w: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197"/>
        </w:trPr>
        <w:tc>
          <w:tcPr>
            <w:tcW w:w="2120" w:type="dxa"/>
            <w:vAlign w:val="bottom"/>
            <w:tcBorders>
              <w:bottom w:val="single" w:sz="8" w:color="F0533D"/>
            </w:tcBorders>
          </w:tcPr>
          <w:p>
            <w:pPr>
              <w:spacing w:after="0"/>
              <w:rPr>
                <w:sz w:val="17"/>
                <w:szCs w:val="17"/>
                <w:color w:val="auto"/>
              </w:rPr>
            </w:pPr>
          </w:p>
        </w:tc>
        <w:tc>
          <w:tcPr>
            <w:tcW w:w="3480" w:type="dxa"/>
            <w:vAlign w:val="bottom"/>
            <w:tcBorders>
              <w:bottom w:val="single" w:sz="8" w:color="F0533D"/>
            </w:tcBorders>
            <w:gridSpan w:val="2"/>
          </w:tcPr>
          <w:p>
            <w:pPr>
              <w:jc w:val="center"/>
              <w:ind w:left="323"/>
              <w:spacing w:after="0"/>
              <w:rPr>
                <w:sz w:val="20"/>
                <w:szCs w:val="20"/>
                <w:color w:val="auto"/>
              </w:rPr>
            </w:pPr>
            <w:r>
              <w:rPr>
                <w:rFonts w:ascii="Arial" w:cs="Arial" w:eastAsia="Arial" w:hAnsi="Arial"/>
                <w:sz w:val="14"/>
                <w:szCs w:val="14"/>
                <w:b w:val="1"/>
                <w:bCs w:val="1"/>
                <w:color w:val="F0533D"/>
              </w:rPr>
              <w:t>Cash Flow</w:t>
            </w:r>
          </w:p>
        </w:tc>
        <w:tc>
          <w:tcPr>
            <w:tcW w:w="3260" w:type="dxa"/>
            <w:vAlign w:val="bottom"/>
            <w:tcBorders>
              <w:bottom w:val="single" w:sz="8" w:color="F0533D"/>
            </w:tcBorders>
            <w:gridSpan w:val="2"/>
          </w:tcPr>
          <w:p>
            <w:pPr>
              <w:ind w:left="1000"/>
              <w:spacing w:after="0"/>
              <w:rPr>
                <w:sz w:val="20"/>
                <w:szCs w:val="20"/>
                <w:color w:val="auto"/>
              </w:rPr>
            </w:pPr>
            <w:r>
              <w:rPr>
                <w:rFonts w:ascii="Arial" w:cs="Arial" w:eastAsia="Arial" w:hAnsi="Arial"/>
                <w:sz w:val="14"/>
                <w:szCs w:val="14"/>
                <w:b w:val="1"/>
                <w:bCs w:val="1"/>
                <w:color w:val="F0533D"/>
              </w:rPr>
              <w:t>Relative TSR Modifier</w:t>
            </w:r>
          </w:p>
        </w:tc>
      </w:tr>
      <w:tr>
        <w:trPr>
          <w:trHeight w:val="174"/>
        </w:trPr>
        <w:tc>
          <w:tcPr>
            <w:tcW w:w="2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80" w:type="dxa"/>
            <w:vAlign w:val="bottom"/>
          </w:tcPr>
          <w:p>
            <w:pPr>
              <w:jc w:val="center"/>
              <w:ind w:left="123"/>
              <w:spacing w:after="0"/>
              <w:rPr>
                <w:sz w:val="20"/>
                <w:szCs w:val="20"/>
                <w:color w:val="auto"/>
              </w:rPr>
            </w:pPr>
            <w:r>
              <w:rPr>
                <w:rFonts w:ascii="Arial" w:cs="Arial" w:eastAsia="Arial" w:hAnsi="Arial"/>
                <w:sz w:val="14"/>
                <w:szCs w:val="14"/>
                <w:b w:val="1"/>
                <w:bCs w:val="1"/>
                <w:color w:val="F0533D"/>
              </w:rPr>
              <w:t>Modifier adjustment</w:t>
            </w:r>
          </w:p>
        </w:tc>
      </w:tr>
      <w:tr>
        <w:trPr>
          <w:trHeight w:val="162"/>
        </w:trPr>
        <w:tc>
          <w:tcPr>
            <w:tcW w:w="2120" w:type="dxa"/>
            <w:vAlign w:val="bottom"/>
          </w:tcPr>
          <w:p>
            <w:pPr>
              <w:spacing w:after="0"/>
              <w:rPr>
                <w:sz w:val="14"/>
                <w:szCs w:val="14"/>
                <w:color w:val="auto"/>
              </w:rPr>
            </w:pPr>
          </w:p>
        </w:tc>
        <w:tc>
          <w:tcPr>
            <w:tcW w:w="1920" w:type="dxa"/>
            <w:vAlign w:val="bottom"/>
          </w:tcPr>
          <w:p>
            <w:pPr>
              <w:jc w:val="center"/>
              <w:ind w:left="263"/>
              <w:spacing w:after="0"/>
              <w:rPr>
                <w:sz w:val="20"/>
                <w:szCs w:val="20"/>
                <w:color w:val="auto"/>
              </w:rPr>
            </w:pPr>
            <w:r>
              <w:rPr>
                <w:rFonts w:ascii="Arial" w:cs="Arial" w:eastAsia="Arial" w:hAnsi="Arial"/>
                <w:sz w:val="14"/>
                <w:szCs w:val="14"/>
                <w:b w:val="1"/>
                <w:bCs w:val="1"/>
                <w:color w:val="F0533D"/>
              </w:rPr>
              <w:t>Kyndryl</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F0533D"/>
              </w:rPr>
              <w:t>Percentage</w:t>
            </w:r>
          </w:p>
        </w:tc>
        <w:tc>
          <w:tcPr>
            <w:tcW w:w="1380" w:type="dxa"/>
            <w:vAlign w:val="bottom"/>
          </w:tcPr>
          <w:p>
            <w:pPr>
              <w:spacing w:after="0"/>
              <w:rPr>
                <w:sz w:val="14"/>
                <w:szCs w:val="14"/>
                <w:color w:val="auto"/>
              </w:rPr>
            </w:pPr>
          </w:p>
        </w:tc>
        <w:tc>
          <w:tcPr>
            <w:tcW w:w="1880" w:type="dxa"/>
            <w:vAlign w:val="bottom"/>
          </w:tcPr>
          <w:p>
            <w:pPr>
              <w:jc w:val="center"/>
              <w:ind w:left="123"/>
              <w:spacing w:after="0"/>
              <w:rPr>
                <w:sz w:val="20"/>
                <w:szCs w:val="20"/>
                <w:color w:val="auto"/>
              </w:rPr>
            </w:pPr>
            <w:r>
              <w:rPr>
                <w:rFonts w:ascii="Arial" w:cs="Arial" w:eastAsia="Arial" w:hAnsi="Arial"/>
                <w:sz w:val="14"/>
                <w:szCs w:val="14"/>
                <w:b w:val="1"/>
                <w:bCs w:val="1"/>
                <w:color w:val="F0533D"/>
              </w:rPr>
              <w:t>percent applied to</w:t>
            </w:r>
          </w:p>
        </w:tc>
      </w:tr>
      <w:tr>
        <w:trPr>
          <w:trHeight w:val="162"/>
        </w:trPr>
        <w:tc>
          <w:tcPr>
            <w:tcW w:w="2120" w:type="dxa"/>
            <w:vAlign w:val="bottom"/>
          </w:tcPr>
          <w:p>
            <w:pPr>
              <w:spacing w:after="0"/>
              <w:rPr>
                <w:sz w:val="14"/>
                <w:szCs w:val="14"/>
                <w:color w:val="auto"/>
              </w:rPr>
            </w:pPr>
          </w:p>
        </w:tc>
        <w:tc>
          <w:tcPr>
            <w:tcW w:w="1920" w:type="dxa"/>
            <w:vAlign w:val="bottom"/>
          </w:tcPr>
          <w:p>
            <w:pPr>
              <w:jc w:val="center"/>
              <w:ind w:left="283"/>
              <w:spacing w:after="0"/>
              <w:rPr>
                <w:sz w:val="20"/>
                <w:szCs w:val="20"/>
                <w:color w:val="auto"/>
              </w:rPr>
            </w:pPr>
            <w:r>
              <w:rPr>
                <w:rFonts w:ascii="Arial" w:cs="Arial" w:eastAsia="Arial" w:hAnsi="Arial"/>
                <w:sz w:val="14"/>
                <w:szCs w:val="14"/>
                <w:b w:val="1"/>
                <w:bCs w:val="1"/>
                <w:color w:val="F0533D"/>
              </w:rPr>
              <w:t>Performance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F0533D"/>
              </w:rPr>
              <w:t>of PSUs that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F0533D"/>
              </w:rPr>
              <w:t>Kyndryl</w:t>
            </w:r>
          </w:p>
        </w:tc>
        <w:tc>
          <w:tcPr>
            <w:tcW w:w="1880" w:type="dxa"/>
            <w:vAlign w:val="bottom"/>
          </w:tcPr>
          <w:p>
            <w:pPr>
              <w:jc w:val="center"/>
              <w:ind w:left="103"/>
              <w:spacing w:after="0"/>
              <w:rPr>
                <w:sz w:val="20"/>
                <w:szCs w:val="20"/>
                <w:color w:val="auto"/>
              </w:rPr>
            </w:pPr>
            <w:r>
              <w:rPr>
                <w:rFonts w:ascii="Arial" w:cs="Arial" w:eastAsia="Arial" w:hAnsi="Arial"/>
                <w:sz w:val="14"/>
                <w:szCs w:val="14"/>
                <w:b w:val="1"/>
                <w:bCs w:val="1"/>
                <w:color w:val="F0533D"/>
              </w:rPr>
              <w:t>Adjusted Operating</w:t>
            </w:r>
          </w:p>
        </w:tc>
      </w:tr>
      <w:tr>
        <w:trPr>
          <w:trHeight w:val="162"/>
        </w:trPr>
        <w:tc>
          <w:tcPr>
            <w:tcW w:w="2120" w:type="dxa"/>
            <w:vAlign w:val="bottom"/>
          </w:tcPr>
          <w:p>
            <w:pPr>
              <w:ind w:left="140"/>
              <w:spacing w:after="0"/>
              <w:rPr>
                <w:sz w:val="20"/>
                <w:szCs w:val="20"/>
                <w:color w:val="auto"/>
              </w:rPr>
            </w:pPr>
            <w:r>
              <w:rPr>
                <w:rFonts w:ascii="Arial" w:cs="Arial" w:eastAsia="Arial" w:hAnsi="Arial"/>
                <w:sz w:val="14"/>
                <w:szCs w:val="14"/>
                <w:b w:val="1"/>
                <w:bCs w:val="1"/>
                <w:color w:val="F0533D"/>
              </w:rPr>
              <w:t>Performance</w:t>
            </w:r>
          </w:p>
        </w:tc>
        <w:tc>
          <w:tcPr>
            <w:tcW w:w="1920" w:type="dxa"/>
            <w:vAlign w:val="bottom"/>
          </w:tcPr>
          <w:p>
            <w:pPr>
              <w:jc w:val="center"/>
              <w:ind w:left="243"/>
              <w:spacing w:after="0"/>
              <w:rPr>
                <w:sz w:val="20"/>
                <w:szCs w:val="20"/>
                <w:color w:val="auto"/>
              </w:rPr>
            </w:pPr>
            <w:r>
              <w:rPr>
                <w:rFonts w:ascii="Arial" w:cs="Arial" w:eastAsia="Arial" w:hAnsi="Arial"/>
                <w:sz w:val="14"/>
                <w:szCs w:val="14"/>
                <w:b w:val="1"/>
                <w:bCs w:val="1"/>
                <w:color w:val="F0533D"/>
              </w:rPr>
              <w:t>Rate vs.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F0533D"/>
              </w:rPr>
              <w:t>vest at target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F0533D"/>
              </w:rPr>
              <w:t>Percentile</w:t>
            </w:r>
          </w:p>
        </w:tc>
        <w:tc>
          <w:tcPr>
            <w:tcW w:w="1880" w:type="dxa"/>
            <w:vAlign w:val="bottom"/>
          </w:tcPr>
          <w:p>
            <w:pPr>
              <w:jc w:val="center"/>
              <w:ind w:left="123"/>
              <w:spacing w:after="0"/>
              <w:rPr>
                <w:sz w:val="20"/>
                <w:szCs w:val="20"/>
                <w:color w:val="auto"/>
              </w:rPr>
            </w:pPr>
            <w:r>
              <w:rPr>
                <w:rFonts w:ascii="Arial" w:cs="Arial" w:eastAsia="Arial" w:hAnsi="Arial"/>
                <w:sz w:val="14"/>
                <w:szCs w:val="14"/>
                <w:b w:val="1"/>
                <w:bCs w:val="1"/>
                <w:color w:val="F0533D"/>
              </w:rPr>
              <w:t>Cash Flow</w:t>
            </w:r>
          </w:p>
        </w:tc>
      </w:tr>
      <w:tr>
        <w:trPr>
          <w:trHeight w:val="197"/>
        </w:trPr>
        <w:tc>
          <w:tcPr>
            <w:tcW w:w="2120" w:type="dxa"/>
            <w:vAlign w:val="bottom"/>
            <w:tcBorders>
              <w:bottom w:val="single" w:sz="8" w:color="F0533D"/>
            </w:tcBorders>
          </w:tcPr>
          <w:p>
            <w:pPr>
              <w:ind w:left="140"/>
              <w:spacing w:after="0"/>
              <w:rPr>
                <w:sz w:val="20"/>
                <w:szCs w:val="20"/>
                <w:color w:val="auto"/>
              </w:rPr>
            </w:pPr>
            <w:r>
              <w:rPr>
                <w:rFonts w:ascii="Arial" w:cs="Arial" w:eastAsia="Arial" w:hAnsi="Arial"/>
                <w:sz w:val="14"/>
                <w:szCs w:val="14"/>
                <w:b w:val="1"/>
                <w:bCs w:val="1"/>
                <w:color w:val="F0533D"/>
              </w:rPr>
              <w:t>Level</w:t>
            </w:r>
          </w:p>
        </w:tc>
        <w:tc>
          <w:tcPr>
            <w:tcW w:w="1920" w:type="dxa"/>
            <w:vAlign w:val="bottom"/>
            <w:tcBorders>
              <w:bottom w:val="single" w:sz="8" w:color="F0533D"/>
            </w:tcBorders>
          </w:tcPr>
          <w:p>
            <w:pPr>
              <w:jc w:val="center"/>
              <w:ind w:left="283"/>
              <w:spacing w:after="0"/>
              <w:rPr>
                <w:sz w:val="20"/>
                <w:szCs w:val="20"/>
                <w:color w:val="auto"/>
              </w:rPr>
            </w:pPr>
            <w:r>
              <w:rPr>
                <w:rFonts w:ascii="Arial" w:cs="Arial" w:eastAsia="Arial" w:hAnsi="Arial"/>
                <w:sz w:val="14"/>
                <w:szCs w:val="14"/>
                <w:b w:val="1"/>
                <w:bCs w:val="1"/>
                <w:color w:val="F0533D"/>
              </w:rPr>
              <w:t>Target</w:t>
            </w:r>
          </w:p>
        </w:tc>
        <w:tc>
          <w:tcPr>
            <w:tcW w:w="156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payout</w:t>
            </w:r>
          </w:p>
        </w:tc>
        <w:tc>
          <w:tcPr>
            <w:tcW w:w="13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w w:val="99"/>
              </w:rPr>
              <w:t>Rank</w:t>
            </w:r>
          </w:p>
        </w:tc>
        <w:tc>
          <w:tcPr>
            <w:tcW w:w="1880" w:type="dxa"/>
            <w:vAlign w:val="bottom"/>
            <w:tcBorders>
              <w:bottom w:val="single" w:sz="8" w:color="F0533D"/>
            </w:tcBorders>
          </w:tcPr>
          <w:p>
            <w:pPr>
              <w:jc w:val="center"/>
              <w:ind w:left="163"/>
              <w:spacing w:after="0"/>
              <w:rPr>
                <w:sz w:val="20"/>
                <w:szCs w:val="20"/>
                <w:color w:val="auto"/>
              </w:rPr>
            </w:pPr>
            <w:r>
              <w:rPr>
                <w:rFonts w:ascii="Arial" w:cs="Arial" w:eastAsia="Arial" w:hAnsi="Arial"/>
                <w:sz w:val="14"/>
                <w:szCs w:val="14"/>
                <w:b w:val="1"/>
                <w:bCs w:val="1"/>
                <w:color w:val="F0533D"/>
              </w:rPr>
              <w:t>Performance</w:t>
            </w:r>
          </w:p>
        </w:tc>
      </w:tr>
      <w:tr>
        <w:trPr>
          <w:trHeight w:val="231"/>
        </w:trPr>
        <w:tc>
          <w:tcPr>
            <w:tcW w:w="212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Below Threshold</w:t>
            </w:r>
          </w:p>
        </w:tc>
        <w:tc>
          <w:tcPr>
            <w:tcW w:w="1920" w:type="dxa"/>
            <w:vAlign w:val="bottom"/>
            <w:tcBorders>
              <w:bottom w:val="single" w:sz="8" w:color="939598"/>
            </w:tcBorders>
          </w:tcPr>
          <w:p>
            <w:pPr>
              <w:jc w:val="center"/>
              <w:ind w:left="303"/>
              <w:spacing w:after="0"/>
              <w:rPr>
                <w:sz w:val="20"/>
                <w:szCs w:val="20"/>
                <w:color w:val="auto"/>
              </w:rPr>
            </w:pPr>
            <w:r>
              <w:rPr>
                <w:rFonts w:ascii="Arial" w:cs="Arial" w:eastAsia="Arial" w:hAnsi="Arial"/>
                <w:sz w:val="17"/>
                <w:szCs w:val="17"/>
                <w:color w:val="auto"/>
              </w:rPr>
              <w:t>Below 80%</w:t>
            </w:r>
          </w:p>
        </w:tc>
        <w:tc>
          <w:tcPr>
            <w:tcW w:w="156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0%</w:t>
            </w:r>
          </w:p>
        </w:tc>
        <w:tc>
          <w:tcPr>
            <w:tcW w:w="1380" w:type="dxa"/>
            <w:vAlign w:val="bottom"/>
            <w:tcBorders>
              <w:bottom w:val="single" w:sz="8" w:color="939598"/>
            </w:tcBorders>
          </w:tcPr>
          <w:p>
            <w:pPr>
              <w:spacing w:after="0"/>
              <w:rPr>
                <w:sz w:val="20"/>
                <w:szCs w:val="20"/>
                <w:color w:val="auto"/>
              </w:rPr>
            </w:pPr>
          </w:p>
        </w:tc>
        <w:tc>
          <w:tcPr>
            <w:tcW w:w="1880" w:type="dxa"/>
            <w:vAlign w:val="bottom"/>
            <w:tcBorders>
              <w:bottom w:val="single" w:sz="8" w:color="939598"/>
            </w:tcBorders>
          </w:tcPr>
          <w:p>
            <w:pPr>
              <w:spacing w:after="0"/>
              <w:rPr>
                <w:sz w:val="20"/>
                <w:szCs w:val="20"/>
                <w:color w:val="auto"/>
              </w:rPr>
            </w:pPr>
          </w:p>
        </w:tc>
      </w:tr>
      <w:tr>
        <w:trPr>
          <w:trHeight w:val="283"/>
        </w:trPr>
        <w:tc>
          <w:tcPr>
            <w:tcW w:w="212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Threshold</w:t>
            </w:r>
          </w:p>
        </w:tc>
        <w:tc>
          <w:tcPr>
            <w:tcW w:w="1920" w:type="dxa"/>
            <w:vAlign w:val="bottom"/>
            <w:tcBorders>
              <w:bottom w:val="single" w:sz="8" w:color="939598"/>
            </w:tcBorders>
          </w:tcPr>
          <w:p>
            <w:pPr>
              <w:jc w:val="center"/>
              <w:ind w:left="303"/>
              <w:spacing w:after="0"/>
              <w:rPr>
                <w:sz w:val="20"/>
                <w:szCs w:val="20"/>
                <w:color w:val="auto"/>
              </w:rPr>
            </w:pPr>
            <w:r>
              <w:rPr>
                <w:rFonts w:ascii="Arial" w:cs="Arial" w:eastAsia="Arial" w:hAnsi="Arial"/>
                <w:sz w:val="17"/>
                <w:szCs w:val="17"/>
                <w:color w:val="auto"/>
                <w:w w:val="99"/>
              </w:rPr>
              <w:t>80%</w:t>
            </w:r>
          </w:p>
        </w:tc>
        <w:tc>
          <w:tcPr>
            <w:tcW w:w="156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50%</w:t>
            </w:r>
          </w:p>
        </w:tc>
        <w:tc>
          <w:tcPr>
            <w:tcW w:w="1380" w:type="dxa"/>
            <w:vAlign w:val="bottom"/>
            <w:tcBorders>
              <w:bottom w:val="single" w:sz="8" w:color="939598"/>
            </w:tcBorders>
          </w:tcPr>
          <w:p>
            <w:pPr>
              <w:jc w:val="center"/>
              <w:spacing w:after="0" w:line="284" w:lineRule="exact"/>
              <w:rPr>
                <w:sz w:val="20"/>
                <w:szCs w:val="20"/>
                <w:color w:val="auto"/>
              </w:rPr>
            </w:pPr>
            <w:r>
              <w:rPr>
                <w:rFonts w:ascii="Arial" w:cs="Arial" w:eastAsia="Arial" w:hAnsi="Arial"/>
                <w:sz w:val="17"/>
                <w:szCs w:val="17"/>
                <w:color w:val="auto"/>
                <w:w w:val="86"/>
              </w:rPr>
              <w:t>25</w:t>
            </w:r>
            <w:r>
              <w:rPr>
                <w:rFonts w:ascii="Arial" w:cs="Arial" w:eastAsia="Arial" w:hAnsi="Arial"/>
                <w:sz w:val="28"/>
                <w:szCs w:val="28"/>
                <w:color w:val="auto"/>
                <w:w w:val="86"/>
                <w:vertAlign w:val="superscript"/>
              </w:rPr>
              <w:t>th</w:t>
            </w:r>
          </w:p>
        </w:tc>
        <w:tc>
          <w:tcPr>
            <w:tcW w:w="1880" w:type="dxa"/>
            <w:vAlign w:val="bottom"/>
            <w:tcBorders>
              <w:bottom w:val="single" w:sz="8" w:color="939598"/>
            </w:tcBorders>
          </w:tcPr>
          <w:p>
            <w:pPr>
              <w:jc w:val="right"/>
              <w:ind w:right="543"/>
              <w:spacing w:after="0"/>
              <w:rPr>
                <w:sz w:val="20"/>
                <w:szCs w:val="20"/>
                <w:color w:val="auto"/>
              </w:rPr>
            </w:pPr>
            <w:r>
              <w:rPr>
                <w:rFonts w:ascii="Arial" w:cs="Arial" w:eastAsia="Arial" w:hAnsi="Arial"/>
                <w:sz w:val="17"/>
                <w:szCs w:val="17"/>
                <w:color w:val="auto"/>
              </w:rPr>
              <w:t>-20%</w:t>
            </w:r>
          </w:p>
        </w:tc>
      </w:tr>
      <w:tr>
        <w:trPr>
          <w:trHeight w:val="277"/>
        </w:trPr>
        <w:tc>
          <w:tcPr>
            <w:tcW w:w="212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Target</w:t>
            </w:r>
          </w:p>
        </w:tc>
        <w:tc>
          <w:tcPr>
            <w:tcW w:w="1920" w:type="dxa"/>
            <w:vAlign w:val="bottom"/>
            <w:tcBorders>
              <w:bottom w:val="single" w:sz="8" w:color="939598"/>
            </w:tcBorders>
          </w:tcPr>
          <w:p>
            <w:pPr>
              <w:jc w:val="center"/>
              <w:ind w:left="283"/>
              <w:spacing w:after="0"/>
              <w:rPr>
                <w:sz w:val="20"/>
                <w:szCs w:val="20"/>
                <w:color w:val="auto"/>
              </w:rPr>
            </w:pPr>
            <w:r>
              <w:rPr>
                <w:rFonts w:ascii="Arial" w:cs="Arial" w:eastAsia="Arial" w:hAnsi="Arial"/>
                <w:sz w:val="17"/>
                <w:szCs w:val="17"/>
                <w:color w:val="auto"/>
              </w:rPr>
              <w:t>100%</w:t>
            </w:r>
          </w:p>
        </w:tc>
        <w:tc>
          <w:tcPr>
            <w:tcW w:w="156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6"/>
              </w:rPr>
              <w:t>100%</w:t>
            </w:r>
          </w:p>
        </w:tc>
        <w:tc>
          <w:tcPr>
            <w:tcW w:w="1380" w:type="dxa"/>
            <w:vAlign w:val="bottom"/>
            <w:tcBorders>
              <w:bottom w:val="single" w:sz="8" w:color="939598"/>
            </w:tcBorders>
          </w:tcPr>
          <w:p>
            <w:pPr>
              <w:jc w:val="center"/>
              <w:spacing w:after="0" w:line="277" w:lineRule="exact"/>
              <w:rPr>
                <w:sz w:val="20"/>
                <w:szCs w:val="20"/>
                <w:color w:val="auto"/>
              </w:rPr>
            </w:pPr>
            <w:r>
              <w:rPr>
                <w:rFonts w:ascii="Arial" w:cs="Arial" w:eastAsia="Arial" w:hAnsi="Arial"/>
                <w:sz w:val="17"/>
                <w:szCs w:val="17"/>
                <w:color w:val="auto"/>
                <w:w w:val="86"/>
              </w:rPr>
              <w:t>50</w:t>
            </w:r>
            <w:r>
              <w:rPr>
                <w:rFonts w:ascii="Arial" w:cs="Arial" w:eastAsia="Arial" w:hAnsi="Arial"/>
                <w:sz w:val="28"/>
                <w:szCs w:val="28"/>
                <w:color w:val="auto"/>
                <w:w w:val="86"/>
                <w:vertAlign w:val="superscript"/>
              </w:rPr>
              <w:t>th</w:t>
            </w:r>
          </w:p>
        </w:tc>
        <w:tc>
          <w:tcPr>
            <w:tcW w:w="1880" w:type="dxa"/>
            <w:vAlign w:val="bottom"/>
            <w:tcBorders>
              <w:bottom w:val="single" w:sz="8" w:color="939598"/>
            </w:tcBorders>
          </w:tcPr>
          <w:p>
            <w:pPr>
              <w:jc w:val="center"/>
              <w:ind w:left="143"/>
              <w:spacing w:after="0"/>
              <w:rPr>
                <w:sz w:val="20"/>
                <w:szCs w:val="20"/>
                <w:color w:val="auto"/>
              </w:rPr>
            </w:pPr>
            <w:r>
              <w:rPr>
                <w:rFonts w:ascii="Arial" w:cs="Arial" w:eastAsia="Arial" w:hAnsi="Arial"/>
                <w:sz w:val="17"/>
                <w:szCs w:val="17"/>
                <w:color w:val="auto"/>
              </w:rPr>
              <w:t>No adjustment</w:t>
            </w:r>
          </w:p>
        </w:tc>
      </w:tr>
      <w:tr>
        <w:trPr>
          <w:trHeight w:val="250"/>
        </w:trPr>
        <w:tc>
          <w:tcPr>
            <w:tcW w:w="2120" w:type="dxa"/>
            <w:vAlign w:val="bottom"/>
            <w:tcBorders>
              <w:bottom w:val="single" w:sz="8" w:color="F0533D"/>
            </w:tcBorders>
          </w:tcPr>
          <w:p>
            <w:pPr>
              <w:ind w:left="140"/>
              <w:spacing w:after="0"/>
              <w:rPr>
                <w:sz w:val="20"/>
                <w:szCs w:val="20"/>
                <w:color w:val="auto"/>
              </w:rPr>
            </w:pPr>
            <w:r>
              <w:rPr>
                <w:rFonts w:ascii="Arial" w:cs="Arial" w:eastAsia="Arial" w:hAnsi="Arial"/>
                <w:sz w:val="17"/>
                <w:szCs w:val="17"/>
                <w:color w:val="auto"/>
              </w:rPr>
              <w:t>Maximum</w:t>
            </w:r>
          </w:p>
        </w:tc>
        <w:tc>
          <w:tcPr>
            <w:tcW w:w="1920" w:type="dxa"/>
            <w:vAlign w:val="bottom"/>
            <w:tcBorders>
              <w:bottom w:val="single" w:sz="8" w:color="F0533D"/>
            </w:tcBorders>
          </w:tcPr>
          <w:p>
            <w:pPr>
              <w:jc w:val="center"/>
              <w:ind w:left="283"/>
              <w:spacing w:after="0"/>
              <w:rPr>
                <w:sz w:val="20"/>
                <w:szCs w:val="20"/>
                <w:color w:val="auto"/>
              </w:rPr>
            </w:pPr>
            <w:r>
              <w:rPr>
                <w:rFonts w:ascii="Arial" w:cs="Arial" w:eastAsia="Arial" w:hAnsi="Arial"/>
                <w:sz w:val="17"/>
                <w:szCs w:val="17"/>
                <w:color w:val="auto"/>
              </w:rPr>
              <w:t>120%</w:t>
            </w:r>
          </w:p>
        </w:tc>
        <w:tc>
          <w:tcPr>
            <w:tcW w:w="1560" w:type="dxa"/>
            <w:vAlign w:val="bottom"/>
            <w:tcBorders>
              <w:bottom w:val="single" w:sz="8" w:color="F0533D"/>
            </w:tcBorders>
          </w:tcPr>
          <w:p>
            <w:pPr>
              <w:jc w:val="center"/>
              <w:spacing w:after="0"/>
              <w:rPr>
                <w:sz w:val="20"/>
                <w:szCs w:val="20"/>
                <w:color w:val="auto"/>
              </w:rPr>
            </w:pPr>
            <w:r>
              <w:rPr>
                <w:rFonts w:ascii="Arial" w:cs="Arial" w:eastAsia="Arial" w:hAnsi="Arial"/>
                <w:sz w:val="17"/>
                <w:szCs w:val="17"/>
                <w:color w:val="auto"/>
                <w:w w:val="96"/>
              </w:rPr>
              <w:t>150%</w:t>
            </w:r>
          </w:p>
        </w:tc>
        <w:tc>
          <w:tcPr>
            <w:tcW w:w="1380" w:type="dxa"/>
            <w:vAlign w:val="bottom"/>
            <w:tcBorders>
              <w:bottom w:val="single" w:sz="8" w:color="F0533D"/>
            </w:tcBorders>
          </w:tcPr>
          <w:p>
            <w:pPr>
              <w:jc w:val="center"/>
              <w:spacing w:after="0" w:line="250" w:lineRule="exact"/>
              <w:rPr>
                <w:sz w:val="20"/>
                <w:szCs w:val="20"/>
                <w:color w:val="auto"/>
              </w:rPr>
            </w:pPr>
            <w:r>
              <w:rPr>
                <w:rFonts w:ascii="Arial" w:cs="Arial" w:eastAsia="Arial" w:hAnsi="Arial"/>
                <w:sz w:val="17"/>
                <w:szCs w:val="17"/>
                <w:color w:val="auto"/>
                <w:w w:val="86"/>
              </w:rPr>
              <w:t>75</w:t>
            </w:r>
            <w:r>
              <w:rPr>
                <w:rFonts w:ascii="Arial" w:cs="Arial" w:eastAsia="Arial" w:hAnsi="Arial"/>
                <w:sz w:val="28"/>
                <w:szCs w:val="28"/>
                <w:color w:val="auto"/>
                <w:w w:val="86"/>
                <w:vertAlign w:val="superscript"/>
              </w:rPr>
              <w:t>th</w:t>
            </w:r>
          </w:p>
        </w:tc>
        <w:tc>
          <w:tcPr>
            <w:tcW w:w="1880" w:type="dxa"/>
            <w:vAlign w:val="bottom"/>
            <w:tcBorders>
              <w:bottom w:val="single" w:sz="8" w:color="F0533D"/>
            </w:tcBorders>
          </w:tcPr>
          <w:p>
            <w:pPr>
              <w:jc w:val="right"/>
              <w:ind w:right="523"/>
              <w:spacing w:after="0"/>
              <w:rPr>
                <w:sz w:val="20"/>
                <w:szCs w:val="20"/>
                <w:color w:val="auto"/>
              </w:rPr>
            </w:pPr>
            <w:r>
              <w:rPr>
                <w:rFonts w:ascii="Arial" w:cs="Arial" w:eastAsia="Arial" w:hAnsi="Arial"/>
                <w:sz w:val="17"/>
                <w:szCs w:val="17"/>
                <w:color w:val="auto"/>
              </w:rPr>
              <w:t>+20%</w:t>
            </w:r>
          </w:p>
        </w:tc>
      </w:tr>
    </w:tbl>
    <w:p>
      <w:pPr>
        <w:spacing w:after="0" w:line="140" w:lineRule="exact"/>
        <w:rPr>
          <w:sz w:val="20"/>
          <w:szCs w:val="20"/>
          <w:color w:val="auto"/>
        </w:rPr>
      </w:pPr>
    </w:p>
    <w:p>
      <w:pPr>
        <w:jc w:val="both"/>
        <w:ind w:left="80" w:right="659"/>
        <w:spacing w:after="0" w:line="249" w:lineRule="auto"/>
        <w:rPr>
          <w:sz w:val="20"/>
          <w:szCs w:val="20"/>
          <w:color w:val="auto"/>
        </w:rPr>
      </w:pPr>
      <w:r>
        <w:rPr>
          <w:rFonts w:ascii="Arial" w:cs="Arial" w:eastAsia="Arial" w:hAnsi="Arial"/>
          <w:sz w:val="17"/>
          <w:szCs w:val="17"/>
          <w:color w:val="auto"/>
        </w:rPr>
        <w:t>If actual performance with respect to a performance criterion falls between the Threshold and Target levels of achievement or the Target and Maximum levels of achievement, then the percentage of PSUs that vest will be determined by linear interpolation. In all events, PSU payouts are capped at 180% of target.</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59"/>
        <w:spacing w:after="0" w:line="244" w:lineRule="auto"/>
        <w:rPr>
          <w:sz w:val="20"/>
          <w:szCs w:val="20"/>
          <w:color w:val="auto"/>
        </w:rPr>
      </w:pPr>
      <w:r>
        <w:rPr>
          <w:rFonts w:ascii="Arial" w:cs="Arial" w:eastAsia="Arial" w:hAnsi="Arial"/>
          <w:sz w:val="17"/>
          <w:szCs w:val="17"/>
          <w:color w:val="auto"/>
        </w:rPr>
        <w:t>The table below sets forth the total target value of the fiscal 2026 long-term equity incentive awards made to each NEO and represent the percentages of their respective total target compensation, as well as the fair market value on the grant date of the RSUs and the target value of the PSUs, assuming that the target level of performance is achieved during the performance period (beginning April 1, 2025 and ending March 31, 2028).</w:t>
      </w:r>
    </w:p>
    <w:p>
      <w:pPr>
        <w:spacing w:after="0" w:line="217"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center"/>
              <w:ind w:right="218"/>
              <w:spacing w:after="0"/>
              <w:rPr>
                <w:sz w:val="20"/>
                <w:szCs w:val="20"/>
                <w:color w:val="auto"/>
              </w:rPr>
            </w:pPr>
            <w:r>
              <w:rPr>
                <w:rFonts w:ascii="Arial" w:cs="Arial" w:eastAsia="Arial" w:hAnsi="Arial"/>
                <w:sz w:val="14"/>
                <w:szCs w:val="14"/>
                <w:b w:val="1"/>
                <w:bCs w:val="1"/>
                <w:color w:val="F0533D"/>
              </w:rPr>
              <w:t>(B)</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F0533D"/>
              </w:rPr>
              <w:t>Annual LTI At-Risk</w:t>
            </w:r>
          </w:p>
        </w:tc>
      </w:tr>
      <w:tr>
        <w:trPr>
          <w:trHeight w:val="162"/>
        </w:trPr>
        <w:tc>
          <w:tcPr>
            <w:tcW w:w="2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jc w:val="center"/>
              <w:ind w:right="258"/>
              <w:spacing w:after="0"/>
              <w:rPr>
                <w:sz w:val="20"/>
                <w:szCs w:val="20"/>
                <w:color w:val="auto"/>
              </w:rPr>
            </w:pPr>
            <w:r>
              <w:rPr>
                <w:rFonts w:ascii="Arial" w:cs="Arial" w:eastAsia="Arial" w:hAnsi="Arial"/>
                <w:sz w:val="14"/>
                <w:szCs w:val="14"/>
                <w:b w:val="1"/>
                <w:bCs w:val="1"/>
                <w:color w:val="F0533D"/>
              </w:rPr>
              <w:t>(A)</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F0533D"/>
              </w:rPr>
              <w:t>PSU Adjusted</w:t>
            </w:r>
          </w:p>
        </w:tc>
        <w:tc>
          <w:tcPr>
            <w:tcW w:w="320" w:type="dxa"/>
            <w:vAlign w:val="bottom"/>
          </w:tcPr>
          <w:p>
            <w:pPr>
              <w:spacing w:after="0"/>
              <w:rPr>
                <w:sz w:val="14"/>
                <w:szCs w:val="14"/>
                <w:color w:val="auto"/>
              </w:rPr>
            </w:pPr>
          </w:p>
        </w:tc>
        <w:tc>
          <w:tcPr>
            <w:tcW w:w="980" w:type="dxa"/>
            <w:vAlign w:val="bottom"/>
          </w:tcPr>
          <w:p>
            <w:pPr>
              <w:jc w:val="center"/>
              <w:ind w:right="278"/>
              <w:spacing w:after="0"/>
              <w:rPr>
                <w:sz w:val="20"/>
                <w:szCs w:val="20"/>
                <w:color w:val="auto"/>
              </w:rPr>
            </w:pPr>
            <w:r>
              <w:rPr>
                <w:rFonts w:ascii="Arial" w:cs="Arial" w:eastAsia="Arial" w:hAnsi="Arial"/>
                <w:sz w:val="14"/>
                <w:szCs w:val="14"/>
                <w:b w:val="1"/>
                <w:bCs w:val="1"/>
                <w:color w:val="F0533D"/>
                <w:w w:val="99"/>
              </w:rPr>
              <w:t>Total LTI</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F0533D"/>
              </w:rPr>
              <w:t>(% of Total</w:t>
            </w:r>
          </w:p>
        </w:tc>
      </w:tr>
      <w:tr>
        <w:trPr>
          <w:trHeight w:val="162"/>
        </w:trPr>
        <w:tc>
          <w:tcPr>
            <w:tcW w:w="2640" w:type="dxa"/>
            <w:vAlign w:val="bottom"/>
          </w:tcPr>
          <w:p>
            <w:pPr>
              <w:spacing w:after="0"/>
              <w:rPr>
                <w:sz w:val="14"/>
                <w:szCs w:val="14"/>
                <w:color w:val="auto"/>
              </w:rPr>
            </w:pPr>
          </w:p>
        </w:tc>
        <w:tc>
          <w:tcPr>
            <w:tcW w:w="202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F0533D"/>
              </w:rPr>
              <w:t>RSU Award</w:t>
            </w:r>
          </w:p>
        </w:tc>
        <w:tc>
          <w:tcPr>
            <w:tcW w:w="280" w:type="dxa"/>
            <w:vAlign w:val="bottom"/>
          </w:tcPr>
          <w:p>
            <w:pPr>
              <w:spacing w:after="0"/>
              <w:rPr>
                <w:sz w:val="14"/>
                <w:szCs w:val="14"/>
                <w:color w:val="auto"/>
              </w:rPr>
            </w:pPr>
          </w:p>
        </w:tc>
        <w:tc>
          <w:tcPr>
            <w:tcW w:w="1020" w:type="dxa"/>
            <w:vAlign w:val="bottom"/>
          </w:tcPr>
          <w:p>
            <w:pPr>
              <w:jc w:val="center"/>
              <w:ind w:right="218"/>
              <w:spacing w:after="0"/>
              <w:rPr>
                <w:sz w:val="20"/>
                <w:szCs w:val="20"/>
                <w:color w:val="auto"/>
              </w:rPr>
            </w:pPr>
            <w:r>
              <w:rPr>
                <w:rFonts w:ascii="Arial" w:cs="Arial" w:eastAsia="Arial" w:hAnsi="Arial"/>
                <w:sz w:val="14"/>
                <w:szCs w:val="14"/>
                <w:b w:val="1"/>
                <w:bCs w:val="1"/>
                <w:color w:val="F0533D"/>
              </w:rPr>
              <w:t>Operating</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F0533D"/>
                <w:w w:val="99"/>
              </w:rPr>
              <w:t>Award Value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F0533D"/>
              </w:rPr>
              <w:t>Target</w:t>
            </w:r>
          </w:p>
        </w:tc>
      </w:tr>
      <w:tr>
        <w:trPr>
          <w:trHeight w:val="216"/>
        </w:trPr>
        <w:tc>
          <w:tcPr>
            <w:tcW w:w="2640" w:type="dxa"/>
            <w:vAlign w:val="bottom"/>
            <w:tcBorders>
              <w:bottom w:val="single" w:sz="8" w:color="F0533D"/>
            </w:tcBorders>
          </w:tcPr>
          <w:p>
            <w:pPr>
              <w:ind w:left="140"/>
              <w:spacing w:after="0"/>
              <w:rPr>
                <w:sz w:val="20"/>
                <w:szCs w:val="20"/>
                <w:color w:val="auto"/>
              </w:rPr>
            </w:pPr>
            <w:r>
              <w:rPr>
                <w:rFonts w:ascii="Arial" w:cs="Arial" w:eastAsia="Arial" w:hAnsi="Arial"/>
                <w:sz w:val="14"/>
                <w:szCs w:val="14"/>
                <w:b w:val="1"/>
                <w:bCs w:val="1"/>
                <w:color w:val="F0533D"/>
              </w:rPr>
              <w:t>Name</w:t>
            </w:r>
          </w:p>
        </w:tc>
        <w:tc>
          <w:tcPr>
            <w:tcW w:w="1120" w:type="dxa"/>
            <w:vAlign w:val="bottom"/>
            <w:tcBorders>
              <w:bottom w:val="single" w:sz="8" w:color="F0533D"/>
            </w:tcBorders>
          </w:tcPr>
          <w:p>
            <w:pPr>
              <w:spacing w:after="0"/>
              <w:rPr>
                <w:sz w:val="18"/>
                <w:szCs w:val="18"/>
                <w:color w:val="auto"/>
              </w:rPr>
            </w:pPr>
          </w:p>
        </w:tc>
        <w:tc>
          <w:tcPr>
            <w:tcW w:w="900" w:type="dxa"/>
            <w:vAlign w:val="bottom"/>
            <w:tcBorders>
              <w:bottom w:val="single" w:sz="8" w:color="F0533D"/>
            </w:tcBorders>
          </w:tcPr>
          <w:p>
            <w:pPr>
              <w:jc w:val="center"/>
              <w:ind w:right="218"/>
              <w:spacing w:after="0" w:line="216" w:lineRule="exact"/>
              <w:rPr>
                <w:sz w:val="20"/>
                <w:szCs w:val="20"/>
                <w:color w:val="auto"/>
              </w:rPr>
            </w:pPr>
            <w:r>
              <w:rPr>
                <w:rFonts w:ascii="Arial" w:cs="Arial" w:eastAsia="Arial" w:hAnsi="Arial"/>
                <w:sz w:val="14"/>
                <w:szCs w:val="14"/>
                <w:b w:val="1"/>
                <w:bCs w:val="1"/>
                <w:color w:val="F0533D"/>
                <w:w w:val="92"/>
              </w:rPr>
              <w:t>Value</w:t>
            </w:r>
            <w:r>
              <w:rPr>
                <w:rFonts w:ascii="Arial" w:cs="Arial" w:eastAsia="Arial" w:hAnsi="Arial"/>
                <w:sz w:val="23"/>
                <w:szCs w:val="23"/>
                <w:b w:val="1"/>
                <w:bCs w:val="1"/>
                <w:color w:val="F0533D"/>
                <w:w w:val="92"/>
                <w:vertAlign w:val="superscript"/>
              </w:rPr>
              <w:t>(1)</w:t>
            </w:r>
          </w:p>
        </w:tc>
        <w:tc>
          <w:tcPr>
            <w:tcW w:w="1300" w:type="dxa"/>
            <w:vAlign w:val="bottom"/>
            <w:tcBorders>
              <w:bottom w:val="single" w:sz="8" w:color="F0533D"/>
            </w:tcBorders>
            <w:gridSpan w:val="2"/>
          </w:tcPr>
          <w:p>
            <w:pPr>
              <w:jc w:val="center"/>
              <w:spacing w:after="0" w:line="216" w:lineRule="exact"/>
              <w:rPr>
                <w:sz w:val="20"/>
                <w:szCs w:val="20"/>
                <w:color w:val="auto"/>
              </w:rPr>
            </w:pPr>
            <w:r>
              <w:rPr>
                <w:rFonts w:ascii="Arial" w:cs="Arial" w:eastAsia="Arial" w:hAnsi="Arial"/>
                <w:sz w:val="14"/>
                <w:szCs w:val="14"/>
                <w:b w:val="1"/>
                <w:bCs w:val="1"/>
                <w:color w:val="F0533D"/>
                <w:w w:val="96"/>
              </w:rPr>
              <w:t>Cash Flow</w:t>
            </w:r>
            <w:r>
              <w:rPr>
                <w:rFonts w:ascii="Arial" w:cs="Arial" w:eastAsia="Arial" w:hAnsi="Arial"/>
                <w:sz w:val="23"/>
                <w:szCs w:val="23"/>
                <w:b w:val="1"/>
                <w:bCs w:val="1"/>
                <w:color w:val="F0533D"/>
                <w:w w:val="96"/>
                <w:vertAlign w:val="superscript"/>
              </w:rPr>
              <w:t>(2)</w:t>
            </w:r>
          </w:p>
        </w:tc>
        <w:tc>
          <w:tcPr>
            <w:tcW w:w="320" w:type="dxa"/>
            <w:vAlign w:val="bottom"/>
            <w:tcBorders>
              <w:bottom w:val="single" w:sz="8" w:color="F0533D"/>
            </w:tcBorders>
          </w:tcPr>
          <w:p>
            <w:pPr>
              <w:spacing w:after="0"/>
              <w:rPr>
                <w:sz w:val="18"/>
                <w:szCs w:val="18"/>
                <w:color w:val="auto"/>
              </w:rPr>
            </w:pPr>
          </w:p>
        </w:tc>
        <w:tc>
          <w:tcPr>
            <w:tcW w:w="980" w:type="dxa"/>
            <w:vAlign w:val="bottom"/>
            <w:tcBorders>
              <w:bottom w:val="single" w:sz="8" w:color="F0533D"/>
            </w:tcBorders>
          </w:tcPr>
          <w:p>
            <w:pPr>
              <w:jc w:val="center"/>
              <w:ind w:right="218"/>
              <w:spacing w:after="0"/>
              <w:rPr>
                <w:sz w:val="20"/>
                <w:szCs w:val="20"/>
                <w:color w:val="auto"/>
              </w:rPr>
            </w:pPr>
            <w:r>
              <w:rPr>
                <w:rFonts w:ascii="Arial" w:cs="Arial" w:eastAsia="Arial" w:hAnsi="Arial"/>
                <w:sz w:val="14"/>
                <w:szCs w:val="14"/>
                <w:b w:val="1"/>
                <w:bCs w:val="1"/>
                <w:color w:val="F0533D"/>
              </w:rPr>
              <w:t>(A+ B)</w:t>
            </w:r>
          </w:p>
        </w:tc>
        <w:tc>
          <w:tcPr>
            <w:tcW w:w="16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Compensation)</w:t>
            </w:r>
          </w:p>
        </w:tc>
      </w:tr>
      <w:tr>
        <w:trPr>
          <w:trHeight w:val="230"/>
        </w:trPr>
        <w:tc>
          <w:tcPr>
            <w:tcW w:w="264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Martin Schroeter</w:t>
            </w:r>
          </w:p>
        </w:tc>
        <w:tc>
          <w:tcPr>
            <w:tcW w:w="2020" w:type="dxa"/>
            <w:vAlign w:val="bottom"/>
            <w:tcBorders>
              <w:bottom w:val="single" w:sz="8" w:color="939598"/>
            </w:tcBorders>
            <w:gridSpan w:val="2"/>
          </w:tcPr>
          <w:p>
            <w:pPr>
              <w:ind w:left="980"/>
              <w:spacing w:after="0"/>
              <w:rPr>
                <w:sz w:val="20"/>
                <w:szCs w:val="20"/>
                <w:color w:val="auto"/>
              </w:rPr>
            </w:pPr>
            <w:r>
              <w:rPr>
                <w:rFonts w:ascii="Arial" w:cs="Arial" w:eastAsia="Arial" w:hAnsi="Arial"/>
                <w:sz w:val="17"/>
                <w:szCs w:val="17"/>
                <w:color w:val="auto"/>
              </w:rPr>
              <w:t>$6,300,000</w:t>
            </w:r>
          </w:p>
        </w:tc>
        <w:tc>
          <w:tcPr>
            <w:tcW w:w="1300" w:type="dxa"/>
            <w:vAlign w:val="bottom"/>
            <w:tcBorders>
              <w:bottom w:val="single" w:sz="8" w:color="939598"/>
            </w:tcBorders>
            <w:gridSpan w:val="2"/>
          </w:tcPr>
          <w:p>
            <w:pPr>
              <w:ind w:left="160"/>
              <w:spacing w:after="0"/>
              <w:rPr>
                <w:sz w:val="20"/>
                <w:szCs w:val="20"/>
                <w:color w:val="auto"/>
              </w:rPr>
            </w:pPr>
            <w:r>
              <w:rPr>
                <w:rFonts w:ascii="Arial" w:cs="Arial" w:eastAsia="Arial" w:hAnsi="Arial"/>
                <w:sz w:val="17"/>
                <w:szCs w:val="17"/>
                <w:color w:val="auto"/>
              </w:rPr>
              <w:t>$11,700,000</w:t>
            </w:r>
          </w:p>
        </w:tc>
        <w:tc>
          <w:tcPr>
            <w:tcW w:w="1300" w:type="dxa"/>
            <w:vAlign w:val="bottom"/>
            <w:tcBorders>
              <w:bottom w:val="single" w:sz="8" w:color="939598"/>
            </w:tcBorders>
            <w:gridSpan w:val="2"/>
          </w:tcPr>
          <w:p>
            <w:pPr>
              <w:ind w:left="180"/>
              <w:spacing w:after="0"/>
              <w:rPr>
                <w:sz w:val="20"/>
                <w:szCs w:val="20"/>
                <w:color w:val="auto"/>
              </w:rPr>
            </w:pPr>
            <w:r>
              <w:rPr>
                <w:rFonts w:ascii="Arial" w:cs="Arial" w:eastAsia="Arial" w:hAnsi="Arial"/>
                <w:sz w:val="17"/>
                <w:szCs w:val="17"/>
                <w:color w:val="auto"/>
              </w:rPr>
              <w:t>$18,000,000</w:t>
            </w:r>
          </w:p>
        </w:tc>
        <w:tc>
          <w:tcPr>
            <w:tcW w:w="1600" w:type="dxa"/>
            <w:vAlign w:val="bottom"/>
            <w:tcBorders>
              <w:bottom w:val="single" w:sz="8" w:color="939598"/>
            </w:tcBorders>
          </w:tcPr>
          <w:p>
            <w:pPr>
              <w:jc w:val="right"/>
              <w:ind w:right="479"/>
              <w:spacing w:after="0"/>
              <w:rPr>
                <w:sz w:val="20"/>
                <w:szCs w:val="20"/>
                <w:color w:val="auto"/>
              </w:rPr>
            </w:pPr>
            <w:r>
              <w:rPr>
                <w:rFonts w:ascii="Arial" w:cs="Arial" w:eastAsia="Arial" w:hAnsi="Arial"/>
                <w:sz w:val="17"/>
                <w:szCs w:val="17"/>
                <w:color w:val="auto"/>
              </w:rPr>
              <w:t>80%</w:t>
            </w:r>
          </w:p>
        </w:tc>
      </w:tr>
      <w:tr>
        <w:trPr>
          <w:trHeight w:val="283"/>
        </w:trPr>
        <w:tc>
          <w:tcPr>
            <w:tcW w:w="2640" w:type="dxa"/>
            <w:vAlign w:val="bottom"/>
            <w:tcBorders>
              <w:bottom w:val="single" w:sz="8" w:color="939598"/>
            </w:tcBorders>
          </w:tcPr>
          <w:p>
            <w:pPr>
              <w:ind w:left="140"/>
              <w:spacing w:after="0" w:line="284" w:lineRule="exact"/>
              <w:rPr>
                <w:sz w:val="20"/>
                <w:szCs w:val="20"/>
                <w:color w:val="auto"/>
              </w:rPr>
            </w:pPr>
            <w:r>
              <w:rPr>
                <w:rFonts w:ascii="Arial" w:cs="Arial" w:eastAsia="Arial" w:hAnsi="Arial"/>
                <w:sz w:val="17"/>
                <w:szCs w:val="17"/>
                <w:color w:val="auto"/>
              </w:rPr>
              <w:t>Harsh Chugh</w:t>
            </w:r>
            <w:r>
              <w:rPr>
                <w:rFonts w:ascii="Arial" w:cs="Arial" w:eastAsia="Arial" w:hAnsi="Arial"/>
                <w:sz w:val="28"/>
                <w:szCs w:val="28"/>
                <w:color w:val="auto"/>
                <w:vertAlign w:val="superscript"/>
              </w:rPr>
              <w:t>(3)</w:t>
            </w:r>
          </w:p>
        </w:tc>
        <w:tc>
          <w:tcPr>
            <w:tcW w:w="1120" w:type="dxa"/>
            <w:vAlign w:val="bottom"/>
            <w:tcBorders>
              <w:bottom w:val="single" w:sz="8" w:color="939598"/>
            </w:tcBorders>
          </w:tcPr>
          <w:p>
            <w:pPr>
              <w:ind w:left="98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455,000</w:t>
            </w:r>
          </w:p>
        </w:tc>
        <w:tc>
          <w:tcPr>
            <w:tcW w:w="28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939598"/>
            </w:tcBorders>
          </w:tcPr>
          <w:p>
            <w:pPr>
              <w:jc w:val="right"/>
              <w:ind w:right="138"/>
              <w:spacing w:after="0"/>
              <w:rPr>
                <w:sz w:val="20"/>
                <w:szCs w:val="20"/>
                <w:color w:val="auto"/>
              </w:rPr>
            </w:pPr>
            <w:r>
              <w:rPr>
                <w:rFonts w:ascii="Arial" w:cs="Arial" w:eastAsia="Arial" w:hAnsi="Arial"/>
                <w:sz w:val="17"/>
                <w:szCs w:val="17"/>
                <w:color w:val="auto"/>
              </w:rPr>
              <w:t>845,000</w:t>
            </w:r>
          </w:p>
        </w:tc>
        <w:tc>
          <w:tcPr>
            <w:tcW w:w="320" w:type="dxa"/>
            <w:vAlign w:val="bottom"/>
            <w:tcBorders>
              <w:bottom w:val="single" w:sz="8" w:color="939598"/>
            </w:tcBorders>
          </w:tcPr>
          <w:p>
            <w:pPr>
              <w:ind w:lef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1,300,000</w:t>
            </w:r>
          </w:p>
        </w:tc>
        <w:tc>
          <w:tcPr>
            <w:tcW w:w="1600" w:type="dxa"/>
            <w:vAlign w:val="bottom"/>
            <w:tcBorders>
              <w:bottom w:val="single" w:sz="8" w:color="939598"/>
            </w:tcBorders>
          </w:tcPr>
          <w:p>
            <w:pPr>
              <w:jc w:val="right"/>
              <w:ind w:right="479"/>
              <w:spacing w:after="0"/>
              <w:rPr>
                <w:sz w:val="20"/>
                <w:szCs w:val="20"/>
                <w:color w:val="auto"/>
              </w:rPr>
            </w:pPr>
            <w:r>
              <w:rPr>
                <w:rFonts w:ascii="Arial" w:cs="Arial" w:eastAsia="Arial" w:hAnsi="Arial"/>
                <w:sz w:val="17"/>
                <w:szCs w:val="17"/>
                <w:color w:val="auto"/>
              </w:rPr>
              <w:t>44%</w:t>
            </w:r>
          </w:p>
        </w:tc>
      </w:tr>
      <w:tr>
        <w:trPr>
          <w:trHeight w:val="277"/>
        </w:trPr>
        <w:tc>
          <w:tcPr>
            <w:tcW w:w="2640" w:type="dxa"/>
            <w:vAlign w:val="bottom"/>
            <w:tcBorders>
              <w:bottom w:val="single" w:sz="8" w:color="939598"/>
            </w:tcBorders>
          </w:tcPr>
          <w:p>
            <w:pPr>
              <w:ind w:left="140"/>
              <w:spacing w:after="0" w:line="277" w:lineRule="exact"/>
              <w:rPr>
                <w:sz w:val="20"/>
                <w:szCs w:val="20"/>
                <w:color w:val="auto"/>
              </w:rPr>
            </w:pPr>
            <w:r>
              <w:rPr>
                <w:rFonts w:ascii="Arial" w:cs="Arial" w:eastAsia="Arial" w:hAnsi="Arial"/>
                <w:sz w:val="17"/>
                <w:szCs w:val="17"/>
                <w:color w:val="auto"/>
              </w:rPr>
              <w:t>Elly Keinan</w:t>
            </w:r>
            <w:r>
              <w:rPr>
                <w:rFonts w:ascii="Arial" w:cs="Arial" w:eastAsia="Arial" w:hAnsi="Arial"/>
                <w:sz w:val="28"/>
                <w:szCs w:val="28"/>
                <w:color w:val="auto"/>
                <w:vertAlign w:val="superscript"/>
              </w:rPr>
              <w:t>(3)</w:t>
            </w:r>
          </w:p>
        </w:tc>
        <w:tc>
          <w:tcPr>
            <w:tcW w:w="2020" w:type="dxa"/>
            <w:vAlign w:val="bottom"/>
            <w:tcBorders>
              <w:bottom w:val="single" w:sz="8" w:color="939598"/>
            </w:tcBorders>
            <w:gridSpan w:val="2"/>
          </w:tcPr>
          <w:p>
            <w:pPr>
              <w:ind w:left="980"/>
              <w:spacing w:after="0"/>
              <w:rPr>
                <w:sz w:val="20"/>
                <w:szCs w:val="20"/>
                <w:color w:val="auto"/>
              </w:rPr>
            </w:pPr>
            <w:r>
              <w:rPr>
                <w:rFonts w:ascii="Arial" w:cs="Arial" w:eastAsia="Arial" w:hAnsi="Arial"/>
                <w:sz w:val="17"/>
                <w:szCs w:val="17"/>
                <w:color w:val="auto"/>
              </w:rPr>
              <w:t>$3,150,000</w:t>
            </w:r>
          </w:p>
        </w:tc>
        <w:tc>
          <w:tcPr>
            <w:tcW w:w="28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939598"/>
            </w:tcBorders>
          </w:tcPr>
          <w:p>
            <w:pPr>
              <w:jc w:val="right"/>
              <w:ind w:right="118"/>
              <w:spacing w:after="0"/>
              <w:rPr>
                <w:sz w:val="20"/>
                <w:szCs w:val="20"/>
                <w:color w:val="auto"/>
              </w:rPr>
            </w:pPr>
            <w:r>
              <w:rPr>
                <w:rFonts w:ascii="Arial" w:cs="Arial" w:eastAsia="Arial" w:hAnsi="Arial"/>
                <w:sz w:val="17"/>
                <w:szCs w:val="17"/>
                <w:color w:val="auto"/>
              </w:rPr>
              <w:t>5,850,000</w:t>
            </w:r>
          </w:p>
        </w:tc>
        <w:tc>
          <w:tcPr>
            <w:tcW w:w="320" w:type="dxa"/>
            <w:vAlign w:val="bottom"/>
            <w:tcBorders>
              <w:bottom w:val="single" w:sz="8" w:color="939598"/>
            </w:tcBorders>
          </w:tcPr>
          <w:p>
            <w:pPr>
              <w:ind w:lef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9,000,000</w:t>
            </w:r>
          </w:p>
        </w:tc>
        <w:tc>
          <w:tcPr>
            <w:tcW w:w="1600" w:type="dxa"/>
            <w:vAlign w:val="bottom"/>
            <w:tcBorders>
              <w:bottom w:val="single" w:sz="8" w:color="939598"/>
            </w:tcBorders>
          </w:tcPr>
          <w:p>
            <w:pPr>
              <w:jc w:val="right"/>
              <w:ind w:right="479"/>
              <w:spacing w:after="0"/>
              <w:rPr>
                <w:sz w:val="20"/>
                <w:szCs w:val="20"/>
                <w:color w:val="auto"/>
              </w:rPr>
            </w:pPr>
            <w:r>
              <w:rPr>
                <w:rFonts w:ascii="Arial" w:cs="Arial" w:eastAsia="Arial" w:hAnsi="Arial"/>
                <w:sz w:val="17"/>
                <w:szCs w:val="17"/>
                <w:color w:val="auto"/>
              </w:rPr>
              <w:t>75%</w:t>
            </w:r>
          </w:p>
        </w:tc>
      </w:tr>
      <w:tr>
        <w:trPr>
          <w:trHeight w:val="221"/>
        </w:trPr>
        <w:tc>
          <w:tcPr>
            <w:tcW w:w="264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Maryjo Charbonnier</w:t>
            </w:r>
          </w:p>
        </w:tc>
        <w:tc>
          <w:tcPr>
            <w:tcW w:w="1120" w:type="dxa"/>
            <w:vAlign w:val="bottom"/>
            <w:tcBorders>
              <w:bottom w:val="single" w:sz="8" w:color="939598"/>
            </w:tcBorders>
          </w:tcPr>
          <w:p>
            <w:pPr>
              <w:ind w:left="98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525,000</w:t>
            </w:r>
          </w:p>
        </w:tc>
        <w:tc>
          <w:tcPr>
            <w:tcW w:w="28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939598"/>
            </w:tcBorders>
          </w:tcPr>
          <w:p>
            <w:pPr>
              <w:jc w:val="right"/>
              <w:ind w:right="138"/>
              <w:spacing w:after="0"/>
              <w:rPr>
                <w:sz w:val="20"/>
                <w:szCs w:val="20"/>
                <w:color w:val="auto"/>
              </w:rPr>
            </w:pPr>
            <w:r>
              <w:rPr>
                <w:rFonts w:ascii="Arial" w:cs="Arial" w:eastAsia="Arial" w:hAnsi="Arial"/>
                <w:sz w:val="17"/>
                <w:szCs w:val="17"/>
                <w:color w:val="auto"/>
              </w:rPr>
              <w:t>975,000</w:t>
            </w:r>
          </w:p>
        </w:tc>
        <w:tc>
          <w:tcPr>
            <w:tcW w:w="320" w:type="dxa"/>
            <w:vAlign w:val="bottom"/>
            <w:tcBorders>
              <w:bottom w:val="single" w:sz="8" w:color="939598"/>
            </w:tcBorders>
          </w:tcPr>
          <w:p>
            <w:pPr>
              <w:ind w:lef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1,500,000</w:t>
            </w:r>
          </w:p>
        </w:tc>
        <w:tc>
          <w:tcPr>
            <w:tcW w:w="1600" w:type="dxa"/>
            <w:vAlign w:val="bottom"/>
            <w:tcBorders>
              <w:bottom w:val="single" w:sz="8" w:color="939598"/>
            </w:tcBorders>
          </w:tcPr>
          <w:p>
            <w:pPr>
              <w:jc w:val="right"/>
              <w:ind w:right="479"/>
              <w:spacing w:after="0"/>
              <w:rPr>
                <w:sz w:val="20"/>
                <w:szCs w:val="20"/>
                <w:color w:val="auto"/>
              </w:rPr>
            </w:pPr>
            <w:r>
              <w:rPr>
                <w:rFonts w:ascii="Arial" w:cs="Arial" w:eastAsia="Arial" w:hAnsi="Arial"/>
                <w:sz w:val="17"/>
                <w:szCs w:val="17"/>
                <w:color w:val="auto"/>
              </w:rPr>
              <w:t>49%</w:t>
            </w:r>
          </w:p>
        </w:tc>
      </w:tr>
      <w:tr>
        <w:trPr>
          <w:trHeight w:val="279"/>
        </w:trPr>
        <w:tc>
          <w:tcPr>
            <w:tcW w:w="2640" w:type="dxa"/>
            <w:vAlign w:val="bottom"/>
            <w:tcBorders>
              <w:bottom w:val="single" w:sz="8" w:color="939598"/>
            </w:tcBorders>
          </w:tcPr>
          <w:p>
            <w:pPr>
              <w:ind w:left="140"/>
              <w:spacing w:after="0" w:line="280" w:lineRule="exact"/>
              <w:rPr>
                <w:sz w:val="20"/>
                <w:szCs w:val="20"/>
                <w:color w:val="auto"/>
              </w:rPr>
            </w:pPr>
            <w:r>
              <w:rPr>
                <w:rFonts w:ascii="Arial" w:cs="Arial" w:eastAsia="Arial" w:hAnsi="Arial"/>
                <w:sz w:val="17"/>
                <w:szCs w:val="17"/>
                <w:color w:val="auto"/>
              </w:rPr>
              <w:t>Mark Ringes</w:t>
            </w:r>
            <w:r>
              <w:rPr>
                <w:rFonts w:ascii="Arial" w:cs="Arial" w:eastAsia="Arial" w:hAnsi="Arial"/>
                <w:sz w:val="28"/>
                <w:szCs w:val="28"/>
                <w:color w:val="auto"/>
                <w:vertAlign w:val="superscript"/>
              </w:rPr>
              <w:t>(3)</w:t>
            </w:r>
          </w:p>
        </w:tc>
        <w:tc>
          <w:tcPr>
            <w:tcW w:w="1120" w:type="dxa"/>
            <w:vAlign w:val="bottom"/>
            <w:tcBorders>
              <w:bottom w:val="single" w:sz="8" w:color="939598"/>
            </w:tcBorders>
          </w:tcPr>
          <w:p>
            <w:pPr>
              <w:ind w:left="98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318,500</w:t>
            </w:r>
          </w:p>
        </w:tc>
        <w:tc>
          <w:tcPr>
            <w:tcW w:w="28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939598"/>
            </w:tcBorders>
          </w:tcPr>
          <w:p>
            <w:pPr>
              <w:jc w:val="right"/>
              <w:ind w:right="138"/>
              <w:spacing w:after="0"/>
              <w:rPr>
                <w:sz w:val="20"/>
                <w:szCs w:val="20"/>
                <w:color w:val="auto"/>
              </w:rPr>
            </w:pPr>
            <w:r>
              <w:rPr>
                <w:rFonts w:ascii="Arial" w:cs="Arial" w:eastAsia="Arial" w:hAnsi="Arial"/>
                <w:sz w:val="17"/>
                <w:szCs w:val="17"/>
                <w:color w:val="auto"/>
              </w:rPr>
              <w:t>591,500</w:t>
            </w:r>
          </w:p>
        </w:tc>
        <w:tc>
          <w:tcPr>
            <w:tcW w:w="320" w:type="dxa"/>
            <w:vAlign w:val="bottom"/>
            <w:tcBorders>
              <w:bottom w:val="single" w:sz="8" w:color="939598"/>
            </w:tcBorders>
          </w:tcPr>
          <w:p>
            <w:pPr>
              <w:ind w:lef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910,000</w:t>
            </w:r>
          </w:p>
        </w:tc>
        <w:tc>
          <w:tcPr>
            <w:tcW w:w="1600" w:type="dxa"/>
            <w:vAlign w:val="bottom"/>
            <w:tcBorders>
              <w:bottom w:val="single" w:sz="8" w:color="939598"/>
            </w:tcBorders>
          </w:tcPr>
          <w:p>
            <w:pPr>
              <w:jc w:val="right"/>
              <w:ind w:right="479"/>
              <w:spacing w:after="0"/>
              <w:rPr>
                <w:sz w:val="20"/>
                <w:szCs w:val="20"/>
                <w:color w:val="auto"/>
              </w:rPr>
            </w:pPr>
            <w:r>
              <w:rPr>
                <w:rFonts w:ascii="Arial" w:cs="Arial" w:eastAsia="Arial" w:hAnsi="Arial"/>
                <w:sz w:val="17"/>
                <w:szCs w:val="17"/>
                <w:color w:val="auto"/>
              </w:rPr>
              <w:t>49%</w:t>
            </w:r>
          </w:p>
        </w:tc>
      </w:tr>
      <w:tr>
        <w:trPr>
          <w:trHeight w:val="277"/>
        </w:trPr>
        <w:tc>
          <w:tcPr>
            <w:tcW w:w="2640" w:type="dxa"/>
            <w:vAlign w:val="bottom"/>
            <w:tcBorders>
              <w:bottom w:val="single" w:sz="8" w:color="939598"/>
            </w:tcBorders>
          </w:tcPr>
          <w:p>
            <w:pPr>
              <w:ind w:left="140"/>
              <w:spacing w:after="0" w:line="277" w:lineRule="exact"/>
              <w:rPr>
                <w:sz w:val="20"/>
                <w:szCs w:val="20"/>
                <w:color w:val="auto"/>
              </w:rPr>
            </w:pPr>
            <w:r>
              <w:rPr>
                <w:rFonts w:ascii="Arial" w:cs="Arial" w:eastAsia="Arial" w:hAnsi="Arial"/>
                <w:sz w:val="17"/>
                <w:szCs w:val="17"/>
                <w:color w:val="auto"/>
              </w:rPr>
              <w:t>David Wyshner</w:t>
            </w:r>
            <w:r>
              <w:rPr>
                <w:rFonts w:ascii="Arial" w:cs="Arial" w:eastAsia="Arial" w:hAnsi="Arial"/>
                <w:sz w:val="28"/>
                <w:szCs w:val="28"/>
                <w:color w:val="auto"/>
                <w:vertAlign w:val="superscript"/>
              </w:rPr>
              <w:t>(4)</w:t>
            </w:r>
          </w:p>
        </w:tc>
        <w:tc>
          <w:tcPr>
            <w:tcW w:w="2020" w:type="dxa"/>
            <w:vAlign w:val="bottom"/>
            <w:tcBorders>
              <w:bottom w:val="single" w:sz="8" w:color="939598"/>
            </w:tcBorders>
            <w:gridSpan w:val="2"/>
          </w:tcPr>
          <w:p>
            <w:pPr>
              <w:ind w:left="980"/>
              <w:spacing w:after="0"/>
              <w:rPr>
                <w:sz w:val="20"/>
                <w:szCs w:val="20"/>
                <w:color w:val="auto"/>
              </w:rPr>
            </w:pPr>
            <w:r>
              <w:rPr>
                <w:rFonts w:ascii="Arial" w:cs="Arial" w:eastAsia="Arial" w:hAnsi="Arial"/>
                <w:sz w:val="17"/>
                <w:szCs w:val="17"/>
                <w:color w:val="auto"/>
              </w:rPr>
              <w:t>$1,750,000</w:t>
            </w:r>
          </w:p>
        </w:tc>
        <w:tc>
          <w:tcPr>
            <w:tcW w:w="28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939598"/>
            </w:tcBorders>
          </w:tcPr>
          <w:p>
            <w:pPr>
              <w:jc w:val="right"/>
              <w:ind w:right="118"/>
              <w:spacing w:after="0"/>
              <w:rPr>
                <w:sz w:val="20"/>
                <w:szCs w:val="20"/>
                <w:color w:val="auto"/>
              </w:rPr>
            </w:pPr>
            <w:r>
              <w:rPr>
                <w:rFonts w:ascii="Arial" w:cs="Arial" w:eastAsia="Arial" w:hAnsi="Arial"/>
                <w:sz w:val="17"/>
                <w:szCs w:val="17"/>
                <w:color w:val="auto"/>
              </w:rPr>
              <w:t>3,250,000</w:t>
            </w:r>
          </w:p>
        </w:tc>
        <w:tc>
          <w:tcPr>
            <w:tcW w:w="320" w:type="dxa"/>
            <w:vAlign w:val="bottom"/>
            <w:tcBorders>
              <w:bottom w:val="single" w:sz="8" w:color="939598"/>
            </w:tcBorders>
          </w:tcPr>
          <w:p>
            <w:pPr>
              <w:ind w:lef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5,000,000</w:t>
            </w:r>
          </w:p>
        </w:tc>
        <w:tc>
          <w:tcPr>
            <w:tcW w:w="1600" w:type="dxa"/>
            <w:vAlign w:val="bottom"/>
            <w:tcBorders>
              <w:bottom w:val="single" w:sz="8" w:color="939598"/>
            </w:tcBorders>
          </w:tcPr>
          <w:p>
            <w:pPr>
              <w:jc w:val="right"/>
              <w:ind w:right="479"/>
              <w:spacing w:after="0"/>
              <w:rPr>
                <w:sz w:val="20"/>
                <w:szCs w:val="20"/>
                <w:color w:val="auto"/>
              </w:rPr>
            </w:pPr>
            <w:r>
              <w:rPr>
                <w:rFonts w:ascii="Arial" w:cs="Arial" w:eastAsia="Arial" w:hAnsi="Arial"/>
                <w:sz w:val="17"/>
                <w:szCs w:val="17"/>
                <w:color w:val="auto"/>
              </w:rPr>
              <w:t>71%</w:t>
            </w:r>
          </w:p>
        </w:tc>
      </w:tr>
      <w:tr>
        <w:trPr>
          <w:trHeight w:val="277"/>
        </w:trPr>
        <w:tc>
          <w:tcPr>
            <w:tcW w:w="2640" w:type="dxa"/>
            <w:vAlign w:val="bottom"/>
            <w:tcBorders>
              <w:bottom w:val="single" w:sz="8" w:color="939598"/>
            </w:tcBorders>
          </w:tcPr>
          <w:p>
            <w:pPr>
              <w:ind w:left="140"/>
              <w:spacing w:after="0" w:line="277" w:lineRule="exact"/>
              <w:rPr>
                <w:sz w:val="20"/>
                <w:szCs w:val="20"/>
                <w:color w:val="auto"/>
              </w:rPr>
            </w:pPr>
            <w:r>
              <w:rPr>
                <w:rFonts w:ascii="Arial" w:cs="Arial" w:eastAsia="Arial" w:hAnsi="Arial"/>
                <w:sz w:val="17"/>
                <w:szCs w:val="17"/>
                <w:color w:val="auto"/>
              </w:rPr>
              <w:t>Edward Sebold</w:t>
            </w:r>
            <w:r>
              <w:rPr>
                <w:rFonts w:ascii="Arial" w:cs="Arial" w:eastAsia="Arial" w:hAnsi="Arial"/>
                <w:sz w:val="28"/>
                <w:szCs w:val="28"/>
                <w:color w:val="auto"/>
                <w:vertAlign w:val="superscript"/>
              </w:rPr>
              <w:t>(4)</w:t>
            </w:r>
          </w:p>
        </w:tc>
        <w:tc>
          <w:tcPr>
            <w:tcW w:w="1120" w:type="dxa"/>
            <w:vAlign w:val="bottom"/>
            <w:tcBorders>
              <w:bottom w:val="single" w:sz="8" w:color="939598"/>
            </w:tcBorders>
          </w:tcPr>
          <w:p>
            <w:pPr>
              <w:ind w:left="98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700,000</w:t>
            </w:r>
          </w:p>
        </w:tc>
        <w:tc>
          <w:tcPr>
            <w:tcW w:w="28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939598"/>
            </w:tcBorders>
          </w:tcPr>
          <w:p>
            <w:pPr>
              <w:jc w:val="right"/>
              <w:ind w:right="118"/>
              <w:spacing w:after="0"/>
              <w:rPr>
                <w:sz w:val="20"/>
                <w:szCs w:val="20"/>
                <w:color w:val="auto"/>
              </w:rPr>
            </w:pPr>
            <w:r>
              <w:rPr>
                <w:rFonts w:ascii="Arial" w:cs="Arial" w:eastAsia="Arial" w:hAnsi="Arial"/>
                <w:sz w:val="17"/>
                <w:szCs w:val="17"/>
                <w:color w:val="auto"/>
              </w:rPr>
              <w:t>1,300,000</w:t>
            </w:r>
          </w:p>
        </w:tc>
        <w:tc>
          <w:tcPr>
            <w:tcW w:w="320" w:type="dxa"/>
            <w:vAlign w:val="bottom"/>
            <w:tcBorders>
              <w:bottom w:val="single" w:sz="8" w:color="939598"/>
            </w:tcBorders>
          </w:tcPr>
          <w:p>
            <w:pPr>
              <w:ind w:lef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2,000,000</w:t>
            </w:r>
          </w:p>
        </w:tc>
        <w:tc>
          <w:tcPr>
            <w:tcW w:w="1600" w:type="dxa"/>
            <w:vAlign w:val="bottom"/>
            <w:tcBorders>
              <w:bottom w:val="single" w:sz="8" w:color="939598"/>
            </w:tcBorders>
          </w:tcPr>
          <w:p>
            <w:pPr>
              <w:jc w:val="right"/>
              <w:ind w:right="479"/>
              <w:spacing w:after="0"/>
              <w:rPr>
                <w:sz w:val="20"/>
                <w:szCs w:val="20"/>
                <w:color w:val="auto"/>
              </w:rPr>
            </w:pPr>
            <w:r>
              <w:rPr>
                <w:rFonts w:ascii="Arial" w:cs="Arial" w:eastAsia="Arial" w:hAnsi="Arial"/>
                <w:sz w:val="17"/>
                <w:szCs w:val="17"/>
                <w:color w:val="auto"/>
              </w:rPr>
              <w:t>54%</w:t>
            </w:r>
          </w:p>
        </w:tc>
      </w:tr>
      <w:tr>
        <w:trPr>
          <w:trHeight w:val="250"/>
        </w:trPr>
        <w:tc>
          <w:tcPr>
            <w:tcW w:w="2640" w:type="dxa"/>
            <w:vAlign w:val="bottom"/>
            <w:tcBorders>
              <w:bottom w:val="single" w:sz="8" w:color="F0533D"/>
            </w:tcBorders>
          </w:tcPr>
          <w:p>
            <w:pPr>
              <w:ind w:left="140"/>
              <w:spacing w:after="0" w:line="250" w:lineRule="exact"/>
              <w:rPr>
                <w:sz w:val="20"/>
                <w:szCs w:val="20"/>
                <w:color w:val="auto"/>
              </w:rPr>
            </w:pPr>
            <w:r>
              <w:rPr>
                <w:rFonts w:ascii="Arial" w:cs="Arial" w:eastAsia="Arial" w:hAnsi="Arial"/>
                <w:sz w:val="17"/>
                <w:szCs w:val="17"/>
                <w:color w:val="auto"/>
              </w:rPr>
              <w:t>Vineet Khurana</w:t>
            </w:r>
            <w:r>
              <w:rPr>
                <w:rFonts w:ascii="Arial" w:cs="Arial" w:eastAsia="Arial" w:hAnsi="Arial"/>
                <w:sz w:val="28"/>
                <w:szCs w:val="28"/>
                <w:color w:val="auto"/>
                <w:vertAlign w:val="superscript"/>
              </w:rPr>
              <w:t>(3)</w:t>
            </w:r>
          </w:p>
        </w:tc>
        <w:tc>
          <w:tcPr>
            <w:tcW w:w="1120" w:type="dxa"/>
            <w:vAlign w:val="bottom"/>
            <w:tcBorders>
              <w:bottom w:val="single" w:sz="8" w:color="F0533D"/>
            </w:tcBorders>
          </w:tcPr>
          <w:p>
            <w:pPr>
              <w:ind w:left="980"/>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F0533D"/>
            </w:tcBorders>
          </w:tcPr>
          <w:p>
            <w:pPr>
              <w:jc w:val="right"/>
              <w:ind w:right="98"/>
              <w:spacing w:after="0"/>
              <w:rPr>
                <w:sz w:val="20"/>
                <w:szCs w:val="20"/>
                <w:color w:val="auto"/>
              </w:rPr>
            </w:pPr>
            <w:r>
              <w:rPr>
                <w:rFonts w:ascii="Arial" w:cs="Arial" w:eastAsia="Arial" w:hAnsi="Arial"/>
                <w:sz w:val="17"/>
                <w:szCs w:val="17"/>
                <w:color w:val="auto"/>
              </w:rPr>
              <w:t>280,000</w:t>
            </w:r>
          </w:p>
        </w:tc>
        <w:tc>
          <w:tcPr>
            <w:tcW w:w="280" w:type="dxa"/>
            <w:vAlign w:val="bottom"/>
            <w:tcBorders>
              <w:bottom w:val="single" w:sz="8" w:color="F0533D"/>
            </w:tcBorders>
          </w:tcPr>
          <w:p>
            <w:pPr>
              <w:ind w:left="16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F0533D"/>
            </w:tcBorders>
          </w:tcPr>
          <w:p>
            <w:pPr>
              <w:jc w:val="right"/>
              <w:ind w:right="138"/>
              <w:spacing w:after="0"/>
              <w:rPr>
                <w:sz w:val="20"/>
                <w:szCs w:val="20"/>
                <w:color w:val="auto"/>
              </w:rPr>
            </w:pPr>
            <w:r>
              <w:rPr>
                <w:rFonts w:ascii="Arial" w:cs="Arial" w:eastAsia="Arial" w:hAnsi="Arial"/>
                <w:sz w:val="17"/>
                <w:szCs w:val="17"/>
                <w:color w:val="auto"/>
              </w:rPr>
              <w:t>520,000</w:t>
            </w:r>
          </w:p>
        </w:tc>
        <w:tc>
          <w:tcPr>
            <w:tcW w:w="320" w:type="dxa"/>
            <w:vAlign w:val="bottom"/>
            <w:tcBorders>
              <w:bottom w:val="single" w:sz="8" w:color="F0533D"/>
            </w:tcBorders>
          </w:tcPr>
          <w:p>
            <w:pPr>
              <w:ind w:left="18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F0533D"/>
            </w:tcBorders>
          </w:tcPr>
          <w:p>
            <w:pPr>
              <w:jc w:val="right"/>
              <w:ind w:right="98"/>
              <w:spacing w:after="0"/>
              <w:rPr>
                <w:sz w:val="20"/>
                <w:szCs w:val="20"/>
                <w:color w:val="auto"/>
              </w:rPr>
            </w:pPr>
            <w:r>
              <w:rPr>
                <w:rFonts w:ascii="Arial" w:cs="Arial" w:eastAsia="Arial" w:hAnsi="Arial"/>
                <w:sz w:val="17"/>
                <w:szCs w:val="17"/>
                <w:color w:val="auto"/>
              </w:rPr>
              <w:t>800,000</w:t>
            </w:r>
          </w:p>
        </w:tc>
        <w:tc>
          <w:tcPr>
            <w:tcW w:w="1600" w:type="dxa"/>
            <w:vAlign w:val="bottom"/>
            <w:tcBorders>
              <w:bottom w:val="single" w:sz="8" w:color="F0533D"/>
            </w:tcBorders>
          </w:tcPr>
          <w:p>
            <w:pPr>
              <w:jc w:val="right"/>
              <w:ind w:right="479"/>
              <w:spacing w:after="0"/>
              <w:rPr>
                <w:sz w:val="20"/>
                <w:szCs w:val="20"/>
                <w:color w:val="auto"/>
              </w:rPr>
            </w:pPr>
            <w:r>
              <w:rPr>
                <w:rFonts w:ascii="Arial" w:cs="Arial" w:eastAsia="Arial" w:hAnsi="Arial"/>
                <w:sz w:val="17"/>
                <w:szCs w:val="17"/>
                <w:color w:val="auto"/>
              </w:rPr>
              <w:t>43%</w:t>
            </w:r>
          </w:p>
        </w:tc>
      </w:tr>
    </w:tbl>
    <w:p>
      <w:pPr>
        <w:spacing w:after="0" w:line="307" w:lineRule="exact"/>
        <w:rPr>
          <w:sz w:val="20"/>
          <w:szCs w:val="20"/>
          <w:color w:val="auto"/>
        </w:rPr>
      </w:pPr>
    </w:p>
    <w:p>
      <w:pPr>
        <w:ind w:left="540" w:right="359" w:hanging="356"/>
        <w:spacing w:after="0" w:line="199" w:lineRule="auto"/>
        <w:tabs>
          <w:tab w:leader="none" w:pos="540" w:val="left"/>
        </w:tabs>
        <w:numPr>
          <w:ilvl w:val="0"/>
          <w:numId w:val="70"/>
        </w:numPr>
        <w:rPr>
          <w:rFonts w:ascii="Arial" w:cs="Arial" w:eastAsia="Arial" w:hAnsi="Arial"/>
          <w:sz w:val="23"/>
          <w:szCs w:val="23"/>
          <w:color w:val="auto"/>
          <w:vertAlign w:val="superscript"/>
        </w:rPr>
      </w:pPr>
      <w:r>
        <w:rPr>
          <w:rFonts w:ascii="Arial" w:cs="Arial" w:eastAsia="Arial" w:hAnsi="Arial"/>
          <w:sz w:val="15"/>
          <w:szCs w:val="15"/>
          <w:color w:val="auto"/>
        </w:rPr>
        <w:t>The number of RSUs our NEOs received was determined by dividing the values in the table above by the average of the high and low prices of our common stock on the NYSE on the grant date ($38.70).</w:t>
      </w:r>
    </w:p>
    <w:p>
      <w:pPr>
        <w:spacing w:after="0" w:line="69" w:lineRule="exact"/>
        <w:rPr>
          <w:rFonts w:ascii="Arial" w:cs="Arial" w:eastAsia="Arial" w:hAnsi="Arial"/>
          <w:sz w:val="23"/>
          <w:szCs w:val="23"/>
          <w:color w:val="auto"/>
          <w:vertAlign w:val="superscript"/>
        </w:rPr>
      </w:pPr>
    </w:p>
    <w:p>
      <w:pPr>
        <w:jc w:val="both"/>
        <w:ind w:left="540" w:right="119" w:hanging="356"/>
        <w:spacing w:after="0" w:line="206" w:lineRule="auto"/>
        <w:tabs>
          <w:tab w:leader="none" w:pos="540" w:val="left"/>
        </w:tabs>
        <w:numPr>
          <w:ilvl w:val="0"/>
          <w:numId w:val="70"/>
        </w:numPr>
        <w:rPr>
          <w:rFonts w:ascii="Arial" w:cs="Arial" w:eastAsia="Arial" w:hAnsi="Arial"/>
          <w:sz w:val="23"/>
          <w:szCs w:val="23"/>
          <w:color w:val="auto"/>
          <w:vertAlign w:val="superscript"/>
        </w:rPr>
      </w:pPr>
      <w:r>
        <w:rPr>
          <w:rFonts w:ascii="Arial" w:cs="Arial" w:eastAsia="Arial" w:hAnsi="Arial"/>
          <w:sz w:val="15"/>
          <w:szCs w:val="15"/>
          <w:color w:val="auto"/>
        </w:rPr>
        <w:t>The target number of PSUs our NEOs received that will vest based upon our achievement of Adjusted Operating Cash Flow was determined by dividing the values in the table above by the average of the high and low prices of our common stock on the NYSE on the grant date ($38.70) multiplied by a Monte Carlo valuation percentage of 100.74%.</w:t>
      </w:r>
    </w:p>
    <w:p>
      <w:pPr>
        <w:spacing w:after="0" w:line="70" w:lineRule="exact"/>
        <w:rPr>
          <w:rFonts w:ascii="Arial" w:cs="Arial" w:eastAsia="Arial" w:hAnsi="Arial"/>
          <w:sz w:val="23"/>
          <w:szCs w:val="23"/>
          <w:color w:val="auto"/>
          <w:vertAlign w:val="superscript"/>
        </w:rPr>
      </w:pPr>
    </w:p>
    <w:p>
      <w:pPr>
        <w:ind w:left="540" w:right="519" w:hanging="356"/>
        <w:spacing w:after="0" w:line="199" w:lineRule="auto"/>
        <w:tabs>
          <w:tab w:leader="none" w:pos="540" w:val="left"/>
        </w:tabs>
        <w:numPr>
          <w:ilvl w:val="0"/>
          <w:numId w:val="70"/>
        </w:numPr>
        <w:rPr>
          <w:rFonts w:ascii="Arial" w:cs="Arial" w:eastAsia="Arial" w:hAnsi="Arial"/>
          <w:sz w:val="23"/>
          <w:szCs w:val="23"/>
          <w:color w:val="auto"/>
          <w:vertAlign w:val="superscript"/>
        </w:rPr>
      </w:pPr>
      <w:r>
        <w:rPr>
          <w:rFonts w:ascii="Arial" w:cs="Arial" w:eastAsia="Arial" w:hAnsi="Arial"/>
          <w:sz w:val="15"/>
          <w:szCs w:val="15"/>
          <w:color w:val="auto"/>
        </w:rPr>
        <w:t>The RSU grant shown above excludes the special awards for Messrs. Chugh, Keinan, Ringes and Khurana discussed below.</w:t>
      </w:r>
    </w:p>
    <w:p>
      <w:pPr>
        <w:spacing w:after="0" w:line="69" w:lineRule="exact"/>
        <w:rPr>
          <w:rFonts w:ascii="Arial" w:cs="Arial" w:eastAsia="Arial" w:hAnsi="Arial"/>
          <w:sz w:val="23"/>
          <w:szCs w:val="23"/>
          <w:color w:val="auto"/>
          <w:vertAlign w:val="superscript"/>
        </w:rPr>
      </w:pPr>
    </w:p>
    <w:p>
      <w:pPr>
        <w:ind w:left="540" w:right="239" w:hanging="356"/>
        <w:spacing w:after="0" w:line="199" w:lineRule="auto"/>
        <w:tabs>
          <w:tab w:leader="none" w:pos="540" w:val="left"/>
        </w:tabs>
        <w:numPr>
          <w:ilvl w:val="0"/>
          <w:numId w:val="70"/>
        </w:numPr>
        <w:rPr>
          <w:rFonts w:ascii="Arial" w:cs="Arial" w:eastAsia="Arial" w:hAnsi="Arial"/>
          <w:sz w:val="23"/>
          <w:szCs w:val="23"/>
          <w:color w:val="auto"/>
          <w:vertAlign w:val="superscript"/>
        </w:rPr>
      </w:pPr>
      <w:r>
        <w:rPr>
          <w:rFonts w:ascii="Arial" w:cs="Arial" w:eastAsia="Arial" w:hAnsi="Arial"/>
          <w:sz w:val="15"/>
          <w:szCs w:val="15"/>
          <w:color w:val="auto"/>
        </w:rPr>
        <w:t>Messrs. Wyshner and Sebold forfeited the 2026 RSU and PSU awards as a result of their departure from the Company on February 5, 2026.</w:t>
      </w:r>
    </w:p>
    <w:p>
      <w:pPr>
        <w:spacing w:after="0" w:line="230"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Special Long-Term Incentive Awards</w:t>
      </w:r>
    </w:p>
    <w:p>
      <w:pPr>
        <w:spacing w:after="0" w:line="154" w:lineRule="exact"/>
        <w:rPr>
          <w:sz w:val="20"/>
          <w:szCs w:val="20"/>
          <w:color w:val="auto"/>
        </w:rPr>
      </w:pPr>
    </w:p>
    <w:p>
      <w:pPr>
        <w:ind w:left="80" w:right="359"/>
        <w:spacing w:after="0" w:line="267" w:lineRule="auto"/>
        <w:rPr>
          <w:sz w:val="20"/>
          <w:szCs w:val="20"/>
          <w:color w:val="auto"/>
        </w:rPr>
      </w:pPr>
      <w:r>
        <w:rPr>
          <w:rFonts w:ascii="Arial" w:cs="Arial" w:eastAsia="Arial" w:hAnsi="Arial"/>
          <w:sz w:val="17"/>
          <w:szCs w:val="17"/>
          <w:color w:val="auto"/>
        </w:rPr>
        <w:t>The CHC Committee recognizes that retaining highly qualified leaders is important to the Company’s performance and orderly succession planning.</w:t>
      </w:r>
    </w:p>
    <w:p>
      <w:pPr>
        <w:spacing w:after="0" w:line="105" w:lineRule="exact"/>
        <w:rPr>
          <w:sz w:val="20"/>
          <w:szCs w:val="20"/>
          <w:color w:val="auto"/>
        </w:rPr>
      </w:pPr>
    </w:p>
    <w:p>
      <w:pPr>
        <w:ind w:left="80" w:right="99"/>
        <w:spacing w:after="0" w:line="235" w:lineRule="auto"/>
        <w:rPr>
          <w:sz w:val="20"/>
          <w:szCs w:val="20"/>
          <w:color w:val="auto"/>
        </w:rPr>
      </w:pPr>
      <w:r>
        <w:rPr>
          <w:rFonts w:ascii="Arial" w:cs="Arial" w:eastAsia="Arial" w:hAnsi="Arial"/>
          <w:sz w:val="17"/>
          <w:szCs w:val="17"/>
          <w:color w:val="auto"/>
        </w:rPr>
        <w:t>In fiscal 2026, the CHC Committee granted limited one-time RSU awards to select senior executives for business continuity and leadership in key areas and growth opportunities, including Messrs. Keinan, Chugh and Khurana. Taking into account his leadership of key growth areas and his broad responsibilities in support of the Company’s customers in overseeing global go-to-market, operations and financial performance across 60 countries, including in delivery, Kyndryl Consult, our strategic alliances and the Kyndryl Bridge technology platform, the CHC Committee granted an award of 232,559 RSUs to Mr. Keinan, which had a grant date fair value of $9,000,033. The CHC Committee also granted one-time RSU awards in fiscal 2026 to non-executive officers for business continuity and leadership in key areas, including Mr. Chugh, before he was appointed as Interim Chief Financial Officer. Mr. Chugh received an award of 31,008 RSUs, which had a grant date fair value of $1,200,010. The CHC Committee granted an award of 24,807 RSUs to Mr. Khurana, which had a grant date fair value of $960,031. These RSUs will cliff vest 100% on the third anniversary of the grant date of June 2, 2025, subject to continued service with the Company through June 2, 2028 or, in the case of Mr. Keinan, an earlier retirement date approved by the Board. The number of RSUs such NEOs received was determined by dividing the value by the average of the high and low prices of our common stock on the NYSE on the grant date ($38.70).</w:t>
      </w:r>
    </w:p>
    <w:p>
      <w:pPr>
        <w:spacing w:after="0" w:line="128" w:lineRule="exact"/>
        <w:rPr>
          <w:sz w:val="20"/>
          <w:szCs w:val="20"/>
          <w:color w:val="auto"/>
        </w:rPr>
      </w:pPr>
    </w:p>
    <w:p>
      <w:pPr>
        <w:ind w:left="80" w:right="619"/>
        <w:spacing w:after="0" w:line="241" w:lineRule="auto"/>
        <w:rPr>
          <w:sz w:val="20"/>
          <w:szCs w:val="20"/>
          <w:color w:val="auto"/>
        </w:rPr>
      </w:pPr>
      <w:r>
        <w:rPr>
          <w:rFonts w:ascii="Arial" w:cs="Arial" w:eastAsia="Arial" w:hAnsi="Arial"/>
          <w:sz w:val="17"/>
          <w:szCs w:val="17"/>
          <w:color w:val="auto"/>
        </w:rPr>
        <w:t>In connection with the interim appointments of Messrs. Chugh and Ringes, the CHC Committee also approved supplemental RSU awards that will vest six months from the date of grant on March 2, 2026. The award of</w:t>
      </w:r>
    </w:p>
    <w:p>
      <w:pPr>
        <w:spacing w:after="0" w:line="1" w:lineRule="exact"/>
        <w:rPr>
          <w:sz w:val="20"/>
          <w:szCs w:val="20"/>
          <w:color w:val="auto"/>
        </w:rPr>
      </w:pPr>
    </w:p>
    <w:p>
      <w:pPr>
        <w:ind w:left="80" w:right="99"/>
        <w:spacing w:after="0"/>
        <w:rPr>
          <w:sz w:val="20"/>
          <w:szCs w:val="20"/>
          <w:color w:val="auto"/>
        </w:rPr>
      </w:pPr>
      <w:r>
        <w:rPr>
          <w:rFonts w:ascii="Arial" w:cs="Arial" w:eastAsia="Arial" w:hAnsi="Arial"/>
          <w:sz w:val="17"/>
          <w:szCs w:val="17"/>
          <w:color w:val="auto"/>
        </w:rPr>
        <w:t>39,841 RSUs to Mr. Chugh had a grant date fair value of $500,005 and the award of 19,921 RSUs for Mr. Ringes had a grant date fair value of $250,009. The number of RSUs such NEOs received was determined by dividing the value by the average of the high and low prices of our common stock on the NYSE on the grant date ($12.55).</w:t>
      </w: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2024 Long-Term Equity Incentive Payout</w:t>
      </w:r>
    </w:p>
    <w:p>
      <w:pPr>
        <w:spacing w:after="0" w:line="154" w:lineRule="exact"/>
        <w:rPr>
          <w:sz w:val="20"/>
          <w:szCs w:val="20"/>
          <w:color w:val="auto"/>
        </w:rPr>
      </w:pPr>
    </w:p>
    <w:p>
      <w:pPr>
        <w:jc w:val="both"/>
        <w:ind w:left="80" w:right="219"/>
        <w:spacing w:after="0" w:line="249" w:lineRule="auto"/>
        <w:rPr>
          <w:sz w:val="20"/>
          <w:szCs w:val="20"/>
          <w:color w:val="auto"/>
        </w:rPr>
      </w:pPr>
      <w:r>
        <w:rPr>
          <w:rFonts w:ascii="Arial" w:cs="Arial" w:eastAsia="Arial" w:hAnsi="Arial"/>
          <w:sz w:val="17"/>
          <w:szCs w:val="17"/>
          <w:color w:val="auto"/>
        </w:rPr>
        <w:t>PSUs granted to the NEOs during fiscal 2024 (the “2024 PSUs”) were earned based on the three-year performance period concluding at the end of fiscal 2026. The table below sets forth the performance metrics for the 2024 PSUs, their relative weightings and the CHC Committee’s rationale for the selection of each metric.</w:t>
      </w:r>
    </w:p>
    <w:p>
      <w:pPr>
        <w:spacing w:after="0" w:line="202"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200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Metric</w:t>
            </w:r>
            <w:r>
              <w:rPr>
                <w:rFonts w:ascii="Arial" w:cs="Arial" w:eastAsia="Arial" w:hAnsi="Arial"/>
                <w:sz w:val="23"/>
                <w:szCs w:val="23"/>
                <w:b w:val="1"/>
                <w:bCs w:val="1"/>
                <w:color w:val="F0533D"/>
                <w:vertAlign w:val="superscript"/>
              </w:rPr>
              <w:t>(1)</w:t>
            </w:r>
          </w:p>
        </w:tc>
        <w:tc>
          <w:tcPr>
            <w:tcW w:w="1260" w:type="dxa"/>
            <w:vAlign w:val="bottom"/>
            <w:tcBorders>
              <w:bottom w:val="single" w:sz="8" w:color="F0533D"/>
            </w:tcBorders>
          </w:tcPr>
          <w:p>
            <w:pPr>
              <w:ind w:left="260"/>
              <w:spacing w:after="0"/>
              <w:rPr>
                <w:sz w:val="20"/>
                <w:szCs w:val="20"/>
                <w:color w:val="auto"/>
              </w:rPr>
            </w:pPr>
            <w:r>
              <w:rPr>
                <w:rFonts w:ascii="Arial" w:cs="Arial" w:eastAsia="Arial" w:hAnsi="Arial"/>
                <w:sz w:val="14"/>
                <w:szCs w:val="14"/>
                <w:b w:val="1"/>
                <w:bCs w:val="1"/>
                <w:color w:val="F0533D"/>
              </w:rPr>
              <w:t>Weighting</w:t>
            </w:r>
          </w:p>
        </w:tc>
        <w:tc>
          <w:tcPr>
            <w:tcW w:w="5600" w:type="dxa"/>
            <w:vAlign w:val="bottom"/>
            <w:tcBorders>
              <w:bottom w:val="single" w:sz="8" w:color="F0533D"/>
            </w:tcBorders>
          </w:tcPr>
          <w:p>
            <w:pPr>
              <w:ind w:left="300"/>
              <w:spacing w:after="0"/>
              <w:rPr>
                <w:sz w:val="20"/>
                <w:szCs w:val="20"/>
                <w:color w:val="auto"/>
              </w:rPr>
            </w:pPr>
            <w:r>
              <w:rPr>
                <w:rFonts w:ascii="Arial" w:cs="Arial" w:eastAsia="Arial" w:hAnsi="Arial"/>
                <w:sz w:val="14"/>
                <w:szCs w:val="14"/>
                <w:b w:val="1"/>
                <w:bCs w:val="1"/>
                <w:color w:val="F0533D"/>
              </w:rPr>
              <w:t>Rationale for Selection</w:t>
            </w:r>
          </w:p>
        </w:tc>
      </w:tr>
      <w:tr>
        <w:trPr>
          <w:trHeight w:val="255"/>
        </w:trPr>
        <w:tc>
          <w:tcPr>
            <w:tcW w:w="2000" w:type="dxa"/>
            <w:vAlign w:val="bottom"/>
          </w:tcPr>
          <w:p>
            <w:pPr>
              <w:ind w:left="160"/>
              <w:spacing w:after="0"/>
              <w:rPr>
                <w:sz w:val="20"/>
                <w:szCs w:val="20"/>
                <w:color w:val="auto"/>
              </w:rPr>
            </w:pPr>
            <w:r>
              <w:rPr>
                <w:rFonts w:ascii="Arial" w:cs="Arial" w:eastAsia="Arial" w:hAnsi="Arial"/>
                <w:sz w:val="17"/>
                <w:szCs w:val="17"/>
                <w:b w:val="1"/>
                <w:bCs w:val="1"/>
                <w:color w:val="auto"/>
              </w:rPr>
              <w:t>Adjusted Operating</w:t>
            </w:r>
          </w:p>
        </w:tc>
        <w:tc>
          <w:tcPr>
            <w:tcW w:w="1260" w:type="dxa"/>
            <w:vAlign w:val="bottom"/>
          </w:tcPr>
          <w:p>
            <w:pPr>
              <w:ind w:left="260"/>
              <w:spacing w:after="0"/>
              <w:rPr>
                <w:sz w:val="20"/>
                <w:szCs w:val="20"/>
                <w:color w:val="auto"/>
              </w:rPr>
            </w:pPr>
            <w:r>
              <w:rPr>
                <w:rFonts w:ascii="Arial" w:cs="Arial" w:eastAsia="Arial" w:hAnsi="Arial"/>
                <w:sz w:val="17"/>
                <w:szCs w:val="17"/>
                <w:color w:val="auto"/>
              </w:rPr>
              <w:t>50%</w:t>
            </w:r>
          </w:p>
        </w:tc>
        <w:tc>
          <w:tcPr>
            <w:tcW w:w="5600" w:type="dxa"/>
            <w:vAlign w:val="bottom"/>
          </w:tcPr>
          <w:p>
            <w:pPr>
              <w:ind w:left="3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management to evaluate our operating results, plan</w:t>
            </w:r>
          </w:p>
        </w:tc>
      </w:tr>
      <w:tr>
        <w:trPr>
          <w:trHeight w:val="225"/>
        </w:trPr>
        <w:tc>
          <w:tcPr>
            <w:tcW w:w="2000" w:type="dxa"/>
            <w:vAlign w:val="bottom"/>
          </w:tcPr>
          <w:p>
            <w:pPr>
              <w:ind w:left="160"/>
              <w:spacing w:after="0" w:line="225" w:lineRule="exact"/>
              <w:rPr>
                <w:sz w:val="20"/>
                <w:szCs w:val="20"/>
                <w:color w:val="auto"/>
              </w:rPr>
            </w:pPr>
            <w:r>
              <w:rPr>
                <w:rFonts w:ascii="Arial" w:cs="Arial" w:eastAsia="Arial" w:hAnsi="Arial"/>
                <w:sz w:val="16"/>
                <w:szCs w:val="16"/>
                <w:b w:val="1"/>
                <w:bCs w:val="1"/>
                <w:color w:val="auto"/>
              </w:rPr>
              <w:t>Cash Flow</w:t>
            </w:r>
            <w:r>
              <w:rPr>
                <w:rFonts w:ascii="Arial" w:cs="Arial" w:eastAsia="Arial" w:hAnsi="Arial"/>
                <w:sz w:val="26"/>
                <w:szCs w:val="26"/>
                <w:b w:val="1"/>
                <w:bCs w:val="1"/>
                <w:color w:val="auto"/>
                <w:vertAlign w:val="superscript"/>
              </w:rPr>
              <w:t>(2)</w:t>
            </w:r>
          </w:p>
        </w:tc>
        <w:tc>
          <w:tcPr>
            <w:tcW w:w="1260" w:type="dxa"/>
            <w:vAlign w:val="bottom"/>
          </w:tcPr>
          <w:p>
            <w:pPr>
              <w:spacing w:after="0"/>
              <w:rPr>
                <w:sz w:val="19"/>
                <w:szCs w:val="19"/>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strategic investments and assess our ability and need to incur and</w:t>
            </w:r>
          </w:p>
        </w:tc>
      </w:tr>
      <w:tr>
        <w:trPr>
          <w:trHeight w:val="221"/>
        </w:trPr>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service debt</w:t>
            </w:r>
          </w:p>
        </w:tc>
      </w:tr>
      <w:tr>
        <w:trPr>
          <w:trHeight w:val="225"/>
        </w:trPr>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0" w:type="dxa"/>
            <w:vAlign w:val="bottom"/>
          </w:tcPr>
          <w:p>
            <w:pPr>
              <w:ind w:left="3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investors to assess our business</w:t>
            </w:r>
          </w:p>
        </w:tc>
      </w:tr>
      <w:tr>
        <w:trPr>
          <w:trHeight w:val="207"/>
        </w:trPr>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CHC Committee believes this metric is an indicator of the strength</w:t>
            </w:r>
          </w:p>
        </w:tc>
      </w:tr>
      <w:tr>
        <w:trPr>
          <w:trHeight w:val="225"/>
        </w:trPr>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of our operating results</w:t>
            </w:r>
          </w:p>
        </w:tc>
      </w:tr>
      <w:tr>
        <w:trPr>
          <w:trHeight w:val="68"/>
        </w:trPr>
        <w:tc>
          <w:tcPr>
            <w:tcW w:w="200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5600" w:type="dxa"/>
            <w:vAlign w:val="bottom"/>
            <w:tcBorders>
              <w:bottom w:val="single" w:sz="8" w:color="A6A6A6"/>
            </w:tcBorders>
          </w:tcPr>
          <w:p>
            <w:pPr>
              <w:spacing w:after="0"/>
              <w:rPr>
                <w:sz w:val="5"/>
                <w:szCs w:val="5"/>
                <w:color w:val="auto"/>
              </w:rPr>
            </w:pPr>
          </w:p>
        </w:tc>
      </w:tr>
      <w:tr>
        <w:trPr>
          <w:trHeight w:val="255"/>
        </w:trPr>
        <w:tc>
          <w:tcPr>
            <w:tcW w:w="2000" w:type="dxa"/>
            <w:vAlign w:val="bottom"/>
          </w:tcPr>
          <w:p>
            <w:pPr>
              <w:ind w:left="160"/>
              <w:spacing w:after="0" w:line="254" w:lineRule="exact"/>
              <w:rPr>
                <w:sz w:val="20"/>
                <w:szCs w:val="20"/>
                <w:color w:val="auto"/>
              </w:rPr>
            </w:pPr>
            <w:r>
              <w:rPr>
                <w:rFonts w:ascii="Arial" w:cs="Arial" w:eastAsia="Arial" w:hAnsi="Arial"/>
                <w:sz w:val="17"/>
                <w:szCs w:val="17"/>
                <w:b w:val="1"/>
                <w:bCs w:val="1"/>
                <w:color w:val="auto"/>
              </w:rPr>
              <w:t>Total Signings</w:t>
            </w:r>
            <w:r>
              <w:rPr>
                <w:rFonts w:ascii="Arial" w:cs="Arial" w:eastAsia="Arial" w:hAnsi="Arial"/>
                <w:sz w:val="28"/>
                <w:szCs w:val="28"/>
                <w:b w:val="1"/>
                <w:bCs w:val="1"/>
                <w:color w:val="auto"/>
                <w:vertAlign w:val="superscript"/>
              </w:rPr>
              <w:t>(3)</w:t>
            </w:r>
          </w:p>
        </w:tc>
        <w:tc>
          <w:tcPr>
            <w:tcW w:w="1260" w:type="dxa"/>
            <w:vAlign w:val="bottom"/>
          </w:tcPr>
          <w:p>
            <w:pPr>
              <w:ind w:left="260"/>
              <w:spacing w:after="0"/>
              <w:rPr>
                <w:sz w:val="20"/>
                <w:szCs w:val="20"/>
                <w:color w:val="auto"/>
              </w:rPr>
            </w:pPr>
            <w:r>
              <w:rPr>
                <w:rFonts w:ascii="Arial" w:cs="Arial" w:eastAsia="Arial" w:hAnsi="Arial"/>
                <w:sz w:val="17"/>
                <w:szCs w:val="17"/>
                <w:color w:val="auto"/>
              </w:rPr>
              <w:t>25%</w:t>
            </w:r>
          </w:p>
        </w:tc>
        <w:tc>
          <w:tcPr>
            <w:tcW w:w="5600" w:type="dxa"/>
            <w:vAlign w:val="bottom"/>
          </w:tcPr>
          <w:p>
            <w:pPr>
              <w:ind w:left="3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management to provide insight into the Company’s</w:t>
            </w:r>
          </w:p>
        </w:tc>
      </w:tr>
      <w:tr>
        <w:trPr>
          <w:trHeight w:val="203"/>
        </w:trPr>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potential future revenue and as a tool to monitor performance of</w:t>
            </w:r>
          </w:p>
        </w:tc>
      </w:tr>
      <w:tr>
        <w:trPr>
          <w:trHeight w:val="216"/>
        </w:trPr>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the business, including the business’ ability to attract new</w:t>
            </w:r>
          </w:p>
        </w:tc>
      </w:tr>
      <w:tr>
        <w:trPr>
          <w:trHeight w:val="203"/>
        </w:trPr>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customers and sell additional scope into our existing customer</w:t>
            </w:r>
          </w:p>
        </w:tc>
      </w:tr>
      <w:tr>
        <w:trPr>
          <w:trHeight w:val="225"/>
        </w:trPr>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base</w:t>
            </w:r>
          </w:p>
        </w:tc>
      </w:tr>
      <w:tr>
        <w:trPr>
          <w:trHeight w:val="243"/>
        </w:trPr>
        <w:tc>
          <w:tcPr>
            <w:tcW w:w="2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600" w:type="dxa"/>
            <w:vAlign w:val="bottom"/>
          </w:tcPr>
          <w:p>
            <w:pPr>
              <w:ind w:left="3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Used by investors to assess our business</w:t>
            </w:r>
          </w:p>
        </w:tc>
      </w:tr>
      <w:tr>
        <w:trPr>
          <w:trHeight w:val="207"/>
        </w:trPr>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0" w:type="dxa"/>
            <w:vAlign w:val="bottom"/>
          </w:tcPr>
          <w:p>
            <w:pPr>
              <w:ind w:left="3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Historically, the CHC Committee believed this metric served as an</w:t>
            </w:r>
          </w:p>
        </w:tc>
      </w:tr>
      <w:tr>
        <w:trPr>
          <w:trHeight w:val="203"/>
        </w:trPr>
        <w:tc>
          <w:tcPr>
            <w:tcW w:w="20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indicator of value creation in our early stages as an independent</w:t>
            </w:r>
          </w:p>
        </w:tc>
      </w:tr>
      <w:tr>
        <w:trPr>
          <w:trHeight w:val="225"/>
        </w:trPr>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company to execute on our strategy to return to profitable growth</w:t>
            </w:r>
          </w:p>
        </w:tc>
      </w:tr>
      <w:tr>
        <w:trPr>
          <w:trHeight w:val="68"/>
        </w:trPr>
        <w:tc>
          <w:tcPr>
            <w:tcW w:w="2000" w:type="dxa"/>
            <w:vAlign w:val="bottom"/>
            <w:tcBorders>
              <w:bottom w:val="single" w:sz="8" w:color="A6A6A6"/>
            </w:tcBorders>
          </w:tcPr>
          <w:p>
            <w:pPr>
              <w:spacing w:after="0"/>
              <w:rPr>
                <w:sz w:val="5"/>
                <w:szCs w:val="5"/>
                <w:color w:val="auto"/>
              </w:rPr>
            </w:pPr>
          </w:p>
        </w:tc>
        <w:tc>
          <w:tcPr>
            <w:tcW w:w="1260" w:type="dxa"/>
            <w:vAlign w:val="bottom"/>
            <w:tcBorders>
              <w:bottom w:val="single" w:sz="8" w:color="A6A6A6"/>
            </w:tcBorders>
          </w:tcPr>
          <w:p>
            <w:pPr>
              <w:spacing w:after="0"/>
              <w:rPr>
                <w:sz w:val="5"/>
                <w:szCs w:val="5"/>
                <w:color w:val="auto"/>
              </w:rPr>
            </w:pPr>
          </w:p>
        </w:tc>
        <w:tc>
          <w:tcPr>
            <w:tcW w:w="5600" w:type="dxa"/>
            <w:vAlign w:val="bottom"/>
            <w:tcBorders>
              <w:bottom w:val="single" w:sz="8" w:color="A6A6A6"/>
            </w:tcBorders>
          </w:tcPr>
          <w:p>
            <w:pPr>
              <w:spacing w:after="0"/>
              <w:rPr>
                <w:sz w:val="5"/>
                <w:szCs w:val="5"/>
                <w:color w:val="auto"/>
              </w:rPr>
            </w:pPr>
          </w:p>
        </w:tc>
      </w:tr>
      <w:tr>
        <w:trPr>
          <w:trHeight w:val="255"/>
        </w:trPr>
        <w:tc>
          <w:tcPr>
            <w:tcW w:w="2000" w:type="dxa"/>
            <w:vAlign w:val="bottom"/>
          </w:tcPr>
          <w:p>
            <w:pPr>
              <w:ind w:left="160"/>
              <w:spacing w:after="0" w:line="254" w:lineRule="exact"/>
              <w:rPr>
                <w:sz w:val="20"/>
                <w:szCs w:val="20"/>
                <w:color w:val="auto"/>
              </w:rPr>
            </w:pPr>
            <w:r>
              <w:rPr>
                <w:rFonts w:ascii="Arial" w:cs="Arial" w:eastAsia="Arial" w:hAnsi="Arial"/>
                <w:sz w:val="17"/>
                <w:szCs w:val="17"/>
                <w:b w:val="1"/>
                <w:bCs w:val="1"/>
                <w:color w:val="auto"/>
              </w:rPr>
              <w:t>Relative TSR</w:t>
            </w:r>
            <w:r>
              <w:rPr>
                <w:rFonts w:ascii="Arial" w:cs="Arial" w:eastAsia="Arial" w:hAnsi="Arial"/>
                <w:sz w:val="28"/>
                <w:szCs w:val="28"/>
                <w:b w:val="1"/>
                <w:bCs w:val="1"/>
                <w:color w:val="auto"/>
                <w:vertAlign w:val="superscript"/>
              </w:rPr>
              <w:t>(4)</w:t>
            </w:r>
          </w:p>
        </w:tc>
        <w:tc>
          <w:tcPr>
            <w:tcW w:w="1260" w:type="dxa"/>
            <w:vAlign w:val="bottom"/>
          </w:tcPr>
          <w:p>
            <w:pPr>
              <w:ind w:left="260"/>
              <w:spacing w:after="0"/>
              <w:rPr>
                <w:sz w:val="20"/>
                <w:szCs w:val="20"/>
                <w:color w:val="auto"/>
              </w:rPr>
            </w:pPr>
            <w:r>
              <w:rPr>
                <w:rFonts w:ascii="Arial" w:cs="Arial" w:eastAsia="Arial" w:hAnsi="Arial"/>
                <w:sz w:val="17"/>
                <w:szCs w:val="17"/>
                <w:color w:val="auto"/>
              </w:rPr>
              <w:t>25%</w:t>
            </w:r>
          </w:p>
        </w:tc>
        <w:tc>
          <w:tcPr>
            <w:tcW w:w="5600" w:type="dxa"/>
            <w:vAlign w:val="bottom"/>
          </w:tcPr>
          <w:p>
            <w:pPr>
              <w:ind w:left="300"/>
              <w:spacing w:after="0"/>
              <w:rPr>
                <w:sz w:val="20"/>
                <w:szCs w:val="20"/>
                <w:color w:val="auto"/>
              </w:rPr>
            </w:pPr>
            <w:r>
              <w:rPr>
                <w:rFonts w:ascii="Arial" w:cs="Arial" w:eastAsia="Arial" w:hAnsi="Arial"/>
                <w:sz w:val="17"/>
                <w:szCs w:val="17"/>
                <w:color w:val="F0533D"/>
              </w:rPr>
              <w:t>•</w:t>
            </w:r>
            <w:r>
              <w:rPr>
                <w:rFonts w:ascii="Arial" w:cs="Arial" w:eastAsia="Arial" w:hAnsi="Arial"/>
                <w:sz w:val="17"/>
                <w:szCs w:val="17"/>
                <w:color w:val="000000"/>
              </w:rPr>
              <w:t xml:space="preserve">  Reflects the performance of Kyndryl’s stock relative to its peers;</w:t>
            </w:r>
          </w:p>
        </w:tc>
      </w:tr>
      <w:tr>
        <w:trPr>
          <w:trHeight w:val="218"/>
        </w:trPr>
        <w:tc>
          <w:tcPr>
            <w:tcW w:w="20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600" w:type="dxa"/>
            <w:vAlign w:val="bottom"/>
          </w:tcPr>
          <w:p>
            <w:pPr>
              <w:ind w:left="460"/>
              <w:spacing w:after="0"/>
              <w:rPr>
                <w:sz w:val="20"/>
                <w:szCs w:val="20"/>
                <w:color w:val="auto"/>
              </w:rPr>
            </w:pPr>
            <w:r>
              <w:rPr>
                <w:rFonts w:ascii="Arial" w:cs="Arial" w:eastAsia="Arial" w:hAnsi="Arial"/>
                <w:sz w:val="17"/>
                <w:szCs w:val="17"/>
                <w:color w:val="auto"/>
              </w:rPr>
              <w:t>payout of PSUs is also capped at target if absolute TSR is</w:t>
            </w:r>
          </w:p>
        </w:tc>
      </w:tr>
    </w:tbl>
    <w:p>
      <w:pPr>
        <w:ind w:left="3800"/>
        <w:spacing w:after="0"/>
        <w:rPr>
          <w:sz w:val="20"/>
          <w:szCs w:val="20"/>
          <w:color w:val="auto"/>
        </w:rPr>
      </w:pPr>
      <w:r>
        <w:rPr>
          <w:rFonts w:ascii="Arial" w:cs="Arial" w:eastAsia="Arial" w:hAnsi="Arial"/>
          <w:sz w:val="17"/>
          <w:szCs w:val="17"/>
          <w:color w:val="auto"/>
        </w:rPr>
        <w:t>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76835</wp:posOffset>
            </wp:positionV>
            <wp:extent cx="562356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0" w:right="499" w:hanging="356"/>
        <w:spacing w:after="0" w:line="199" w:lineRule="auto"/>
        <w:tabs>
          <w:tab w:leader="none" w:pos="540" w:val="left"/>
        </w:tabs>
        <w:numPr>
          <w:ilvl w:val="0"/>
          <w:numId w:val="71"/>
        </w:numPr>
        <w:rPr>
          <w:rFonts w:ascii="Arial" w:cs="Arial" w:eastAsia="Arial" w:hAnsi="Arial"/>
          <w:sz w:val="23"/>
          <w:szCs w:val="23"/>
          <w:color w:val="auto"/>
          <w:vertAlign w:val="superscript"/>
        </w:rPr>
      </w:pPr>
      <w:r>
        <w:rPr>
          <w:rFonts w:ascii="Arial" w:cs="Arial" w:eastAsia="Arial" w:hAnsi="Arial"/>
          <w:sz w:val="15"/>
          <w:szCs w:val="15"/>
          <w:color w:val="auto"/>
        </w:rPr>
        <w:t>When assessing performance for purposes of LTI, the CHC Committee may adjust for certain pre-determined items as described further above under the section titled “Assessing Performance Results.”</w:t>
      </w:r>
    </w:p>
    <w:p>
      <w:pPr>
        <w:spacing w:after="0" w:line="69" w:lineRule="exact"/>
        <w:rPr>
          <w:rFonts w:ascii="Arial" w:cs="Arial" w:eastAsia="Arial" w:hAnsi="Arial"/>
          <w:sz w:val="23"/>
          <w:szCs w:val="23"/>
          <w:color w:val="auto"/>
          <w:vertAlign w:val="superscript"/>
        </w:rPr>
      </w:pPr>
    </w:p>
    <w:p>
      <w:pPr>
        <w:ind w:left="540" w:right="139" w:hanging="356"/>
        <w:spacing w:after="0" w:line="210" w:lineRule="auto"/>
        <w:tabs>
          <w:tab w:leader="none" w:pos="540" w:val="left"/>
        </w:tabs>
        <w:numPr>
          <w:ilvl w:val="0"/>
          <w:numId w:val="71"/>
        </w:numPr>
        <w:rPr>
          <w:rFonts w:ascii="Arial" w:cs="Arial" w:eastAsia="Arial" w:hAnsi="Arial"/>
          <w:sz w:val="23"/>
          <w:szCs w:val="23"/>
          <w:color w:val="auto"/>
          <w:vertAlign w:val="superscript"/>
        </w:rPr>
      </w:pPr>
      <w:r>
        <w:rPr>
          <w:rFonts w:ascii="Arial" w:cs="Arial" w:eastAsia="Arial" w:hAnsi="Arial"/>
          <w:sz w:val="15"/>
          <w:szCs w:val="15"/>
          <w:color w:val="auto"/>
        </w:rPr>
        <w:t>“Adjusted Operating Cash Flow” means cash flows from operating activities (GAAP) after adding back transaction-related payments, charges related to lease terminations, payments related to workforce rebalancing charges incurred prior to March 31, 2024, and significant litigation payments. For a more detailed description of the excluded items, see our quarterly earnings releases.</w:t>
      </w:r>
    </w:p>
    <w:p>
      <w:pPr>
        <w:spacing w:after="0" w:line="71" w:lineRule="exact"/>
        <w:rPr>
          <w:rFonts w:ascii="Arial" w:cs="Arial" w:eastAsia="Arial" w:hAnsi="Arial"/>
          <w:sz w:val="23"/>
          <w:szCs w:val="23"/>
          <w:color w:val="auto"/>
          <w:vertAlign w:val="superscript"/>
        </w:rPr>
      </w:pPr>
    </w:p>
    <w:p>
      <w:pPr>
        <w:ind w:left="540" w:right="239" w:hanging="356"/>
        <w:spacing w:after="0" w:line="199" w:lineRule="auto"/>
        <w:tabs>
          <w:tab w:leader="none" w:pos="540" w:val="left"/>
        </w:tabs>
        <w:numPr>
          <w:ilvl w:val="0"/>
          <w:numId w:val="71"/>
        </w:numPr>
        <w:rPr>
          <w:rFonts w:ascii="Arial" w:cs="Arial" w:eastAsia="Arial" w:hAnsi="Arial"/>
          <w:sz w:val="23"/>
          <w:szCs w:val="23"/>
          <w:color w:val="auto"/>
          <w:vertAlign w:val="superscript"/>
        </w:rPr>
      </w:pPr>
      <w:r>
        <w:rPr>
          <w:rFonts w:ascii="Arial" w:cs="Arial" w:eastAsia="Arial" w:hAnsi="Arial"/>
          <w:sz w:val="15"/>
          <w:szCs w:val="15"/>
          <w:color w:val="auto"/>
        </w:rPr>
        <w:t>“Signings” means an initial estimate of the value of a customer’s commitment under a contract. “Total Signings” means the aggregate amount of all Signings during the applicable performance period.</w:t>
      </w:r>
    </w:p>
    <w:p>
      <w:pPr>
        <w:spacing w:after="0" w:line="69" w:lineRule="exact"/>
        <w:rPr>
          <w:rFonts w:ascii="Arial" w:cs="Arial" w:eastAsia="Arial" w:hAnsi="Arial"/>
          <w:sz w:val="23"/>
          <w:szCs w:val="23"/>
          <w:color w:val="auto"/>
          <w:vertAlign w:val="superscript"/>
        </w:rPr>
      </w:pPr>
    </w:p>
    <w:p>
      <w:pPr>
        <w:ind w:left="540" w:right="199" w:hanging="356"/>
        <w:spacing w:after="0" w:line="220" w:lineRule="auto"/>
        <w:tabs>
          <w:tab w:leader="none" w:pos="540" w:val="left"/>
        </w:tabs>
        <w:numPr>
          <w:ilvl w:val="0"/>
          <w:numId w:val="71"/>
        </w:numPr>
        <w:rPr>
          <w:rFonts w:ascii="Arial" w:cs="Arial" w:eastAsia="Arial" w:hAnsi="Arial"/>
          <w:sz w:val="23"/>
          <w:szCs w:val="23"/>
          <w:color w:val="auto"/>
          <w:vertAlign w:val="superscript"/>
        </w:rPr>
      </w:pPr>
      <w:r>
        <w:rPr>
          <w:rFonts w:ascii="Arial" w:cs="Arial" w:eastAsia="Arial" w:hAnsi="Arial"/>
          <w:sz w:val="15"/>
          <w:szCs w:val="15"/>
          <w:color w:val="auto"/>
        </w:rPr>
        <w:t>TSR is determined by dividing (a) (x) the average closing stock price of the five trading days ending on the last day of the applicable performance period, assuming that dividends during the performance period are reinvested in additional shares of the issuing entity’s stock, less (y) the average closing stock price of the five trading days ending on the first day of the performance period (the grant date) by (b) the average closing stock price of the five trading days ending on the first day of the performance period (the grant date). In order to compare Kyndryl’s Relative TSR with that of the companies in the S&amp;P MidCap 400 Index, each company in the S&amp;P MidCap 400 Index as of the grant date (collectively, the “PSU Peer Group”) will be ranked in order of its TSR (provided that any company that ceases to be a member of the S&amp;P MidCap 400 Index after the grant date will cease to be a member of the PSU Peer Group). A member of the PSU Peer Group will be removed if either during the performance period, the company makes a public disclosure of its intent or agreement to enter into a merger or sale with another company, after which the company will no longer be listed on a securities exchange, or it is not listed on a securities exchange for the entire performance period. Kyndryl’s percentile rank among the companies in the PSU Peer Group will then be used to determine the percentage vesting of PSUs as further described below.</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99"/>
        <w:spacing w:after="0" w:line="267" w:lineRule="auto"/>
        <w:rPr>
          <w:sz w:val="20"/>
          <w:szCs w:val="20"/>
          <w:color w:val="auto"/>
        </w:rPr>
      </w:pPr>
      <w:r>
        <w:rPr>
          <w:rFonts w:ascii="Arial" w:cs="Arial" w:eastAsia="Arial" w:hAnsi="Arial"/>
          <w:sz w:val="17"/>
          <w:szCs w:val="17"/>
          <w:color w:val="auto"/>
        </w:rPr>
        <w:t>The following table sets forth the percentage of PSUs that vest upon our achievement of below threshold, threshold, target and maximum performance for each of the performance criteria for the fiscal 2024-2026 performance period.</w:t>
      </w:r>
    </w:p>
    <w:p>
      <w:pPr>
        <w:spacing w:after="0" w:line="19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2540" w:type="dxa"/>
            <w:vAlign w:val="bottom"/>
            <w:gridSpan w:val="2"/>
          </w:tcPr>
          <w:p>
            <w:pPr>
              <w:jc w:val="center"/>
              <w:ind w:left="243"/>
              <w:spacing w:after="0"/>
              <w:rPr>
                <w:sz w:val="20"/>
                <w:szCs w:val="20"/>
                <w:color w:val="auto"/>
              </w:rPr>
            </w:pPr>
            <w:r>
              <w:rPr>
                <w:rFonts w:ascii="Arial" w:cs="Arial" w:eastAsia="Arial" w:hAnsi="Arial"/>
                <w:sz w:val="14"/>
                <w:szCs w:val="14"/>
                <w:b w:val="1"/>
                <w:bCs w:val="1"/>
                <w:color w:val="F0533D"/>
              </w:rPr>
              <w:t>Adjusted Operating</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7"/>
        </w:trPr>
        <w:tc>
          <w:tcPr>
            <w:tcW w:w="1880" w:type="dxa"/>
            <w:vAlign w:val="bottom"/>
            <w:tcBorders>
              <w:bottom w:val="single" w:sz="8" w:color="F0533D"/>
            </w:tcBorders>
          </w:tcPr>
          <w:p>
            <w:pPr>
              <w:spacing w:after="0"/>
              <w:rPr>
                <w:sz w:val="17"/>
                <w:szCs w:val="17"/>
                <w:color w:val="auto"/>
              </w:rPr>
            </w:pPr>
          </w:p>
        </w:tc>
        <w:tc>
          <w:tcPr>
            <w:tcW w:w="2540" w:type="dxa"/>
            <w:vAlign w:val="bottom"/>
            <w:tcBorders>
              <w:bottom w:val="single" w:sz="8" w:color="F0533D"/>
            </w:tcBorders>
            <w:gridSpan w:val="2"/>
          </w:tcPr>
          <w:p>
            <w:pPr>
              <w:jc w:val="center"/>
              <w:ind w:left="303"/>
              <w:spacing w:after="0"/>
              <w:rPr>
                <w:sz w:val="20"/>
                <w:szCs w:val="20"/>
                <w:color w:val="auto"/>
              </w:rPr>
            </w:pPr>
            <w:r>
              <w:rPr>
                <w:rFonts w:ascii="Arial" w:cs="Arial" w:eastAsia="Arial" w:hAnsi="Arial"/>
                <w:sz w:val="14"/>
                <w:szCs w:val="14"/>
                <w:b w:val="1"/>
                <w:bCs w:val="1"/>
                <w:color w:val="F0533D"/>
              </w:rPr>
              <w:t>Cash Flow</w:t>
            </w:r>
          </w:p>
        </w:tc>
        <w:tc>
          <w:tcPr>
            <w:tcW w:w="2260" w:type="dxa"/>
            <w:vAlign w:val="bottom"/>
            <w:tcBorders>
              <w:bottom w:val="single" w:sz="8" w:color="F0533D"/>
            </w:tcBorders>
            <w:gridSpan w:val="2"/>
          </w:tcPr>
          <w:p>
            <w:pPr>
              <w:ind w:left="660"/>
              <w:spacing w:after="0"/>
              <w:rPr>
                <w:sz w:val="20"/>
                <w:szCs w:val="20"/>
                <w:color w:val="auto"/>
              </w:rPr>
            </w:pPr>
            <w:r>
              <w:rPr>
                <w:rFonts w:ascii="Arial" w:cs="Arial" w:eastAsia="Arial" w:hAnsi="Arial"/>
                <w:sz w:val="14"/>
                <w:szCs w:val="14"/>
                <w:b w:val="1"/>
                <w:bCs w:val="1"/>
                <w:color w:val="F0533D"/>
              </w:rPr>
              <w:t>Total Signings</w:t>
            </w:r>
          </w:p>
        </w:tc>
        <w:tc>
          <w:tcPr>
            <w:tcW w:w="2180" w:type="dxa"/>
            <w:vAlign w:val="bottom"/>
            <w:tcBorders>
              <w:bottom w:val="single" w:sz="8" w:color="F0533D"/>
            </w:tcBorders>
            <w:gridSpan w:val="2"/>
          </w:tcPr>
          <w:p>
            <w:pPr>
              <w:ind w:left="640"/>
              <w:spacing w:after="0"/>
              <w:rPr>
                <w:sz w:val="20"/>
                <w:szCs w:val="20"/>
                <w:color w:val="auto"/>
              </w:rPr>
            </w:pPr>
            <w:r>
              <w:rPr>
                <w:rFonts w:ascii="Arial" w:cs="Arial" w:eastAsia="Arial" w:hAnsi="Arial"/>
                <w:sz w:val="14"/>
                <w:szCs w:val="14"/>
                <w:b w:val="1"/>
                <w:bCs w:val="1"/>
                <w:color w:val="F0533D"/>
              </w:rPr>
              <w:t>Relative TSR</w:t>
            </w:r>
          </w:p>
        </w:tc>
      </w:tr>
      <w:tr>
        <w:trPr>
          <w:trHeight w:val="174"/>
        </w:trPr>
        <w:tc>
          <w:tcPr>
            <w:tcW w:w="1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Percentage</w:t>
            </w:r>
          </w:p>
        </w:tc>
        <w:tc>
          <w:tcPr>
            <w:tcW w:w="1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0533D"/>
              </w:rPr>
              <w:t>Percentage</w:t>
            </w:r>
          </w:p>
        </w:tc>
        <w:tc>
          <w:tcPr>
            <w:tcW w:w="10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Percentage</w:t>
            </w:r>
          </w:p>
        </w:tc>
      </w:tr>
      <w:tr>
        <w:trPr>
          <w:trHeight w:val="162"/>
        </w:trPr>
        <w:tc>
          <w:tcPr>
            <w:tcW w:w="1880" w:type="dxa"/>
            <w:vAlign w:val="bottom"/>
          </w:tcPr>
          <w:p>
            <w:pPr>
              <w:spacing w:after="0"/>
              <w:rPr>
                <w:sz w:val="14"/>
                <w:szCs w:val="14"/>
                <w:color w:val="auto"/>
              </w:rPr>
            </w:pPr>
          </w:p>
        </w:tc>
        <w:tc>
          <w:tcPr>
            <w:tcW w:w="1420" w:type="dxa"/>
            <w:vAlign w:val="bottom"/>
          </w:tcPr>
          <w:p>
            <w:pPr>
              <w:jc w:val="center"/>
              <w:ind w:left="243"/>
              <w:spacing w:after="0"/>
              <w:rPr>
                <w:sz w:val="20"/>
                <w:szCs w:val="20"/>
                <w:color w:val="auto"/>
              </w:rPr>
            </w:pPr>
            <w:r>
              <w:rPr>
                <w:rFonts w:ascii="Arial" w:cs="Arial" w:eastAsia="Arial" w:hAnsi="Arial"/>
                <w:sz w:val="14"/>
                <w:szCs w:val="14"/>
                <w:b w:val="1"/>
                <w:bCs w:val="1"/>
                <w:color w:val="F0533D"/>
              </w:rPr>
              <w:t>Kyndryl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of PSUs that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w w:val="99"/>
              </w:rPr>
              <w:t>Kyndryl</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0533D"/>
              </w:rPr>
              <w:t>of PSUs that</w:t>
            </w:r>
          </w:p>
        </w:tc>
        <w:tc>
          <w:tcPr>
            <w:tcW w:w="10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of PSUs that</w:t>
            </w:r>
          </w:p>
        </w:tc>
      </w:tr>
      <w:tr>
        <w:trPr>
          <w:trHeight w:val="162"/>
        </w:trPr>
        <w:tc>
          <w:tcPr>
            <w:tcW w:w="1880" w:type="dxa"/>
            <w:vAlign w:val="bottom"/>
          </w:tcPr>
          <w:p>
            <w:pPr>
              <w:spacing w:after="0"/>
              <w:rPr>
                <w:sz w:val="14"/>
                <w:szCs w:val="14"/>
                <w:color w:val="auto"/>
              </w:rPr>
            </w:pPr>
          </w:p>
        </w:tc>
        <w:tc>
          <w:tcPr>
            <w:tcW w:w="1420" w:type="dxa"/>
            <w:vAlign w:val="bottom"/>
          </w:tcPr>
          <w:p>
            <w:pPr>
              <w:jc w:val="center"/>
              <w:ind w:left="263"/>
              <w:spacing w:after="0"/>
              <w:rPr>
                <w:sz w:val="20"/>
                <w:szCs w:val="20"/>
                <w:color w:val="auto"/>
              </w:rPr>
            </w:pPr>
            <w:r>
              <w:rPr>
                <w:rFonts w:ascii="Arial" w:cs="Arial" w:eastAsia="Arial" w:hAnsi="Arial"/>
                <w:sz w:val="14"/>
                <w:szCs w:val="14"/>
                <w:b w:val="1"/>
                <w:bCs w:val="1"/>
                <w:color w:val="F0533D"/>
              </w:rPr>
              <w:t>Performance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vest (out of a</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Performance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0533D"/>
              </w:rPr>
              <w:t>vest (out of a</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F0533D"/>
                <w:w w:val="99"/>
              </w:rPr>
              <w:t>Kyndryl</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vest (out of</w:t>
            </w:r>
          </w:p>
        </w:tc>
      </w:tr>
      <w:tr>
        <w:trPr>
          <w:trHeight w:val="162"/>
        </w:trPr>
        <w:tc>
          <w:tcPr>
            <w:tcW w:w="1880" w:type="dxa"/>
            <w:vAlign w:val="bottom"/>
          </w:tcPr>
          <w:p>
            <w:pPr>
              <w:ind w:left="140"/>
              <w:spacing w:after="0"/>
              <w:rPr>
                <w:sz w:val="20"/>
                <w:szCs w:val="20"/>
                <w:color w:val="auto"/>
              </w:rPr>
            </w:pPr>
            <w:r>
              <w:rPr>
                <w:rFonts w:ascii="Arial" w:cs="Arial" w:eastAsia="Arial" w:hAnsi="Arial"/>
                <w:sz w:val="14"/>
                <w:szCs w:val="14"/>
                <w:b w:val="1"/>
                <w:bCs w:val="1"/>
                <w:color w:val="F0533D"/>
              </w:rPr>
              <w:t>Performance</w:t>
            </w:r>
          </w:p>
        </w:tc>
        <w:tc>
          <w:tcPr>
            <w:tcW w:w="1420" w:type="dxa"/>
            <w:vAlign w:val="bottom"/>
          </w:tcPr>
          <w:p>
            <w:pPr>
              <w:jc w:val="center"/>
              <w:ind w:left="223"/>
              <w:spacing w:after="0"/>
              <w:rPr>
                <w:sz w:val="20"/>
                <w:szCs w:val="20"/>
                <w:color w:val="auto"/>
              </w:rPr>
            </w:pPr>
            <w:r>
              <w:rPr>
                <w:rFonts w:ascii="Arial" w:cs="Arial" w:eastAsia="Arial" w:hAnsi="Arial"/>
                <w:sz w:val="14"/>
                <w:szCs w:val="14"/>
                <w:b w:val="1"/>
                <w:bCs w:val="1"/>
                <w:color w:val="F0533D"/>
              </w:rPr>
              <w:t>Rate vs.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target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Rate vs.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F0533D"/>
              </w:rPr>
              <w:t>target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F0533D"/>
              </w:rPr>
              <w:t>Percentile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a target of</w:t>
            </w:r>
          </w:p>
        </w:tc>
      </w:tr>
      <w:tr>
        <w:trPr>
          <w:trHeight w:val="197"/>
        </w:trPr>
        <w:tc>
          <w:tcPr>
            <w:tcW w:w="1880" w:type="dxa"/>
            <w:vAlign w:val="bottom"/>
            <w:tcBorders>
              <w:bottom w:val="single" w:sz="8" w:color="F0533D"/>
            </w:tcBorders>
          </w:tcPr>
          <w:p>
            <w:pPr>
              <w:ind w:left="140"/>
              <w:spacing w:after="0"/>
              <w:rPr>
                <w:sz w:val="20"/>
                <w:szCs w:val="20"/>
                <w:color w:val="auto"/>
              </w:rPr>
            </w:pPr>
            <w:r>
              <w:rPr>
                <w:rFonts w:ascii="Arial" w:cs="Arial" w:eastAsia="Arial" w:hAnsi="Arial"/>
                <w:sz w:val="14"/>
                <w:szCs w:val="14"/>
                <w:b w:val="1"/>
                <w:bCs w:val="1"/>
                <w:color w:val="F0533D"/>
              </w:rPr>
              <w:t>Level</w:t>
            </w:r>
          </w:p>
        </w:tc>
        <w:tc>
          <w:tcPr>
            <w:tcW w:w="1420" w:type="dxa"/>
            <w:vAlign w:val="bottom"/>
            <w:tcBorders>
              <w:bottom w:val="single" w:sz="8" w:color="F0533D"/>
            </w:tcBorders>
          </w:tcPr>
          <w:p>
            <w:pPr>
              <w:jc w:val="center"/>
              <w:ind w:left="263"/>
              <w:spacing w:after="0"/>
              <w:rPr>
                <w:sz w:val="20"/>
                <w:szCs w:val="20"/>
                <w:color w:val="auto"/>
              </w:rPr>
            </w:pPr>
            <w:r>
              <w:rPr>
                <w:rFonts w:ascii="Arial" w:cs="Arial" w:eastAsia="Arial" w:hAnsi="Arial"/>
                <w:sz w:val="14"/>
                <w:szCs w:val="14"/>
                <w:b w:val="1"/>
                <w:bCs w:val="1"/>
                <w:color w:val="F0533D"/>
              </w:rPr>
              <w:t>Target</w:t>
            </w:r>
          </w:p>
        </w:tc>
        <w:tc>
          <w:tcPr>
            <w:tcW w:w="11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50%)</w:t>
            </w:r>
          </w:p>
        </w:tc>
        <w:tc>
          <w:tcPr>
            <w:tcW w:w="11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Target</w:t>
            </w:r>
          </w:p>
        </w:tc>
        <w:tc>
          <w:tcPr>
            <w:tcW w:w="114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25%)</w:t>
            </w:r>
          </w:p>
        </w:tc>
        <w:tc>
          <w:tcPr>
            <w:tcW w:w="106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Rank</w:t>
            </w:r>
          </w:p>
        </w:tc>
        <w:tc>
          <w:tcPr>
            <w:tcW w:w="11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25%)</w:t>
            </w:r>
          </w:p>
        </w:tc>
      </w:tr>
      <w:tr>
        <w:trPr>
          <w:trHeight w:val="292"/>
        </w:trPr>
        <w:tc>
          <w:tcPr>
            <w:tcW w:w="18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Below Threshold</w:t>
            </w:r>
          </w:p>
        </w:tc>
        <w:tc>
          <w:tcPr>
            <w:tcW w:w="1420" w:type="dxa"/>
            <w:vAlign w:val="bottom"/>
            <w:tcBorders>
              <w:bottom w:val="single" w:sz="8" w:color="939598"/>
            </w:tcBorders>
          </w:tcPr>
          <w:p>
            <w:pPr>
              <w:jc w:val="center"/>
              <w:ind w:left="283"/>
              <w:spacing w:after="0"/>
              <w:rPr>
                <w:sz w:val="20"/>
                <w:szCs w:val="20"/>
                <w:color w:val="auto"/>
              </w:rPr>
            </w:pPr>
            <w:r>
              <w:rPr>
                <w:rFonts w:ascii="Arial" w:cs="Arial" w:eastAsia="Arial" w:hAnsi="Arial"/>
                <w:sz w:val="17"/>
                <w:szCs w:val="17"/>
                <w:color w:val="auto"/>
              </w:rPr>
              <w:t>Below 80%</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0%</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8"/>
              </w:rPr>
              <w:t>Below 80%</w:t>
            </w:r>
          </w:p>
        </w:tc>
        <w:tc>
          <w:tcPr>
            <w:tcW w:w="1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7"/>
              </w:rPr>
              <w:t>0%</w:t>
            </w:r>
          </w:p>
        </w:tc>
        <w:tc>
          <w:tcPr>
            <w:tcW w:w="1060" w:type="dxa"/>
            <w:vAlign w:val="bottom"/>
            <w:tcBorders>
              <w:bottom w:val="single" w:sz="8" w:color="939598"/>
            </w:tcBorders>
          </w:tcPr>
          <w:p>
            <w:pPr>
              <w:jc w:val="center"/>
              <w:spacing w:after="0" w:line="292" w:lineRule="exact"/>
              <w:rPr>
                <w:sz w:val="20"/>
                <w:szCs w:val="20"/>
                <w:color w:val="auto"/>
              </w:rPr>
            </w:pPr>
            <w:r>
              <w:rPr>
                <w:rFonts w:ascii="Arial" w:cs="Arial" w:eastAsia="Arial" w:hAnsi="Arial"/>
                <w:sz w:val="17"/>
                <w:szCs w:val="17"/>
                <w:color w:val="auto"/>
                <w:w w:val="95"/>
              </w:rPr>
              <w:t>Below 25</w:t>
            </w:r>
            <w:r>
              <w:rPr>
                <w:rFonts w:ascii="Arial" w:cs="Arial" w:eastAsia="Arial" w:hAnsi="Arial"/>
                <w:sz w:val="28"/>
                <w:szCs w:val="28"/>
                <w:color w:val="auto"/>
                <w:w w:val="95"/>
                <w:vertAlign w:val="superscript"/>
              </w:rPr>
              <w:t>th</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0%</w:t>
            </w:r>
          </w:p>
        </w:tc>
      </w:tr>
      <w:tr>
        <w:trPr>
          <w:trHeight w:val="277"/>
        </w:trPr>
        <w:tc>
          <w:tcPr>
            <w:tcW w:w="18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Threshold</w:t>
            </w:r>
          </w:p>
        </w:tc>
        <w:tc>
          <w:tcPr>
            <w:tcW w:w="1420" w:type="dxa"/>
            <w:vAlign w:val="bottom"/>
            <w:tcBorders>
              <w:bottom w:val="single" w:sz="8" w:color="939598"/>
            </w:tcBorders>
          </w:tcPr>
          <w:p>
            <w:pPr>
              <w:jc w:val="center"/>
              <w:ind w:left="283"/>
              <w:spacing w:after="0"/>
              <w:rPr>
                <w:sz w:val="20"/>
                <w:szCs w:val="20"/>
                <w:color w:val="auto"/>
              </w:rPr>
            </w:pPr>
            <w:r>
              <w:rPr>
                <w:rFonts w:ascii="Arial" w:cs="Arial" w:eastAsia="Arial" w:hAnsi="Arial"/>
                <w:sz w:val="17"/>
                <w:szCs w:val="17"/>
                <w:color w:val="auto"/>
                <w:w w:val="99"/>
              </w:rPr>
              <w:t>80%</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25%</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80%</w:t>
            </w:r>
          </w:p>
        </w:tc>
        <w:tc>
          <w:tcPr>
            <w:tcW w:w="1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7"/>
              </w:rPr>
              <w:t>5%</w:t>
            </w:r>
          </w:p>
        </w:tc>
        <w:tc>
          <w:tcPr>
            <w:tcW w:w="1060" w:type="dxa"/>
            <w:vAlign w:val="bottom"/>
            <w:tcBorders>
              <w:bottom w:val="single" w:sz="8" w:color="939598"/>
            </w:tcBorders>
          </w:tcPr>
          <w:p>
            <w:pPr>
              <w:jc w:val="center"/>
              <w:spacing w:after="0" w:line="277" w:lineRule="exact"/>
              <w:rPr>
                <w:sz w:val="20"/>
                <w:szCs w:val="20"/>
                <w:color w:val="auto"/>
              </w:rPr>
            </w:pPr>
            <w:r>
              <w:rPr>
                <w:rFonts w:ascii="Arial" w:cs="Arial" w:eastAsia="Arial" w:hAnsi="Arial"/>
                <w:sz w:val="17"/>
                <w:szCs w:val="17"/>
                <w:color w:val="auto"/>
                <w:w w:val="92"/>
              </w:rPr>
              <w:t>25</w:t>
            </w:r>
            <w:r>
              <w:rPr>
                <w:rFonts w:ascii="Arial" w:cs="Arial" w:eastAsia="Arial" w:hAnsi="Arial"/>
                <w:sz w:val="28"/>
                <w:szCs w:val="28"/>
                <w:color w:val="auto"/>
                <w:w w:val="92"/>
                <w:vertAlign w:val="superscript"/>
              </w:rPr>
              <w:t>th</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12.5%</w:t>
            </w:r>
          </w:p>
        </w:tc>
      </w:tr>
      <w:tr>
        <w:trPr>
          <w:trHeight w:val="277"/>
        </w:trPr>
        <w:tc>
          <w:tcPr>
            <w:tcW w:w="1880" w:type="dxa"/>
            <w:vAlign w:val="bottom"/>
            <w:tcBorders>
              <w:bottom w:val="single" w:sz="8" w:color="939598"/>
            </w:tcBorders>
          </w:tcPr>
          <w:p>
            <w:pPr>
              <w:ind w:left="140"/>
              <w:spacing w:after="0"/>
              <w:rPr>
                <w:sz w:val="20"/>
                <w:szCs w:val="20"/>
                <w:color w:val="auto"/>
              </w:rPr>
            </w:pPr>
            <w:r>
              <w:rPr>
                <w:rFonts w:ascii="Arial" w:cs="Arial" w:eastAsia="Arial" w:hAnsi="Arial"/>
                <w:sz w:val="17"/>
                <w:szCs w:val="17"/>
                <w:color w:val="auto"/>
              </w:rPr>
              <w:t>Target</w:t>
            </w:r>
          </w:p>
        </w:tc>
        <w:tc>
          <w:tcPr>
            <w:tcW w:w="1420" w:type="dxa"/>
            <w:vAlign w:val="bottom"/>
            <w:tcBorders>
              <w:bottom w:val="single" w:sz="8" w:color="939598"/>
            </w:tcBorders>
          </w:tcPr>
          <w:p>
            <w:pPr>
              <w:jc w:val="center"/>
              <w:ind w:left="263"/>
              <w:spacing w:after="0"/>
              <w:rPr>
                <w:sz w:val="20"/>
                <w:szCs w:val="20"/>
                <w:color w:val="auto"/>
              </w:rPr>
            </w:pPr>
            <w:r>
              <w:rPr>
                <w:rFonts w:ascii="Arial" w:cs="Arial" w:eastAsia="Arial" w:hAnsi="Arial"/>
                <w:sz w:val="17"/>
                <w:szCs w:val="17"/>
                <w:color w:val="auto"/>
              </w:rPr>
              <w:t>100%</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50%</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rPr>
              <w:t>98%-102%</w:t>
            </w:r>
          </w:p>
        </w:tc>
        <w:tc>
          <w:tcPr>
            <w:tcW w:w="114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25%</w:t>
            </w:r>
          </w:p>
        </w:tc>
        <w:tc>
          <w:tcPr>
            <w:tcW w:w="1060" w:type="dxa"/>
            <w:vAlign w:val="bottom"/>
            <w:tcBorders>
              <w:bottom w:val="single" w:sz="8" w:color="939598"/>
            </w:tcBorders>
          </w:tcPr>
          <w:p>
            <w:pPr>
              <w:jc w:val="center"/>
              <w:spacing w:after="0" w:line="277" w:lineRule="exact"/>
              <w:rPr>
                <w:sz w:val="20"/>
                <w:szCs w:val="20"/>
                <w:color w:val="auto"/>
              </w:rPr>
            </w:pPr>
            <w:r>
              <w:rPr>
                <w:rFonts w:ascii="Arial" w:cs="Arial" w:eastAsia="Arial" w:hAnsi="Arial"/>
                <w:sz w:val="17"/>
                <w:szCs w:val="17"/>
                <w:color w:val="auto"/>
                <w:w w:val="92"/>
              </w:rPr>
              <w:t>50</w:t>
            </w:r>
            <w:r>
              <w:rPr>
                <w:rFonts w:ascii="Arial" w:cs="Arial" w:eastAsia="Arial" w:hAnsi="Arial"/>
                <w:sz w:val="28"/>
                <w:szCs w:val="28"/>
                <w:color w:val="auto"/>
                <w:w w:val="92"/>
                <w:vertAlign w:val="superscript"/>
              </w:rPr>
              <w:t>th</w:t>
            </w:r>
          </w:p>
        </w:tc>
        <w:tc>
          <w:tcPr>
            <w:tcW w:w="1120" w:type="dxa"/>
            <w:vAlign w:val="bottom"/>
            <w:tcBorders>
              <w:bottom w:val="single" w:sz="8" w:color="939598"/>
            </w:tcBorders>
          </w:tcPr>
          <w:p>
            <w:pPr>
              <w:jc w:val="center"/>
              <w:spacing w:after="0"/>
              <w:rPr>
                <w:sz w:val="20"/>
                <w:szCs w:val="20"/>
                <w:color w:val="auto"/>
              </w:rPr>
            </w:pPr>
            <w:r>
              <w:rPr>
                <w:rFonts w:ascii="Arial" w:cs="Arial" w:eastAsia="Arial" w:hAnsi="Arial"/>
                <w:sz w:val="17"/>
                <w:szCs w:val="17"/>
                <w:color w:val="auto"/>
                <w:w w:val="99"/>
              </w:rPr>
              <w:t>25%</w:t>
            </w:r>
          </w:p>
        </w:tc>
      </w:tr>
      <w:tr>
        <w:trPr>
          <w:trHeight w:val="250"/>
        </w:trPr>
        <w:tc>
          <w:tcPr>
            <w:tcW w:w="1880" w:type="dxa"/>
            <w:vAlign w:val="bottom"/>
            <w:tcBorders>
              <w:bottom w:val="single" w:sz="8" w:color="F0533D"/>
            </w:tcBorders>
          </w:tcPr>
          <w:p>
            <w:pPr>
              <w:ind w:left="140"/>
              <w:spacing w:after="0"/>
              <w:rPr>
                <w:sz w:val="20"/>
                <w:szCs w:val="20"/>
                <w:color w:val="auto"/>
              </w:rPr>
            </w:pPr>
            <w:r>
              <w:rPr>
                <w:rFonts w:ascii="Arial" w:cs="Arial" w:eastAsia="Arial" w:hAnsi="Arial"/>
                <w:sz w:val="17"/>
                <w:szCs w:val="17"/>
                <w:color w:val="auto"/>
              </w:rPr>
              <w:t>Maximum</w:t>
            </w:r>
          </w:p>
        </w:tc>
        <w:tc>
          <w:tcPr>
            <w:tcW w:w="1420" w:type="dxa"/>
            <w:vAlign w:val="bottom"/>
            <w:tcBorders>
              <w:bottom w:val="single" w:sz="8" w:color="F0533D"/>
            </w:tcBorders>
          </w:tcPr>
          <w:p>
            <w:pPr>
              <w:jc w:val="center"/>
              <w:ind w:left="263"/>
              <w:spacing w:after="0"/>
              <w:rPr>
                <w:sz w:val="20"/>
                <w:szCs w:val="20"/>
                <w:color w:val="auto"/>
              </w:rPr>
            </w:pPr>
            <w:r>
              <w:rPr>
                <w:rFonts w:ascii="Arial" w:cs="Arial" w:eastAsia="Arial" w:hAnsi="Arial"/>
                <w:sz w:val="17"/>
                <w:szCs w:val="17"/>
                <w:color w:val="auto"/>
              </w:rPr>
              <w:t>120%</w:t>
            </w:r>
          </w:p>
        </w:tc>
        <w:tc>
          <w:tcPr>
            <w:tcW w:w="1120" w:type="dxa"/>
            <w:vAlign w:val="bottom"/>
            <w:tcBorders>
              <w:bottom w:val="single" w:sz="8" w:color="F0533D"/>
            </w:tcBorders>
          </w:tcPr>
          <w:p>
            <w:pPr>
              <w:jc w:val="center"/>
              <w:spacing w:after="0"/>
              <w:rPr>
                <w:sz w:val="20"/>
                <w:szCs w:val="20"/>
                <w:color w:val="auto"/>
              </w:rPr>
            </w:pPr>
            <w:r>
              <w:rPr>
                <w:rFonts w:ascii="Arial" w:cs="Arial" w:eastAsia="Arial" w:hAnsi="Arial"/>
                <w:sz w:val="17"/>
                <w:szCs w:val="17"/>
                <w:color w:val="auto"/>
                <w:w w:val="99"/>
              </w:rPr>
              <w:t>75%</w:t>
            </w:r>
          </w:p>
        </w:tc>
        <w:tc>
          <w:tcPr>
            <w:tcW w:w="1120" w:type="dxa"/>
            <w:vAlign w:val="bottom"/>
            <w:tcBorders>
              <w:bottom w:val="single" w:sz="8" w:color="F0533D"/>
            </w:tcBorders>
          </w:tcPr>
          <w:p>
            <w:pPr>
              <w:jc w:val="center"/>
              <w:spacing w:after="0"/>
              <w:rPr>
                <w:sz w:val="20"/>
                <w:szCs w:val="20"/>
                <w:color w:val="auto"/>
              </w:rPr>
            </w:pPr>
            <w:r>
              <w:rPr>
                <w:rFonts w:ascii="Arial" w:cs="Arial" w:eastAsia="Arial" w:hAnsi="Arial"/>
                <w:sz w:val="17"/>
                <w:szCs w:val="17"/>
                <w:color w:val="auto"/>
              </w:rPr>
              <w:t>120%</w:t>
            </w:r>
          </w:p>
        </w:tc>
        <w:tc>
          <w:tcPr>
            <w:tcW w:w="1140" w:type="dxa"/>
            <w:vAlign w:val="bottom"/>
            <w:tcBorders>
              <w:bottom w:val="single" w:sz="8" w:color="F0533D"/>
            </w:tcBorders>
          </w:tcPr>
          <w:p>
            <w:pPr>
              <w:jc w:val="center"/>
              <w:spacing w:after="0"/>
              <w:rPr>
                <w:sz w:val="20"/>
                <w:szCs w:val="20"/>
                <w:color w:val="auto"/>
              </w:rPr>
            </w:pPr>
            <w:r>
              <w:rPr>
                <w:rFonts w:ascii="Arial" w:cs="Arial" w:eastAsia="Arial" w:hAnsi="Arial"/>
                <w:sz w:val="17"/>
                <w:szCs w:val="17"/>
                <w:color w:val="auto"/>
                <w:w w:val="99"/>
              </w:rPr>
              <w:t>37.5%</w:t>
            </w:r>
          </w:p>
        </w:tc>
        <w:tc>
          <w:tcPr>
            <w:tcW w:w="1060" w:type="dxa"/>
            <w:vAlign w:val="bottom"/>
            <w:tcBorders>
              <w:bottom w:val="single" w:sz="8" w:color="F0533D"/>
            </w:tcBorders>
          </w:tcPr>
          <w:p>
            <w:pPr>
              <w:jc w:val="center"/>
              <w:spacing w:after="0" w:line="250" w:lineRule="exact"/>
              <w:rPr>
                <w:sz w:val="20"/>
                <w:szCs w:val="20"/>
                <w:color w:val="auto"/>
              </w:rPr>
            </w:pPr>
            <w:r>
              <w:rPr>
                <w:rFonts w:ascii="Arial" w:cs="Arial" w:eastAsia="Arial" w:hAnsi="Arial"/>
                <w:sz w:val="28"/>
                <w:szCs w:val="28"/>
                <w:color w:val="auto"/>
                <w:vertAlign w:val="subscript"/>
              </w:rPr>
              <w:t>75</w:t>
            </w:r>
            <w:r>
              <w:rPr>
                <w:rFonts w:ascii="Arial" w:cs="Arial" w:eastAsia="Arial" w:hAnsi="Arial"/>
                <w:sz w:val="13"/>
                <w:szCs w:val="13"/>
                <w:color w:val="auto"/>
              </w:rPr>
              <w:t>th(1)</w:t>
            </w:r>
          </w:p>
        </w:tc>
        <w:tc>
          <w:tcPr>
            <w:tcW w:w="1120" w:type="dxa"/>
            <w:vAlign w:val="bottom"/>
            <w:tcBorders>
              <w:bottom w:val="single" w:sz="8" w:color="F0533D"/>
            </w:tcBorders>
          </w:tcPr>
          <w:p>
            <w:pPr>
              <w:jc w:val="center"/>
              <w:spacing w:after="0" w:line="250" w:lineRule="exact"/>
              <w:rPr>
                <w:sz w:val="20"/>
                <w:szCs w:val="20"/>
                <w:color w:val="auto"/>
              </w:rPr>
            </w:pPr>
            <w:r>
              <w:rPr>
                <w:rFonts w:ascii="Arial" w:cs="Arial" w:eastAsia="Arial" w:hAnsi="Arial"/>
                <w:sz w:val="17"/>
                <w:szCs w:val="17"/>
                <w:color w:val="auto"/>
                <w:w w:val="92"/>
              </w:rPr>
              <w:t>37.5%</w:t>
            </w:r>
            <w:r>
              <w:rPr>
                <w:rFonts w:ascii="Arial" w:cs="Arial" w:eastAsia="Arial" w:hAnsi="Arial"/>
                <w:sz w:val="28"/>
                <w:szCs w:val="28"/>
                <w:color w:val="auto"/>
                <w:w w:val="92"/>
                <w:vertAlign w:val="superscript"/>
              </w:rPr>
              <w:t>(1)</w:t>
            </w:r>
          </w:p>
        </w:tc>
      </w:tr>
    </w:tbl>
    <w:p>
      <w:pPr>
        <w:spacing w:after="0" w:line="172" w:lineRule="exact"/>
        <w:rPr>
          <w:sz w:val="20"/>
          <w:szCs w:val="20"/>
          <w:color w:val="auto"/>
        </w:rPr>
      </w:pPr>
    </w:p>
    <w:p>
      <w:pPr>
        <w:ind w:left="540" w:right="119" w:hanging="356"/>
        <w:spacing w:after="0" w:line="206" w:lineRule="auto"/>
        <w:tabs>
          <w:tab w:leader="none" w:pos="540" w:val="left"/>
        </w:tabs>
        <w:numPr>
          <w:ilvl w:val="0"/>
          <w:numId w:val="72"/>
        </w:numPr>
        <w:rPr>
          <w:rFonts w:ascii="Arial" w:cs="Arial" w:eastAsia="Arial" w:hAnsi="Arial"/>
          <w:sz w:val="23"/>
          <w:szCs w:val="23"/>
          <w:color w:val="auto"/>
          <w:vertAlign w:val="superscript"/>
        </w:rPr>
      </w:pPr>
      <w:r>
        <w:rPr>
          <w:rFonts w:ascii="Arial" w:cs="Arial" w:eastAsia="Arial" w:hAnsi="Arial"/>
          <w:sz w:val="15"/>
          <w:szCs w:val="15"/>
          <w:color w:val="auto"/>
        </w:rPr>
        <w:t>Beginning with the fiscal 2024-2026 performance period, the CHC Committee made the following changes to the Relative TSR performance criteria to reduce the Monte Carlo valuation premium (relative to the Company’s stock price) and align the accounting valuation of the Relative TSR PSUs with the accounting valuation of other PSUs and RSUs:</w:t>
      </w:r>
    </w:p>
    <w:p>
      <w:pPr>
        <w:spacing w:after="0" w:line="25" w:lineRule="exact"/>
        <w:rPr>
          <w:rFonts w:ascii="Arial" w:cs="Arial" w:eastAsia="Arial" w:hAnsi="Arial"/>
          <w:sz w:val="23"/>
          <w:szCs w:val="23"/>
          <w:color w:val="auto"/>
          <w:vertAlign w:val="superscript"/>
        </w:rPr>
      </w:pPr>
    </w:p>
    <w:p>
      <w:pPr>
        <w:ind w:left="900" w:hanging="356"/>
        <w:spacing w:after="0"/>
        <w:tabs>
          <w:tab w:leader="none" w:pos="900" w:val="left"/>
        </w:tabs>
        <w:numPr>
          <w:ilvl w:val="1"/>
          <w:numId w:val="72"/>
        </w:numPr>
        <w:rPr>
          <w:rFonts w:ascii="Arial" w:cs="Arial" w:eastAsia="Arial" w:hAnsi="Arial"/>
          <w:sz w:val="14"/>
          <w:szCs w:val="14"/>
          <w:color w:val="F0533D"/>
        </w:rPr>
      </w:pPr>
      <w:r>
        <w:rPr>
          <w:rFonts w:ascii="Arial" w:cs="Arial" w:eastAsia="Arial" w:hAnsi="Arial"/>
          <w:sz w:val="14"/>
          <w:szCs w:val="14"/>
          <w:color w:val="auto"/>
        </w:rPr>
        <w:t>Changed the maximum payout to 150% of target at the 75th percentile (from 200% at the 90th percentile);</w:t>
      </w:r>
    </w:p>
    <w:p>
      <w:pPr>
        <w:spacing w:after="0" w:line="55" w:lineRule="exact"/>
        <w:rPr>
          <w:rFonts w:ascii="Arial" w:cs="Arial" w:eastAsia="Arial" w:hAnsi="Arial"/>
          <w:sz w:val="14"/>
          <w:szCs w:val="14"/>
          <w:color w:val="F0533D"/>
        </w:rPr>
      </w:pPr>
    </w:p>
    <w:p>
      <w:pPr>
        <w:ind w:left="900" w:right="119" w:hanging="356"/>
        <w:spacing w:after="0" w:line="256" w:lineRule="auto"/>
        <w:tabs>
          <w:tab w:leader="none" w:pos="900" w:val="left"/>
        </w:tabs>
        <w:numPr>
          <w:ilvl w:val="1"/>
          <w:numId w:val="72"/>
        </w:numPr>
        <w:rPr>
          <w:rFonts w:ascii="Arial" w:cs="Arial" w:eastAsia="Arial" w:hAnsi="Arial"/>
          <w:sz w:val="14"/>
          <w:szCs w:val="14"/>
          <w:color w:val="F0533D"/>
        </w:rPr>
      </w:pPr>
      <w:r>
        <w:rPr>
          <w:rFonts w:ascii="Arial" w:cs="Arial" w:eastAsia="Arial" w:hAnsi="Arial"/>
          <w:sz w:val="14"/>
          <w:szCs w:val="14"/>
          <w:color w:val="auto"/>
        </w:rPr>
        <w:t>Capped the maximum payout value at 400% of the target number of Relative TSR PSUs multiplied by the grant date closing stock price, as measured by the closing stock price on the last day of the performance period, so that should performance and stock price result in the value exceeding this 400% cap at the end of the performance period, the number of PSUs distributed will be reduced to align with the cap; and</w:t>
      </w:r>
    </w:p>
    <w:p>
      <w:pPr>
        <w:spacing w:after="0" w:line="15" w:lineRule="exact"/>
        <w:rPr>
          <w:rFonts w:ascii="Arial" w:cs="Arial" w:eastAsia="Arial" w:hAnsi="Arial"/>
          <w:sz w:val="14"/>
          <w:szCs w:val="14"/>
          <w:color w:val="F0533D"/>
        </w:rPr>
      </w:pPr>
    </w:p>
    <w:p>
      <w:pPr>
        <w:ind w:left="900" w:hanging="356"/>
        <w:spacing w:after="0"/>
        <w:tabs>
          <w:tab w:leader="none" w:pos="900" w:val="left"/>
        </w:tabs>
        <w:numPr>
          <w:ilvl w:val="1"/>
          <w:numId w:val="72"/>
        </w:numPr>
        <w:rPr>
          <w:rFonts w:ascii="Arial" w:cs="Arial" w:eastAsia="Arial" w:hAnsi="Arial"/>
          <w:sz w:val="14"/>
          <w:szCs w:val="14"/>
          <w:color w:val="F0533D"/>
        </w:rPr>
      </w:pPr>
      <w:r>
        <w:rPr>
          <w:rFonts w:ascii="Arial" w:cs="Arial" w:eastAsia="Arial" w:hAnsi="Arial"/>
          <w:sz w:val="14"/>
          <w:szCs w:val="14"/>
          <w:color w:val="auto"/>
        </w:rPr>
        <w:t>Aligned the Relative TSR performance start date with the grant date (from the beginning of the fiscal year).</w:t>
      </w:r>
    </w:p>
    <w:p>
      <w:pPr>
        <w:spacing w:after="0" w:line="110" w:lineRule="exact"/>
        <w:rPr>
          <w:sz w:val="20"/>
          <w:szCs w:val="20"/>
          <w:color w:val="auto"/>
        </w:rPr>
      </w:pPr>
    </w:p>
    <w:p>
      <w:pPr>
        <w:ind w:left="80" w:right="219"/>
        <w:spacing w:after="0" w:line="241" w:lineRule="auto"/>
        <w:rPr>
          <w:sz w:val="20"/>
          <w:szCs w:val="20"/>
          <w:color w:val="auto"/>
        </w:rPr>
      </w:pPr>
      <w:r>
        <w:rPr>
          <w:rFonts w:ascii="Arial" w:cs="Arial" w:eastAsia="Arial" w:hAnsi="Arial"/>
          <w:sz w:val="17"/>
          <w:szCs w:val="17"/>
          <w:color w:val="auto"/>
        </w:rPr>
        <w:t>If actual performance with respect to a performance criterion is determined by the CHC Committee to fall between the Threshold and Target levels of achievement or the Target and Maximum levels of achievement, then the percentage of PSUs that vest will be determined by linear interpolation. Notwithstanding the foregoing, if our TSR at the end of the performance period is negative, the percentage of PSUs that vest in respect of Relative TSR will be capped at 100%.</w:t>
      </w:r>
    </w:p>
    <w:p>
      <w:pPr>
        <w:spacing w:after="0" w:line="85" w:lineRule="exact"/>
        <w:rPr>
          <w:sz w:val="20"/>
          <w:szCs w:val="20"/>
          <w:color w:val="auto"/>
        </w:rPr>
      </w:pPr>
    </w:p>
    <w:p>
      <w:pPr>
        <w:ind w:left="80" w:right="699"/>
        <w:spacing w:after="0" w:line="267" w:lineRule="auto"/>
        <w:rPr>
          <w:sz w:val="20"/>
          <w:szCs w:val="20"/>
          <w:color w:val="auto"/>
        </w:rPr>
      </w:pPr>
      <w:r>
        <w:rPr>
          <w:rFonts w:ascii="Arial" w:cs="Arial" w:eastAsia="Arial" w:hAnsi="Arial"/>
          <w:sz w:val="17"/>
          <w:szCs w:val="17"/>
          <w:color w:val="auto"/>
        </w:rPr>
        <w:t>For information about the treatment of the RSUs and PSUs in the event of certain terminations or a change in control, see “Potential Payments upon Termination or Change in Control” below.</w:t>
      </w:r>
    </w:p>
    <w:p>
      <w:pPr>
        <w:spacing w:after="0" w:line="78" w:lineRule="exact"/>
        <w:rPr>
          <w:sz w:val="20"/>
          <w:szCs w:val="20"/>
          <w:color w:val="auto"/>
        </w:rPr>
      </w:pPr>
    </w:p>
    <w:p>
      <w:pPr>
        <w:ind w:left="80" w:right="239"/>
        <w:spacing w:after="0" w:line="241" w:lineRule="auto"/>
        <w:rPr>
          <w:sz w:val="20"/>
          <w:szCs w:val="20"/>
          <w:color w:val="auto"/>
        </w:rPr>
      </w:pPr>
      <w:r>
        <w:rPr>
          <w:rFonts w:ascii="Arial" w:cs="Arial" w:eastAsia="Arial" w:hAnsi="Arial"/>
          <w:sz w:val="17"/>
          <w:szCs w:val="17"/>
          <w:color w:val="auto"/>
        </w:rPr>
        <w:t>The table below shows the actual results based on the Company’s fiscal 2024-2026 performance (beginning from April 1, 2023 through March 31, 2026) and the payouts on the 2024 PSU award associated with each of the metrics as a percentage of target. 50% of the grant date value of the PSUs was based on Adjusted Operating Cash Flow, 25% was based on cumulative Signings, and 25% was based on TSR versus companies in the S&amp;P MidCap 400 Index. The weighted payout percentage of 85% of the aggregate target shares awarded across all three metrics.</w:t>
      </w:r>
    </w:p>
    <w:p>
      <w:pPr>
        <w:spacing w:after="0" w:line="219"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560" w:type="dxa"/>
            <w:vAlign w:val="bottom"/>
          </w:tcPr>
          <w:p>
            <w:pPr>
              <w:spacing w:after="0"/>
              <w:rPr>
                <w:sz w:val="17"/>
                <w:szCs w:val="17"/>
                <w:color w:val="auto"/>
              </w:rPr>
            </w:pPr>
          </w:p>
        </w:tc>
        <w:tc>
          <w:tcPr>
            <w:tcW w:w="3040" w:type="dxa"/>
            <w:vAlign w:val="bottom"/>
            <w:tcBorders>
              <w:bottom w:val="single" w:sz="8" w:color="F0533D"/>
            </w:tcBorders>
            <w:gridSpan w:val="3"/>
          </w:tcPr>
          <w:p>
            <w:pPr>
              <w:jc w:val="center"/>
              <w:spacing w:after="0"/>
              <w:rPr>
                <w:sz w:val="20"/>
                <w:szCs w:val="20"/>
                <w:color w:val="auto"/>
              </w:rPr>
            </w:pPr>
            <w:r>
              <w:rPr>
                <w:rFonts w:ascii="Arial" w:cs="Arial" w:eastAsia="Arial" w:hAnsi="Arial"/>
                <w:sz w:val="14"/>
                <w:szCs w:val="14"/>
                <w:b w:val="1"/>
                <w:bCs w:val="1"/>
                <w:color w:val="F0533D"/>
              </w:rPr>
              <w:t>Performance Level</w:t>
            </w: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75"/>
        </w:trPr>
        <w:tc>
          <w:tcPr>
            <w:tcW w:w="2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F0533D"/>
              </w:rPr>
              <w:t>Component</w:t>
            </w:r>
          </w:p>
        </w:tc>
      </w:tr>
      <w:tr>
        <w:trPr>
          <w:trHeight w:val="197"/>
        </w:trPr>
        <w:tc>
          <w:tcPr>
            <w:tcW w:w="256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2024-2026 Metrics</w:t>
            </w:r>
          </w:p>
        </w:tc>
        <w:tc>
          <w:tcPr>
            <w:tcW w:w="10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Threshold</w:t>
            </w:r>
          </w:p>
        </w:tc>
        <w:tc>
          <w:tcPr>
            <w:tcW w:w="10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Target</w:t>
            </w:r>
          </w:p>
        </w:tc>
        <w:tc>
          <w:tcPr>
            <w:tcW w:w="10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Maximum</w:t>
            </w:r>
          </w:p>
        </w:tc>
        <w:tc>
          <w:tcPr>
            <w:tcW w:w="134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Results</w:t>
            </w:r>
          </w:p>
        </w:tc>
        <w:tc>
          <w:tcPr>
            <w:tcW w:w="9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Attainment</w:t>
            </w:r>
          </w:p>
        </w:tc>
        <w:tc>
          <w:tcPr>
            <w:tcW w:w="10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Score</w:t>
            </w:r>
          </w:p>
        </w:tc>
      </w:tr>
      <w:tr>
        <w:trPr>
          <w:trHeight w:val="278"/>
        </w:trPr>
        <w:tc>
          <w:tcPr>
            <w:tcW w:w="2560" w:type="dxa"/>
            <w:vAlign w:val="bottom"/>
            <w:tcBorders>
              <w:bottom w:val="single" w:sz="8" w:color="939598"/>
            </w:tcBorders>
          </w:tcPr>
          <w:p>
            <w:pPr>
              <w:ind w:left="160"/>
              <w:spacing w:after="0"/>
              <w:rPr>
                <w:sz w:val="20"/>
                <w:szCs w:val="20"/>
                <w:color w:val="auto"/>
              </w:rPr>
            </w:pPr>
            <w:r>
              <w:rPr>
                <w:rFonts w:ascii="Arial" w:cs="Arial" w:eastAsia="Arial" w:hAnsi="Arial"/>
                <w:sz w:val="16"/>
                <w:szCs w:val="16"/>
                <w:color w:val="auto"/>
              </w:rPr>
              <w:t>Adjusted Operating Cash Flow</w:t>
            </w:r>
          </w:p>
        </w:tc>
        <w:tc>
          <w:tcPr>
            <w:tcW w:w="1000" w:type="dxa"/>
            <w:vAlign w:val="bottom"/>
            <w:tcBorders>
              <w:bottom w:val="single" w:sz="8" w:color="939598"/>
            </w:tcBorders>
          </w:tcPr>
          <w:p>
            <w:pPr>
              <w:ind w:left="60"/>
              <w:spacing w:after="0"/>
              <w:rPr>
                <w:sz w:val="20"/>
                <w:szCs w:val="20"/>
                <w:color w:val="auto"/>
              </w:rPr>
            </w:pPr>
            <w:r>
              <w:rPr>
                <w:rFonts w:ascii="Arial" w:cs="Arial" w:eastAsia="Arial" w:hAnsi="Arial"/>
                <w:sz w:val="16"/>
                <w:szCs w:val="16"/>
                <w:color w:val="auto"/>
              </w:rPr>
              <w:t>$2.6 billion</w:t>
            </w:r>
          </w:p>
        </w:tc>
        <w:tc>
          <w:tcPr>
            <w:tcW w:w="1020" w:type="dxa"/>
            <w:vAlign w:val="bottom"/>
            <w:tcBorders>
              <w:bottom w:val="single" w:sz="8" w:color="939598"/>
            </w:tcBorders>
          </w:tcPr>
          <w:p>
            <w:pPr>
              <w:ind w:left="80"/>
              <w:spacing w:after="0"/>
              <w:rPr>
                <w:sz w:val="20"/>
                <w:szCs w:val="20"/>
                <w:color w:val="auto"/>
              </w:rPr>
            </w:pPr>
            <w:r>
              <w:rPr>
                <w:rFonts w:ascii="Arial" w:cs="Arial" w:eastAsia="Arial" w:hAnsi="Arial"/>
                <w:sz w:val="16"/>
                <w:szCs w:val="16"/>
                <w:color w:val="auto"/>
              </w:rPr>
              <w:t>$3.2 billion</w:t>
            </w:r>
          </w:p>
        </w:tc>
        <w:tc>
          <w:tcPr>
            <w:tcW w:w="1020" w:type="dxa"/>
            <w:vAlign w:val="bottom"/>
            <w:tcBorders>
              <w:bottom w:val="single" w:sz="8" w:color="939598"/>
            </w:tcBorders>
          </w:tcPr>
          <w:p>
            <w:pPr>
              <w:ind w:left="80"/>
              <w:spacing w:after="0"/>
              <w:rPr>
                <w:sz w:val="20"/>
                <w:szCs w:val="20"/>
                <w:color w:val="auto"/>
              </w:rPr>
            </w:pPr>
            <w:r>
              <w:rPr>
                <w:rFonts w:ascii="Arial" w:cs="Arial" w:eastAsia="Arial" w:hAnsi="Arial"/>
                <w:sz w:val="16"/>
                <w:szCs w:val="16"/>
                <w:color w:val="auto"/>
              </w:rPr>
              <w:t>$3.9 billion</w:t>
            </w:r>
          </w:p>
        </w:tc>
        <w:tc>
          <w:tcPr>
            <w:tcW w:w="1340" w:type="dxa"/>
            <w:vAlign w:val="bottom"/>
            <w:tcBorders>
              <w:bottom w:val="single" w:sz="8" w:color="939598"/>
            </w:tcBorders>
          </w:tcPr>
          <w:p>
            <w:pPr>
              <w:ind w:left="60"/>
              <w:spacing w:after="0" w:line="278" w:lineRule="exact"/>
              <w:rPr>
                <w:sz w:val="20"/>
                <w:szCs w:val="20"/>
                <w:color w:val="auto"/>
              </w:rPr>
            </w:pPr>
            <w:r>
              <w:rPr>
                <w:rFonts w:ascii="Arial" w:cs="Arial" w:eastAsia="Arial" w:hAnsi="Arial"/>
                <w:sz w:val="16"/>
                <w:szCs w:val="16"/>
                <w:color w:val="auto"/>
              </w:rPr>
              <w:t>$3.2 billion</w:t>
            </w:r>
            <w:r>
              <w:rPr>
                <w:rFonts w:ascii="Arial" w:cs="Arial" w:eastAsia="Arial" w:hAnsi="Arial"/>
                <w:sz w:val="26"/>
                <w:szCs w:val="26"/>
                <w:color w:val="auto"/>
                <w:vertAlign w:val="superscript"/>
              </w:rPr>
              <w:t>(1)(2)</w:t>
            </w:r>
          </w:p>
        </w:tc>
        <w:tc>
          <w:tcPr>
            <w:tcW w:w="9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w w:val="99"/>
              </w:rPr>
              <w:t>99%</w:t>
            </w:r>
          </w:p>
        </w:tc>
        <w:tc>
          <w:tcPr>
            <w:tcW w:w="102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w w:val="99"/>
              </w:rPr>
              <w:t>99%</w:t>
            </w:r>
          </w:p>
        </w:tc>
      </w:tr>
      <w:tr>
        <w:trPr>
          <w:trHeight w:val="263"/>
        </w:trPr>
        <w:tc>
          <w:tcPr>
            <w:tcW w:w="2560" w:type="dxa"/>
            <w:vAlign w:val="bottom"/>
            <w:tcBorders>
              <w:bottom w:val="single" w:sz="8" w:color="939598"/>
            </w:tcBorders>
          </w:tcPr>
          <w:p>
            <w:pPr>
              <w:ind w:left="160"/>
              <w:spacing w:after="0"/>
              <w:rPr>
                <w:sz w:val="20"/>
                <w:szCs w:val="20"/>
                <w:color w:val="auto"/>
              </w:rPr>
            </w:pPr>
            <w:r>
              <w:rPr>
                <w:rFonts w:ascii="Arial" w:cs="Arial" w:eastAsia="Arial" w:hAnsi="Arial"/>
                <w:sz w:val="16"/>
                <w:szCs w:val="16"/>
                <w:color w:val="auto"/>
              </w:rPr>
              <w:t>Signings</w:t>
            </w:r>
          </w:p>
        </w:tc>
        <w:tc>
          <w:tcPr>
            <w:tcW w:w="10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$40.3 billion</w:t>
            </w:r>
          </w:p>
        </w:tc>
        <w:tc>
          <w:tcPr>
            <w:tcW w:w="102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$50.3 billion</w:t>
            </w:r>
          </w:p>
        </w:tc>
        <w:tc>
          <w:tcPr>
            <w:tcW w:w="102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$60.4 billion</w:t>
            </w:r>
          </w:p>
        </w:tc>
        <w:tc>
          <w:tcPr>
            <w:tcW w:w="1340" w:type="dxa"/>
            <w:vAlign w:val="bottom"/>
            <w:tcBorders>
              <w:bottom w:val="single" w:sz="8" w:color="939598"/>
            </w:tcBorders>
          </w:tcPr>
          <w:p>
            <w:pPr>
              <w:jc w:val="center"/>
              <w:spacing w:after="0" w:line="263" w:lineRule="exact"/>
              <w:rPr>
                <w:sz w:val="20"/>
                <w:szCs w:val="20"/>
                <w:color w:val="auto"/>
              </w:rPr>
            </w:pPr>
            <w:r>
              <w:rPr>
                <w:rFonts w:ascii="Arial" w:cs="Arial" w:eastAsia="Arial" w:hAnsi="Arial"/>
                <w:sz w:val="16"/>
                <w:szCs w:val="16"/>
                <w:color w:val="auto"/>
                <w:w w:val="93"/>
              </w:rPr>
              <w:t>$45.5 billion</w:t>
            </w:r>
            <w:r>
              <w:rPr>
                <w:rFonts w:ascii="Arial" w:cs="Arial" w:eastAsia="Arial" w:hAnsi="Arial"/>
                <w:sz w:val="26"/>
                <w:szCs w:val="26"/>
                <w:color w:val="auto"/>
                <w:w w:val="93"/>
                <w:vertAlign w:val="superscript"/>
              </w:rPr>
              <w:t>(1)(3)</w:t>
            </w:r>
          </w:p>
        </w:tc>
        <w:tc>
          <w:tcPr>
            <w:tcW w:w="9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w w:val="99"/>
              </w:rPr>
              <w:t>90%</w:t>
            </w:r>
          </w:p>
        </w:tc>
        <w:tc>
          <w:tcPr>
            <w:tcW w:w="102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w w:val="99"/>
              </w:rPr>
              <w:t>66%</w:t>
            </w:r>
          </w:p>
        </w:tc>
      </w:tr>
      <w:tr>
        <w:trPr>
          <w:trHeight w:val="237"/>
        </w:trPr>
        <w:tc>
          <w:tcPr>
            <w:tcW w:w="2560" w:type="dxa"/>
            <w:vAlign w:val="bottom"/>
            <w:tcBorders>
              <w:bottom w:val="single" w:sz="8" w:color="F0533D"/>
            </w:tcBorders>
          </w:tcPr>
          <w:p>
            <w:pPr>
              <w:ind w:left="160"/>
              <w:spacing w:after="0"/>
              <w:rPr>
                <w:sz w:val="20"/>
                <w:szCs w:val="20"/>
                <w:color w:val="auto"/>
              </w:rPr>
            </w:pPr>
            <w:r>
              <w:rPr>
                <w:rFonts w:ascii="Arial" w:cs="Arial" w:eastAsia="Arial" w:hAnsi="Arial"/>
                <w:sz w:val="16"/>
                <w:szCs w:val="16"/>
                <w:color w:val="auto"/>
              </w:rPr>
              <w:t>Relative TSR percentile</w:t>
            </w:r>
          </w:p>
        </w:tc>
        <w:tc>
          <w:tcPr>
            <w:tcW w:w="1000" w:type="dxa"/>
            <w:vAlign w:val="bottom"/>
            <w:tcBorders>
              <w:bottom w:val="single" w:sz="8" w:color="F0533D"/>
            </w:tcBorders>
          </w:tcPr>
          <w:p>
            <w:pPr>
              <w:jc w:val="center"/>
              <w:spacing w:after="0" w:line="236" w:lineRule="exact"/>
              <w:rPr>
                <w:sz w:val="20"/>
                <w:szCs w:val="20"/>
                <w:color w:val="auto"/>
              </w:rPr>
            </w:pPr>
            <w:r>
              <w:rPr>
                <w:rFonts w:ascii="Arial" w:cs="Arial" w:eastAsia="Arial" w:hAnsi="Arial"/>
                <w:sz w:val="16"/>
                <w:szCs w:val="16"/>
                <w:color w:val="auto"/>
                <w:w w:val="92"/>
              </w:rPr>
              <w:t>25</w:t>
            </w:r>
            <w:r>
              <w:rPr>
                <w:rFonts w:ascii="Arial" w:cs="Arial" w:eastAsia="Arial" w:hAnsi="Arial"/>
                <w:sz w:val="26"/>
                <w:szCs w:val="26"/>
                <w:color w:val="auto"/>
                <w:w w:val="92"/>
                <w:vertAlign w:val="superscript"/>
              </w:rPr>
              <w:t>th</w:t>
            </w:r>
          </w:p>
        </w:tc>
        <w:tc>
          <w:tcPr>
            <w:tcW w:w="1020" w:type="dxa"/>
            <w:vAlign w:val="bottom"/>
            <w:tcBorders>
              <w:bottom w:val="single" w:sz="8" w:color="F0533D"/>
            </w:tcBorders>
          </w:tcPr>
          <w:p>
            <w:pPr>
              <w:jc w:val="center"/>
              <w:spacing w:after="0" w:line="236" w:lineRule="exact"/>
              <w:rPr>
                <w:sz w:val="20"/>
                <w:szCs w:val="20"/>
                <w:color w:val="auto"/>
              </w:rPr>
            </w:pPr>
            <w:r>
              <w:rPr>
                <w:rFonts w:ascii="Arial" w:cs="Arial" w:eastAsia="Arial" w:hAnsi="Arial"/>
                <w:sz w:val="16"/>
                <w:szCs w:val="16"/>
                <w:color w:val="auto"/>
                <w:w w:val="86"/>
              </w:rPr>
              <w:t>50</w:t>
            </w:r>
            <w:r>
              <w:rPr>
                <w:rFonts w:ascii="Arial" w:cs="Arial" w:eastAsia="Arial" w:hAnsi="Arial"/>
                <w:sz w:val="26"/>
                <w:szCs w:val="26"/>
                <w:color w:val="auto"/>
                <w:w w:val="86"/>
                <w:vertAlign w:val="superscript"/>
              </w:rPr>
              <w:t>th</w:t>
            </w:r>
          </w:p>
        </w:tc>
        <w:tc>
          <w:tcPr>
            <w:tcW w:w="1020" w:type="dxa"/>
            <w:vAlign w:val="bottom"/>
            <w:tcBorders>
              <w:bottom w:val="single" w:sz="8" w:color="F0533D"/>
            </w:tcBorders>
          </w:tcPr>
          <w:p>
            <w:pPr>
              <w:jc w:val="center"/>
              <w:spacing w:after="0" w:line="236" w:lineRule="exact"/>
              <w:rPr>
                <w:sz w:val="20"/>
                <w:szCs w:val="20"/>
                <w:color w:val="auto"/>
              </w:rPr>
            </w:pPr>
            <w:r>
              <w:rPr>
                <w:rFonts w:ascii="Arial" w:cs="Arial" w:eastAsia="Arial" w:hAnsi="Arial"/>
                <w:sz w:val="16"/>
                <w:szCs w:val="16"/>
                <w:color w:val="auto"/>
                <w:w w:val="92"/>
              </w:rPr>
              <w:t>90</w:t>
            </w:r>
            <w:r>
              <w:rPr>
                <w:rFonts w:ascii="Arial" w:cs="Arial" w:eastAsia="Arial" w:hAnsi="Arial"/>
                <w:sz w:val="26"/>
                <w:szCs w:val="26"/>
                <w:color w:val="auto"/>
                <w:w w:val="92"/>
                <w:vertAlign w:val="superscript"/>
              </w:rPr>
              <w:t>th</w:t>
            </w:r>
          </w:p>
        </w:tc>
        <w:tc>
          <w:tcPr>
            <w:tcW w:w="1340" w:type="dxa"/>
            <w:vAlign w:val="bottom"/>
            <w:tcBorders>
              <w:bottom w:val="single" w:sz="8" w:color="F0533D"/>
            </w:tcBorders>
          </w:tcPr>
          <w:p>
            <w:pPr>
              <w:jc w:val="center"/>
              <w:spacing w:after="0" w:line="236" w:lineRule="exact"/>
              <w:rPr>
                <w:sz w:val="20"/>
                <w:szCs w:val="20"/>
                <w:color w:val="auto"/>
              </w:rPr>
            </w:pPr>
            <w:r>
              <w:rPr>
                <w:rFonts w:ascii="Arial" w:cs="Arial" w:eastAsia="Arial" w:hAnsi="Arial"/>
                <w:sz w:val="27"/>
                <w:szCs w:val="27"/>
                <w:color w:val="auto"/>
                <w:vertAlign w:val="subscript"/>
              </w:rPr>
              <w:t>38</w:t>
            </w:r>
            <w:r>
              <w:rPr>
                <w:rFonts w:ascii="Arial" w:cs="Arial" w:eastAsia="Arial" w:hAnsi="Arial"/>
                <w:sz w:val="12"/>
                <w:szCs w:val="12"/>
                <w:color w:val="auto"/>
              </w:rPr>
              <w:t>th(4)</w:t>
            </w:r>
          </w:p>
        </w:tc>
        <w:tc>
          <w:tcPr>
            <w:tcW w:w="900" w:type="dxa"/>
            <w:vAlign w:val="bottom"/>
            <w:tcBorders>
              <w:bottom w:val="single" w:sz="8" w:color="F0533D"/>
            </w:tcBorders>
          </w:tcPr>
          <w:p>
            <w:pPr>
              <w:jc w:val="center"/>
              <w:spacing w:after="0" w:line="236" w:lineRule="exact"/>
              <w:rPr>
                <w:sz w:val="20"/>
                <w:szCs w:val="20"/>
                <w:color w:val="auto"/>
              </w:rPr>
            </w:pPr>
            <w:r>
              <w:rPr>
                <w:rFonts w:ascii="Arial" w:cs="Arial" w:eastAsia="Arial" w:hAnsi="Arial"/>
                <w:sz w:val="16"/>
                <w:szCs w:val="16"/>
                <w:color w:val="auto"/>
                <w:w w:val="92"/>
              </w:rPr>
              <w:t>38</w:t>
            </w:r>
            <w:r>
              <w:rPr>
                <w:rFonts w:ascii="Arial" w:cs="Arial" w:eastAsia="Arial" w:hAnsi="Arial"/>
                <w:sz w:val="26"/>
                <w:szCs w:val="26"/>
                <w:color w:val="auto"/>
                <w:w w:val="92"/>
                <w:vertAlign w:val="superscript"/>
              </w:rPr>
              <w:t>th</w:t>
            </w:r>
          </w:p>
        </w:tc>
        <w:tc>
          <w:tcPr>
            <w:tcW w:w="1020" w:type="dxa"/>
            <w:vAlign w:val="bottom"/>
            <w:tcBorders>
              <w:bottom w:val="single" w:sz="8" w:color="F0533D"/>
            </w:tcBorders>
          </w:tcPr>
          <w:p>
            <w:pPr>
              <w:jc w:val="center"/>
              <w:spacing w:after="0"/>
              <w:rPr>
                <w:sz w:val="20"/>
                <w:szCs w:val="20"/>
                <w:color w:val="auto"/>
              </w:rPr>
            </w:pPr>
            <w:r>
              <w:rPr>
                <w:rFonts w:ascii="Arial" w:cs="Arial" w:eastAsia="Arial" w:hAnsi="Arial"/>
                <w:sz w:val="16"/>
                <w:szCs w:val="16"/>
                <w:color w:val="auto"/>
                <w:w w:val="99"/>
              </w:rPr>
              <w:t>75%</w:t>
            </w:r>
          </w:p>
        </w:tc>
      </w:tr>
    </w:tbl>
    <w:p>
      <w:pPr>
        <w:spacing w:after="0" w:line="172" w:lineRule="exact"/>
        <w:rPr>
          <w:sz w:val="20"/>
          <w:szCs w:val="20"/>
          <w:color w:val="auto"/>
        </w:rPr>
      </w:pPr>
    </w:p>
    <w:p>
      <w:pPr>
        <w:jc w:val="both"/>
        <w:ind w:left="540" w:right="259" w:hanging="356"/>
        <w:spacing w:after="0" w:line="206" w:lineRule="auto"/>
        <w:tabs>
          <w:tab w:leader="none" w:pos="540" w:val="left"/>
        </w:tabs>
        <w:numPr>
          <w:ilvl w:val="0"/>
          <w:numId w:val="73"/>
        </w:numPr>
        <w:rPr>
          <w:rFonts w:ascii="Arial" w:cs="Arial" w:eastAsia="Arial" w:hAnsi="Arial"/>
          <w:sz w:val="23"/>
          <w:szCs w:val="23"/>
          <w:color w:val="auto"/>
          <w:vertAlign w:val="superscript"/>
        </w:rPr>
      </w:pPr>
      <w:r>
        <w:rPr>
          <w:rFonts w:ascii="Arial" w:cs="Arial" w:eastAsia="Arial" w:hAnsi="Arial"/>
          <w:sz w:val="15"/>
          <w:szCs w:val="15"/>
          <w:color w:val="auto"/>
        </w:rPr>
        <w:t>When assessing performance for purposes of the long-term equity incentive awards under the LTPP, the CHC Committee may adjust for certain pre-determined items as described further above. These measures eliminate the impact of currency movements versus the rates used in the performance targets.</w:t>
      </w:r>
    </w:p>
    <w:p>
      <w:pPr>
        <w:spacing w:after="0" w:line="70" w:lineRule="exact"/>
        <w:rPr>
          <w:rFonts w:ascii="Arial" w:cs="Arial" w:eastAsia="Arial" w:hAnsi="Arial"/>
          <w:sz w:val="23"/>
          <w:szCs w:val="23"/>
          <w:color w:val="auto"/>
          <w:vertAlign w:val="superscript"/>
        </w:rPr>
      </w:pPr>
    </w:p>
    <w:p>
      <w:pPr>
        <w:ind w:left="540" w:right="139" w:hanging="356"/>
        <w:spacing w:after="0" w:line="215" w:lineRule="auto"/>
        <w:tabs>
          <w:tab w:leader="none" w:pos="540" w:val="left"/>
        </w:tabs>
        <w:numPr>
          <w:ilvl w:val="0"/>
          <w:numId w:val="73"/>
        </w:numPr>
        <w:rPr>
          <w:rFonts w:ascii="Arial" w:cs="Arial" w:eastAsia="Arial" w:hAnsi="Arial"/>
          <w:sz w:val="23"/>
          <w:szCs w:val="23"/>
          <w:color w:val="auto"/>
          <w:vertAlign w:val="superscript"/>
        </w:rPr>
      </w:pPr>
      <w:r>
        <w:rPr>
          <w:rFonts w:ascii="Arial" w:cs="Arial" w:eastAsia="Arial" w:hAnsi="Arial"/>
          <w:sz w:val="15"/>
          <w:szCs w:val="15"/>
          <w:color w:val="auto"/>
        </w:rPr>
        <w:t>Beginning with Adjusted Operating Cash Flow as reported in our fourth quarter and full-year 2026 earnings release, the results also reflect adjustments under pre-determined categories that were previously approved by the Committee and consist of: excluding the benefit to the reported results from the impact from the unplanned divestiture of the Company’s Securities Industry Services platform in the second-half of fiscal 2025; and excluding material changes to commercial agreements driven by a change in the strategies of the Company’s former parent that were not contemplated at the time the 2024 PSUs were granted.</w:t>
      </w:r>
    </w:p>
    <w:p>
      <w:pPr>
        <w:spacing w:after="0" w:line="195"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jc w:val="both"/>
        <w:ind w:left="540" w:right="179" w:hanging="356"/>
        <w:spacing w:after="0" w:line="210" w:lineRule="auto"/>
        <w:tabs>
          <w:tab w:leader="none" w:pos="540" w:val="left"/>
        </w:tabs>
        <w:numPr>
          <w:ilvl w:val="0"/>
          <w:numId w:val="74"/>
        </w:numPr>
        <w:rPr>
          <w:rFonts w:ascii="Arial" w:cs="Arial" w:eastAsia="Arial" w:hAnsi="Arial"/>
          <w:sz w:val="23"/>
          <w:szCs w:val="23"/>
          <w:color w:val="auto"/>
          <w:vertAlign w:val="superscript"/>
        </w:rPr>
      </w:pPr>
      <w:r>
        <w:rPr>
          <w:rFonts w:ascii="Arial" w:cs="Arial" w:eastAsia="Arial" w:hAnsi="Arial"/>
          <w:sz w:val="15"/>
          <w:szCs w:val="15"/>
          <w:color w:val="auto"/>
        </w:rPr>
        <w:t>The Signings attainment reflects an adjustment under the pre-determined category relating to acquisitions and divestitures, consisting of excluding signings from the Company’s unplanned acquisition of Skytap, Inc. in the first quarter of fiscal 2025 and the impact from the Company’s unplanned divestiture of its Securities Industry Services platform in the second-half of fiscal 2025.</w:t>
      </w:r>
    </w:p>
    <w:p>
      <w:pPr>
        <w:spacing w:after="0" w:line="71" w:lineRule="exact"/>
        <w:rPr>
          <w:rFonts w:ascii="Arial" w:cs="Arial" w:eastAsia="Arial" w:hAnsi="Arial"/>
          <w:sz w:val="23"/>
          <w:szCs w:val="23"/>
          <w:color w:val="auto"/>
          <w:vertAlign w:val="superscript"/>
        </w:rPr>
      </w:pPr>
    </w:p>
    <w:p>
      <w:pPr>
        <w:ind w:left="540" w:right="79" w:hanging="356"/>
        <w:spacing w:after="0" w:line="199" w:lineRule="auto"/>
        <w:tabs>
          <w:tab w:leader="none" w:pos="540" w:val="left"/>
        </w:tabs>
        <w:numPr>
          <w:ilvl w:val="0"/>
          <w:numId w:val="74"/>
        </w:numPr>
        <w:rPr>
          <w:rFonts w:ascii="Arial" w:cs="Arial" w:eastAsia="Arial" w:hAnsi="Arial"/>
          <w:sz w:val="23"/>
          <w:szCs w:val="23"/>
          <w:color w:val="auto"/>
          <w:vertAlign w:val="superscript"/>
        </w:rPr>
      </w:pPr>
      <w:r>
        <w:rPr>
          <w:rFonts w:ascii="Arial" w:cs="Arial" w:eastAsia="Arial" w:hAnsi="Arial"/>
          <w:sz w:val="15"/>
          <w:szCs w:val="15"/>
          <w:color w:val="auto"/>
        </w:rPr>
        <w:t>The graph below reflects the growth in Kyndryl’s TSR over the three-year performance period in comparison with companies in the S&amp;P MidCap 400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192405</wp:posOffset>
            </wp:positionV>
            <wp:extent cx="4483100" cy="21342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483100"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  </w:t>
      </w:r>
    </w:p>
    <w:p>
      <w:pPr>
        <w:spacing w:after="0" w:line="156" w:lineRule="exact"/>
        <w:rPr>
          <w:sz w:val="20"/>
          <w:szCs w:val="20"/>
          <w:color w:val="auto"/>
        </w:rPr>
      </w:pPr>
    </w:p>
    <w:p>
      <w:pPr>
        <w:ind w:left="80" w:right="339"/>
        <w:spacing w:after="0" w:line="267" w:lineRule="auto"/>
        <w:rPr>
          <w:sz w:val="20"/>
          <w:szCs w:val="20"/>
          <w:color w:val="auto"/>
        </w:rPr>
      </w:pPr>
      <w:r>
        <w:rPr>
          <w:rFonts w:ascii="Arial" w:cs="Arial" w:eastAsia="Arial" w:hAnsi="Arial"/>
          <w:sz w:val="17"/>
          <w:szCs w:val="17"/>
          <w:color w:val="auto"/>
        </w:rPr>
        <w:t>The following table shows the target potential and the actual awards earned based on results over the fiscal 2024-2026 performance period.</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260" w:type="dxa"/>
            <w:vAlign w:val="bottom"/>
          </w:tcPr>
          <w:p>
            <w:pPr>
              <w:jc w:val="center"/>
              <w:ind w:left="200"/>
              <w:spacing w:after="0"/>
              <w:rPr>
                <w:sz w:val="20"/>
                <w:szCs w:val="20"/>
                <w:color w:val="auto"/>
              </w:rPr>
            </w:pPr>
            <w:r>
              <w:rPr>
                <w:rFonts w:ascii="Arial" w:cs="Arial" w:eastAsia="Arial" w:hAnsi="Arial"/>
                <w:sz w:val="14"/>
                <w:szCs w:val="14"/>
                <w:b w:val="1"/>
                <w:bCs w:val="1"/>
                <w:color w:val="F0533D"/>
              </w:rPr>
              <w:t>Adjusted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Adjusted</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260" w:type="dxa"/>
            <w:vAlign w:val="bottom"/>
          </w:tcPr>
          <w:p>
            <w:pPr>
              <w:jc w:val="center"/>
              <w:ind w:left="180"/>
              <w:spacing w:after="0"/>
              <w:rPr>
                <w:sz w:val="20"/>
                <w:szCs w:val="20"/>
                <w:color w:val="auto"/>
              </w:rPr>
            </w:pPr>
            <w:r>
              <w:rPr>
                <w:rFonts w:ascii="Arial" w:cs="Arial" w:eastAsia="Arial" w:hAnsi="Arial"/>
                <w:sz w:val="14"/>
                <w:szCs w:val="14"/>
                <w:b w:val="1"/>
                <w:bCs w:val="1"/>
                <w:color w:val="F0533D"/>
              </w:rPr>
              <w:t>Operating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w w:val="99"/>
              </w:rPr>
              <w:t>Operating</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F0533D"/>
              </w:rPr>
              <w:t>Relative</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260" w:type="dxa"/>
            <w:vAlign w:val="bottom"/>
          </w:tcPr>
          <w:p>
            <w:pPr>
              <w:jc w:val="center"/>
              <w:ind w:left="220"/>
              <w:spacing w:after="0"/>
              <w:rPr>
                <w:sz w:val="20"/>
                <w:szCs w:val="20"/>
                <w:color w:val="auto"/>
              </w:rPr>
            </w:pPr>
            <w:r>
              <w:rPr>
                <w:rFonts w:ascii="Arial" w:cs="Arial" w:eastAsia="Arial" w:hAnsi="Arial"/>
                <w:sz w:val="14"/>
                <w:szCs w:val="14"/>
                <w:b w:val="1"/>
                <w:bCs w:val="1"/>
                <w:color w:val="F0533D"/>
              </w:rPr>
              <w:t>Cash Flow</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w w:val="99"/>
              </w:rPr>
              <w:t>Cash Flow</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F0533D"/>
              </w:rPr>
              <w:t>Signings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0533D"/>
              </w:rPr>
              <w:t>Signings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F0533D"/>
                <w:w w:val="99"/>
              </w:rPr>
              <w:t>TSR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0533D"/>
              </w:rPr>
              <w:t>Relative</w:t>
            </w:r>
          </w:p>
        </w:tc>
        <w:tc>
          <w:tcPr>
            <w:tcW w:w="900" w:type="dxa"/>
            <w:vAlign w:val="bottom"/>
          </w:tcPr>
          <w:p>
            <w:pPr>
              <w:spacing w:after="0"/>
              <w:rPr>
                <w:sz w:val="14"/>
                <w:szCs w:val="14"/>
                <w:color w:val="auto"/>
              </w:rPr>
            </w:pPr>
          </w:p>
        </w:tc>
      </w:tr>
      <w:tr>
        <w:trPr>
          <w:trHeight w:val="162"/>
        </w:trPr>
        <w:tc>
          <w:tcPr>
            <w:tcW w:w="2100" w:type="dxa"/>
            <w:vAlign w:val="bottom"/>
          </w:tcPr>
          <w:p>
            <w:pPr>
              <w:spacing w:after="0"/>
              <w:rPr>
                <w:sz w:val="14"/>
                <w:szCs w:val="14"/>
                <w:color w:val="auto"/>
              </w:rPr>
            </w:pPr>
          </w:p>
        </w:tc>
        <w:tc>
          <w:tcPr>
            <w:tcW w:w="1260" w:type="dxa"/>
            <w:vAlign w:val="bottom"/>
          </w:tcPr>
          <w:p>
            <w:pPr>
              <w:jc w:val="center"/>
              <w:ind w:left="200"/>
              <w:spacing w:after="0"/>
              <w:rPr>
                <w:sz w:val="20"/>
                <w:szCs w:val="20"/>
                <w:color w:val="auto"/>
              </w:rPr>
            </w:pPr>
            <w:r>
              <w:rPr>
                <w:rFonts w:ascii="Arial" w:cs="Arial" w:eastAsia="Arial" w:hAnsi="Arial"/>
                <w:sz w:val="14"/>
                <w:szCs w:val="14"/>
                <w:b w:val="1"/>
                <w:bCs w:val="1"/>
                <w:color w:val="F0533D"/>
                <w:w w:val="98"/>
              </w:rPr>
              <w:t>Target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Payout at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F0533D"/>
              </w:rPr>
              <w:t>Target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0533D"/>
              </w:rPr>
              <w:t>Payout at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F0533D"/>
              </w:rPr>
              <w:t>Target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0533D"/>
              </w:rPr>
              <w:t>TSR Payout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w w:val="95"/>
              </w:rPr>
              <w:t>Total</w:t>
            </w:r>
          </w:p>
        </w:tc>
      </w:tr>
      <w:tr>
        <w:trPr>
          <w:trHeight w:val="162"/>
        </w:trPr>
        <w:tc>
          <w:tcPr>
            <w:tcW w:w="2100" w:type="dxa"/>
            <w:vAlign w:val="bottom"/>
          </w:tcPr>
          <w:p>
            <w:pPr>
              <w:spacing w:after="0"/>
              <w:rPr>
                <w:sz w:val="14"/>
                <w:szCs w:val="14"/>
                <w:color w:val="auto"/>
              </w:rPr>
            </w:pPr>
          </w:p>
        </w:tc>
        <w:tc>
          <w:tcPr>
            <w:tcW w:w="1260" w:type="dxa"/>
            <w:vAlign w:val="bottom"/>
          </w:tcPr>
          <w:p>
            <w:pPr>
              <w:jc w:val="center"/>
              <w:ind w:left="200"/>
              <w:spacing w:after="0"/>
              <w:rPr>
                <w:sz w:val="20"/>
                <w:szCs w:val="20"/>
                <w:color w:val="auto"/>
              </w:rPr>
            </w:pPr>
            <w:r>
              <w:rPr>
                <w:rFonts w:ascii="Arial" w:cs="Arial" w:eastAsia="Arial" w:hAnsi="Arial"/>
                <w:sz w:val="14"/>
                <w:szCs w:val="14"/>
                <w:b w:val="1"/>
                <w:bCs w:val="1"/>
                <w:color w:val="F0533D"/>
              </w:rPr>
              <w:t>Award (in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99% (in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F0533D"/>
              </w:rPr>
              <w:t>Award (in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F0533D"/>
              </w:rPr>
              <w:t>66% (in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F0533D"/>
              </w:rPr>
              <w:t>Award (in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0533D"/>
              </w:rPr>
              <w:t>at 75% (in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w w:val="98"/>
              </w:rPr>
              <w:t>PSUs</w:t>
            </w:r>
          </w:p>
        </w:tc>
      </w:tr>
      <w:tr>
        <w:trPr>
          <w:trHeight w:val="205"/>
        </w:trPr>
        <w:tc>
          <w:tcPr>
            <w:tcW w:w="210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Name</w:t>
            </w:r>
          </w:p>
        </w:tc>
        <w:tc>
          <w:tcPr>
            <w:tcW w:w="1260" w:type="dxa"/>
            <w:vAlign w:val="bottom"/>
            <w:tcBorders>
              <w:bottom w:val="single" w:sz="8" w:color="F0533D"/>
            </w:tcBorders>
          </w:tcPr>
          <w:p>
            <w:pPr>
              <w:jc w:val="center"/>
              <w:ind w:left="220"/>
              <w:spacing w:after="0"/>
              <w:rPr>
                <w:sz w:val="20"/>
                <w:szCs w:val="20"/>
                <w:color w:val="auto"/>
              </w:rPr>
            </w:pPr>
            <w:r>
              <w:rPr>
                <w:rFonts w:ascii="Arial" w:cs="Arial" w:eastAsia="Arial" w:hAnsi="Arial"/>
                <w:sz w:val="14"/>
                <w:szCs w:val="14"/>
                <w:b w:val="1"/>
                <w:bCs w:val="1"/>
                <w:color w:val="F0533D"/>
              </w:rPr>
              <w:t>shares)</w:t>
            </w:r>
          </w:p>
        </w:tc>
        <w:tc>
          <w:tcPr>
            <w:tcW w:w="94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shares)</w:t>
            </w:r>
          </w:p>
        </w:tc>
        <w:tc>
          <w:tcPr>
            <w:tcW w:w="8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shares)</w:t>
            </w:r>
          </w:p>
        </w:tc>
        <w:tc>
          <w:tcPr>
            <w:tcW w:w="86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shares)</w:t>
            </w:r>
          </w:p>
        </w:tc>
        <w:tc>
          <w:tcPr>
            <w:tcW w:w="8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shares)</w:t>
            </w:r>
          </w:p>
        </w:tc>
        <w:tc>
          <w:tcPr>
            <w:tcW w:w="104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shares)</w:t>
            </w:r>
          </w:p>
        </w:tc>
        <w:tc>
          <w:tcPr>
            <w:tcW w:w="9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Earned</w:t>
            </w:r>
          </w:p>
        </w:tc>
      </w:tr>
      <w:tr>
        <w:trPr>
          <w:trHeight w:val="237"/>
        </w:trPr>
        <w:tc>
          <w:tcPr>
            <w:tcW w:w="21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Martin Schroeter</w:t>
            </w:r>
          </w:p>
        </w:tc>
        <w:tc>
          <w:tcPr>
            <w:tcW w:w="12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255,236</w:t>
            </w:r>
          </w:p>
        </w:tc>
        <w:tc>
          <w:tcPr>
            <w:tcW w:w="940" w:type="dxa"/>
            <w:vAlign w:val="bottom"/>
            <w:tcBorders>
              <w:bottom w:val="single" w:sz="8" w:color="939598"/>
            </w:tcBorders>
          </w:tcPr>
          <w:p>
            <w:pPr>
              <w:jc w:val="right"/>
              <w:ind w:right="80"/>
              <w:spacing w:after="0"/>
              <w:rPr>
                <w:sz w:val="20"/>
                <w:szCs w:val="20"/>
                <w:color w:val="auto"/>
              </w:rPr>
            </w:pPr>
            <w:r>
              <w:rPr>
                <w:rFonts w:ascii="Arial" w:cs="Arial" w:eastAsia="Arial" w:hAnsi="Arial"/>
                <w:sz w:val="17"/>
                <w:szCs w:val="17"/>
                <w:color w:val="auto"/>
              </w:rPr>
              <w:t>251,663</w:t>
            </w:r>
          </w:p>
        </w:tc>
        <w:tc>
          <w:tcPr>
            <w:tcW w:w="880" w:type="dxa"/>
            <w:vAlign w:val="bottom"/>
            <w:tcBorders>
              <w:bottom w:val="single" w:sz="8" w:color="939598"/>
            </w:tcBorders>
          </w:tcPr>
          <w:p>
            <w:pPr>
              <w:jc w:val="right"/>
              <w:ind w:right="59"/>
              <w:spacing w:after="0"/>
              <w:rPr>
                <w:sz w:val="20"/>
                <w:szCs w:val="20"/>
                <w:color w:val="auto"/>
              </w:rPr>
            </w:pPr>
            <w:r>
              <w:rPr>
                <w:rFonts w:ascii="Arial" w:cs="Arial" w:eastAsia="Arial" w:hAnsi="Arial"/>
                <w:sz w:val="17"/>
                <w:szCs w:val="17"/>
                <w:color w:val="auto"/>
              </w:rPr>
              <w:t>127,618</w:t>
            </w:r>
          </w:p>
        </w:tc>
        <w:tc>
          <w:tcPr>
            <w:tcW w:w="860" w:type="dxa"/>
            <w:vAlign w:val="bottom"/>
            <w:tcBorders>
              <w:bottom w:val="single" w:sz="8" w:color="939598"/>
            </w:tcBorders>
          </w:tcPr>
          <w:p>
            <w:pPr>
              <w:jc w:val="right"/>
              <w:ind w:right="99"/>
              <w:spacing w:after="0"/>
              <w:rPr>
                <w:sz w:val="20"/>
                <w:szCs w:val="20"/>
                <w:color w:val="auto"/>
              </w:rPr>
            </w:pPr>
            <w:r>
              <w:rPr>
                <w:rFonts w:ascii="Arial" w:cs="Arial" w:eastAsia="Arial" w:hAnsi="Arial"/>
                <w:sz w:val="17"/>
                <w:szCs w:val="17"/>
                <w:color w:val="auto"/>
              </w:rPr>
              <w:t>84,611</w:t>
            </w:r>
          </w:p>
        </w:tc>
        <w:tc>
          <w:tcPr>
            <w:tcW w:w="880" w:type="dxa"/>
            <w:vAlign w:val="bottom"/>
            <w:tcBorders>
              <w:bottom w:val="single" w:sz="8" w:color="939598"/>
            </w:tcBorders>
          </w:tcPr>
          <w:p>
            <w:pPr>
              <w:jc w:val="right"/>
              <w:ind w:right="60"/>
              <w:spacing w:after="0"/>
              <w:rPr>
                <w:sz w:val="20"/>
                <w:szCs w:val="20"/>
                <w:color w:val="auto"/>
              </w:rPr>
            </w:pPr>
            <w:r>
              <w:rPr>
                <w:rFonts w:ascii="Arial" w:cs="Arial" w:eastAsia="Arial" w:hAnsi="Arial"/>
                <w:sz w:val="17"/>
                <w:szCs w:val="17"/>
                <w:color w:val="auto"/>
              </w:rPr>
              <w:t>121,011</w:t>
            </w:r>
          </w:p>
        </w:tc>
        <w:tc>
          <w:tcPr>
            <w:tcW w:w="1040" w:type="dxa"/>
            <w:vAlign w:val="bottom"/>
            <w:tcBorders>
              <w:bottom w:val="single" w:sz="8" w:color="939598"/>
            </w:tcBorders>
          </w:tcPr>
          <w:p>
            <w:pPr>
              <w:jc w:val="right"/>
              <w:ind w:right="179"/>
              <w:spacing w:after="0"/>
              <w:rPr>
                <w:sz w:val="20"/>
                <w:szCs w:val="20"/>
                <w:color w:val="auto"/>
              </w:rPr>
            </w:pPr>
            <w:r>
              <w:rPr>
                <w:rFonts w:ascii="Arial" w:cs="Arial" w:eastAsia="Arial" w:hAnsi="Arial"/>
                <w:sz w:val="17"/>
                <w:szCs w:val="17"/>
                <w:color w:val="auto"/>
              </w:rPr>
              <w:t>91,242</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427,516</w:t>
            </w:r>
          </w:p>
        </w:tc>
      </w:tr>
      <w:tr>
        <w:trPr>
          <w:trHeight w:val="236"/>
        </w:trPr>
        <w:tc>
          <w:tcPr>
            <w:tcW w:w="21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Harsh Chugh</w:t>
            </w:r>
          </w:p>
        </w:tc>
        <w:tc>
          <w:tcPr>
            <w:tcW w:w="12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24,309</w:t>
            </w:r>
          </w:p>
        </w:tc>
        <w:tc>
          <w:tcPr>
            <w:tcW w:w="940" w:type="dxa"/>
            <w:vAlign w:val="bottom"/>
            <w:tcBorders>
              <w:bottom w:val="single" w:sz="8" w:color="939598"/>
            </w:tcBorders>
          </w:tcPr>
          <w:p>
            <w:pPr>
              <w:jc w:val="right"/>
              <w:ind w:right="80"/>
              <w:spacing w:after="0"/>
              <w:rPr>
                <w:sz w:val="20"/>
                <w:szCs w:val="20"/>
                <w:color w:val="auto"/>
              </w:rPr>
            </w:pPr>
            <w:r>
              <w:rPr>
                <w:rFonts w:ascii="Arial" w:cs="Arial" w:eastAsia="Arial" w:hAnsi="Arial"/>
                <w:sz w:val="17"/>
                <w:szCs w:val="17"/>
                <w:color w:val="auto"/>
              </w:rPr>
              <w:t>23,969</w:t>
            </w:r>
          </w:p>
        </w:tc>
        <w:tc>
          <w:tcPr>
            <w:tcW w:w="880" w:type="dxa"/>
            <w:vAlign w:val="bottom"/>
            <w:tcBorders>
              <w:bottom w:val="single" w:sz="8" w:color="939598"/>
            </w:tcBorders>
          </w:tcPr>
          <w:p>
            <w:pPr>
              <w:jc w:val="right"/>
              <w:ind w:right="59"/>
              <w:spacing w:after="0"/>
              <w:rPr>
                <w:sz w:val="20"/>
                <w:szCs w:val="20"/>
                <w:color w:val="auto"/>
              </w:rPr>
            </w:pPr>
            <w:r>
              <w:rPr>
                <w:rFonts w:ascii="Arial" w:cs="Arial" w:eastAsia="Arial" w:hAnsi="Arial"/>
                <w:sz w:val="17"/>
                <w:szCs w:val="17"/>
                <w:color w:val="auto"/>
              </w:rPr>
              <w:t>12,155</w:t>
            </w:r>
          </w:p>
        </w:tc>
        <w:tc>
          <w:tcPr>
            <w:tcW w:w="860" w:type="dxa"/>
            <w:vAlign w:val="bottom"/>
            <w:tcBorders>
              <w:bottom w:val="single" w:sz="8" w:color="939598"/>
            </w:tcBorders>
          </w:tcPr>
          <w:p>
            <w:pPr>
              <w:jc w:val="right"/>
              <w:ind w:right="79"/>
              <w:spacing w:after="0"/>
              <w:rPr>
                <w:sz w:val="20"/>
                <w:szCs w:val="20"/>
                <w:color w:val="auto"/>
              </w:rPr>
            </w:pPr>
            <w:r>
              <w:rPr>
                <w:rFonts w:ascii="Arial" w:cs="Arial" w:eastAsia="Arial" w:hAnsi="Arial"/>
                <w:sz w:val="17"/>
                <w:szCs w:val="17"/>
                <w:color w:val="auto"/>
              </w:rPr>
              <w:t>8,059</w:t>
            </w:r>
          </w:p>
        </w:tc>
        <w:tc>
          <w:tcPr>
            <w:tcW w:w="880" w:type="dxa"/>
            <w:vAlign w:val="bottom"/>
            <w:tcBorders>
              <w:bottom w:val="single" w:sz="8" w:color="939598"/>
            </w:tcBorders>
          </w:tcPr>
          <w:p>
            <w:pPr>
              <w:jc w:val="right"/>
              <w:ind w:right="60"/>
              <w:spacing w:after="0"/>
              <w:rPr>
                <w:sz w:val="20"/>
                <w:szCs w:val="20"/>
                <w:color w:val="auto"/>
              </w:rPr>
            </w:pPr>
            <w:r>
              <w:rPr>
                <w:rFonts w:ascii="Arial" w:cs="Arial" w:eastAsia="Arial" w:hAnsi="Arial"/>
                <w:sz w:val="17"/>
                <w:szCs w:val="17"/>
                <w:color w:val="auto"/>
              </w:rPr>
              <w:t>11,525</w:t>
            </w:r>
          </w:p>
        </w:tc>
        <w:tc>
          <w:tcPr>
            <w:tcW w:w="1040" w:type="dxa"/>
            <w:vAlign w:val="bottom"/>
            <w:tcBorders>
              <w:bottom w:val="single" w:sz="8" w:color="939598"/>
            </w:tcBorders>
          </w:tcPr>
          <w:p>
            <w:pPr>
              <w:jc w:val="right"/>
              <w:ind w:right="179"/>
              <w:spacing w:after="0"/>
              <w:rPr>
                <w:sz w:val="20"/>
                <w:szCs w:val="20"/>
                <w:color w:val="auto"/>
              </w:rPr>
            </w:pPr>
            <w:r>
              <w:rPr>
                <w:rFonts w:ascii="Arial" w:cs="Arial" w:eastAsia="Arial" w:hAnsi="Arial"/>
                <w:sz w:val="17"/>
                <w:szCs w:val="17"/>
                <w:color w:val="auto"/>
              </w:rPr>
              <w:t>8,690</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40,718</w:t>
            </w:r>
          </w:p>
        </w:tc>
      </w:tr>
      <w:tr>
        <w:trPr>
          <w:trHeight w:val="237"/>
        </w:trPr>
        <w:tc>
          <w:tcPr>
            <w:tcW w:w="21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Elly Keinan</w:t>
            </w:r>
          </w:p>
        </w:tc>
        <w:tc>
          <w:tcPr>
            <w:tcW w:w="12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184,742</w:t>
            </w:r>
          </w:p>
        </w:tc>
        <w:tc>
          <w:tcPr>
            <w:tcW w:w="940" w:type="dxa"/>
            <w:vAlign w:val="bottom"/>
            <w:tcBorders>
              <w:bottom w:val="single" w:sz="8" w:color="939598"/>
            </w:tcBorders>
          </w:tcPr>
          <w:p>
            <w:pPr>
              <w:jc w:val="right"/>
              <w:ind w:right="80"/>
              <w:spacing w:after="0"/>
              <w:rPr>
                <w:sz w:val="20"/>
                <w:szCs w:val="20"/>
                <w:color w:val="auto"/>
              </w:rPr>
            </w:pPr>
            <w:r>
              <w:rPr>
                <w:rFonts w:ascii="Arial" w:cs="Arial" w:eastAsia="Arial" w:hAnsi="Arial"/>
                <w:sz w:val="17"/>
                <w:szCs w:val="17"/>
                <w:color w:val="auto"/>
              </w:rPr>
              <w:t>182,156</w:t>
            </w:r>
          </w:p>
        </w:tc>
        <w:tc>
          <w:tcPr>
            <w:tcW w:w="880" w:type="dxa"/>
            <w:vAlign w:val="bottom"/>
            <w:tcBorders>
              <w:bottom w:val="single" w:sz="8" w:color="939598"/>
            </w:tcBorders>
          </w:tcPr>
          <w:p>
            <w:pPr>
              <w:jc w:val="right"/>
              <w:ind w:right="59"/>
              <w:spacing w:after="0"/>
              <w:rPr>
                <w:sz w:val="20"/>
                <w:szCs w:val="20"/>
                <w:color w:val="auto"/>
              </w:rPr>
            </w:pPr>
            <w:r>
              <w:rPr>
                <w:rFonts w:ascii="Arial" w:cs="Arial" w:eastAsia="Arial" w:hAnsi="Arial"/>
                <w:sz w:val="17"/>
                <w:szCs w:val="17"/>
                <w:color w:val="auto"/>
              </w:rPr>
              <w:t>92,371</w:t>
            </w:r>
          </w:p>
        </w:tc>
        <w:tc>
          <w:tcPr>
            <w:tcW w:w="860" w:type="dxa"/>
            <w:vAlign w:val="bottom"/>
            <w:tcBorders>
              <w:bottom w:val="single" w:sz="8" w:color="939598"/>
            </w:tcBorders>
          </w:tcPr>
          <w:p>
            <w:pPr>
              <w:jc w:val="right"/>
              <w:ind w:right="79"/>
              <w:spacing w:after="0"/>
              <w:rPr>
                <w:sz w:val="20"/>
                <w:szCs w:val="20"/>
                <w:color w:val="auto"/>
              </w:rPr>
            </w:pPr>
            <w:r>
              <w:rPr>
                <w:rFonts w:ascii="Arial" w:cs="Arial" w:eastAsia="Arial" w:hAnsi="Arial"/>
                <w:sz w:val="17"/>
                <w:szCs w:val="17"/>
                <w:color w:val="auto"/>
              </w:rPr>
              <w:t>61,242</w:t>
            </w:r>
          </w:p>
        </w:tc>
        <w:tc>
          <w:tcPr>
            <w:tcW w:w="880" w:type="dxa"/>
            <w:vAlign w:val="bottom"/>
            <w:tcBorders>
              <w:bottom w:val="single" w:sz="8" w:color="939598"/>
            </w:tcBorders>
          </w:tcPr>
          <w:p>
            <w:pPr>
              <w:jc w:val="right"/>
              <w:ind w:right="60"/>
              <w:spacing w:after="0"/>
              <w:rPr>
                <w:sz w:val="20"/>
                <w:szCs w:val="20"/>
                <w:color w:val="auto"/>
              </w:rPr>
            </w:pPr>
            <w:r>
              <w:rPr>
                <w:rFonts w:ascii="Arial" w:cs="Arial" w:eastAsia="Arial" w:hAnsi="Arial"/>
                <w:sz w:val="17"/>
                <w:szCs w:val="17"/>
                <w:color w:val="auto"/>
              </w:rPr>
              <w:t>87,589</w:t>
            </w:r>
          </w:p>
        </w:tc>
        <w:tc>
          <w:tcPr>
            <w:tcW w:w="1040" w:type="dxa"/>
            <w:vAlign w:val="bottom"/>
            <w:tcBorders>
              <w:bottom w:val="single" w:sz="8" w:color="939598"/>
            </w:tcBorders>
          </w:tcPr>
          <w:p>
            <w:pPr>
              <w:jc w:val="right"/>
              <w:ind w:right="179"/>
              <w:spacing w:after="0"/>
              <w:rPr>
                <w:sz w:val="20"/>
                <w:szCs w:val="20"/>
                <w:color w:val="auto"/>
              </w:rPr>
            </w:pPr>
            <w:r>
              <w:rPr>
                <w:rFonts w:ascii="Arial" w:cs="Arial" w:eastAsia="Arial" w:hAnsi="Arial"/>
                <w:sz w:val="17"/>
                <w:szCs w:val="17"/>
                <w:color w:val="auto"/>
              </w:rPr>
              <w:t>66,042</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309,440</w:t>
            </w:r>
          </w:p>
        </w:tc>
      </w:tr>
      <w:tr>
        <w:trPr>
          <w:trHeight w:val="236"/>
        </w:trPr>
        <w:tc>
          <w:tcPr>
            <w:tcW w:w="21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Maryjo Charbonnier</w:t>
            </w:r>
          </w:p>
        </w:tc>
        <w:tc>
          <w:tcPr>
            <w:tcW w:w="12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24,309</w:t>
            </w:r>
          </w:p>
        </w:tc>
        <w:tc>
          <w:tcPr>
            <w:tcW w:w="940" w:type="dxa"/>
            <w:vAlign w:val="bottom"/>
            <w:tcBorders>
              <w:bottom w:val="single" w:sz="8" w:color="939598"/>
            </w:tcBorders>
          </w:tcPr>
          <w:p>
            <w:pPr>
              <w:jc w:val="right"/>
              <w:ind w:right="80"/>
              <w:spacing w:after="0"/>
              <w:rPr>
                <w:sz w:val="20"/>
                <w:szCs w:val="20"/>
                <w:color w:val="auto"/>
              </w:rPr>
            </w:pPr>
            <w:r>
              <w:rPr>
                <w:rFonts w:ascii="Arial" w:cs="Arial" w:eastAsia="Arial" w:hAnsi="Arial"/>
                <w:sz w:val="17"/>
                <w:szCs w:val="17"/>
                <w:color w:val="auto"/>
              </w:rPr>
              <w:t>23,969</w:t>
            </w:r>
          </w:p>
        </w:tc>
        <w:tc>
          <w:tcPr>
            <w:tcW w:w="880" w:type="dxa"/>
            <w:vAlign w:val="bottom"/>
            <w:tcBorders>
              <w:bottom w:val="single" w:sz="8" w:color="939598"/>
            </w:tcBorders>
          </w:tcPr>
          <w:p>
            <w:pPr>
              <w:jc w:val="right"/>
              <w:ind w:right="59"/>
              <w:spacing w:after="0"/>
              <w:rPr>
                <w:sz w:val="20"/>
                <w:szCs w:val="20"/>
                <w:color w:val="auto"/>
              </w:rPr>
            </w:pPr>
            <w:r>
              <w:rPr>
                <w:rFonts w:ascii="Arial" w:cs="Arial" w:eastAsia="Arial" w:hAnsi="Arial"/>
                <w:sz w:val="17"/>
                <w:szCs w:val="17"/>
                <w:color w:val="auto"/>
              </w:rPr>
              <w:t>12,155</w:t>
            </w:r>
          </w:p>
        </w:tc>
        <w:tc>
          <w:tcPr>
            <w:tcW w:w="860" w:type="dxa"/>
            <w:vAlign w:val="bottom"/>
            <w:tcBorders>
              <w:bottom w:val="single" w:sz="8" w:color="939598"/>
            </w:tcBorders>
          </w:tcPr>
          <w:p>
            <w:pPr>
              <w:jc w:val="right"/>
              <w:ind w:right="79"/>
              <w:spacing w:after="0"/>
              <w:rPr>
                <w:sz w:val="20"/>
                <w:szCs w:val="20"/>
                <w:color w:val="auto"/>
              </w:rPr>
            </w:pPr>
            <w:r>
              <w:rPr>
                <w:rFonts w:ascii="Arial" w:cs="Arial" w:eastAsia="Arial" w:hAnsi="Arial"/>
                <w:sz w:val="17"/>
                <w:szCs w:val="17"/>
                <w:color w:val="auto"/>
              </w:rPr>
              <w:t>8,059</w:t>
            </w:r>
          </w:p>
        </w:tc>
        <w:tc>
          <w:tcPr>
            <w:tcW w:w="880" w:type="dxa"/>
            <w:vAlign w:val="bottom"/>
            <w:tcBorders>
              <w:bottom w:val="single" w:sz="8" w:color="939598"/>
            </w:tcBorders>
          </w:tcPr>
          <w:p>
            <w:pPr>
              <w:jc w:val="right"/>
              <w:ind w:right="60"/>
              <w:spacing w:after="0"/>
              <w:rPr>
                <w:sz w:val="20"/>
                <w:szCs w:val="20"/>
                <w:color w:val="auto"/>
              </w:rPr>
            </w:pPr>
            <w:r>
              <w:rPr>
                <w:rFonts w:ascii="Arial" w:cs="Arial" w:eastAsia="Arial" w:hAnsi="Arial"/>
                <w:sz w:val="17"/>
                <w:szCs w:val="17"/>
                <w:color w:val="auto"/>
              </w:rPr>
              <w:t>11,525</w:t>
            </w:r>
          </w:p>
        </w:tc>
        <w:tc>
          <w:tcPr>
            <w:tcW w:w="1040" w:type="dxa"/>
            <w:vAlign w:val="bottom"/>
            <w:tcBorders>
              <w:bottom w:val="single" w:sz="8" w:color="939598"/>
            </w:tcBorders>
          </w:tcPr>
          <w:p>
            <w:pPr>
              <w:jc w:val="right"/>
              <w:ind w:right="179"/>
              <w:spacing w:after="0"/>
              <w:rPr>
                <w:sz w:val="20"/>
                <w:szCs w:val="20"/>
                <w:color w:val="auto"/>
              </w:rPr>
            </w:pPr>
            <w:r>
              <w:rPr>
                <w:rFonts w:ascii="Arial" w:cs="Arial" w:eastAsia="Arial" w:hAnsi="Arial"/>
                <w:sz w:val="17"/>
                <w:szCs w:val="17"/>
                <w:color w:val="auto"/>
              </w:rPr>
              <w:t>8,690</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40,718</w:t>
            </w:r>
          </w:p>
        </w:tc>
      </w:tr>
      <w:tr>
        <w:trPr>
          <w:trHeight w:val="237"/>
        </w:trPr>
        <w:tc>
          <w:tcPr>
            <w:tcW w:w="210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Mark Ringes</w:t>
            </w:r>
          </w:p>
        </w:tc>
        <w:tc>
          <w:tcPr>
            <w:tcW w:w="12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5,984</w:t>
            </w:r>
          </w:p>
        </w:tc>
        <w:tc>
          <w:tcPr>
            <w:tcW w:w="940" w:type="dxa"/>
            <w:vAlign w:val="bottom"/>
            <w:tcBorders>
              <w:bottom w:val="single" w:sz="8" w:color="939598"/>
            </w:tcBorders>
          </w:tcPr>
          <w:p>
            <w:pPr>
              <w:jc w:val="right"/>
              <w:ind w:right="80"/>
              <w:spacing w:after="0"/>
              <w:rPr>
                <w:sz w:val="20"/>
                <w:szCs w:val="20"/>
                <w:color w:val="auto"/>
              </w:rPr>
            </w:pPr>
            <w:r>
              <w:rPr>
                <w:rFonts w:ascii="Arial" w:cs="Arial" w:eastAsia="Arial" w:hAnsi="Arial"/>
                <w:sz w:val="17"/>
                <w:szCs w:val="17"/>
                <w:color w:val="auto"/>
              </w:rPr>
              <w:t>5,900</w:t>
            </w:r>
          </w:p>
        </w:tc>
        <w:tc>
          <w:tcPr>
            <w:tcW w:w="880" w:type="dxa"/>
            <w:vAlign w:val="bottom"/>
            <w:tcBorders>
              <w:bottom w:val="single" w:sz="8" w:color="939598"/>
            </w:tcBorders>
          </w:tcPr>
          <w:p>
            <w:pPr>
              <w:jc w:val="right"/>
              <w:ind w:right="59"/>
              <w:spacing w:after="0"/>
              <w:rPr>
                <w:sz w:val="20"/>
                <w:szCs w:val="20"/>
                <w:color w:val="auto"/>
              </w:rPr>
            </w:pPr>
            <w:r>
              <w:rPr>
                <w:rFonts w:ascii="Arial" w:cs="Arial" w:eastAsia="Arial" w:hAnsi="Arial"/>
                <w:sz w:val="17"/>
                <w:szCs w:val="17"/>
                <w:color w:val="auto"/>
              </w:rPr>
              <w:t>2,992</w:t>
            </w:r>
          </w:p>
        </w:tc>
        <w:tc>
          <w:tcPr>
            <w:tcW w:w="860" w:type="dxa"/>
            <w:vAlign w:val="bottom"/>
            <w:tcBorders>
              <w:bottom w:val="single" w:sz="8" w:color="939598"/>
            </w:tcBorders>
          </w:tcPr>
          <w:p>
            <w:pPr>
              <w:jc w:val="right"/>
              <w:ind w:right="79"/>
              <w:spacing w:after="0"/>
              <w:rPr>
                <w:sz w:val="20"/>
                <w:szCs w:val="20"/>
                <w:color w:val="auto"/>
              </w:rPr>
            </w:pPr>
            <w:r>
              <w:rPr>
                <w:rFonts w:ascii="Arial" w:cs="Arial" w:eastAsia="Arial" w:hAnsi="Arial"/>
                <w:sz w:val="17"/>
                <w:szCs w:val="17"/>
                <w:color w:val="auto"/>
              </w:rPr>
              <w:t>1,984</w:t>
            </w:r>
          </w:p>
        </w:tc>
        <w:tc>
          <w:tcPr>
            <w:tcW w:w="880" w:type="dxa"/>
            <w:vAlign w:val="bottom"/>
            <w:tcBorders>
              <w:bottom w:val="single" w:sz="8" w:color="939598"/>
            </w:tcBorders>
          </w:tcPr>
          <w:p>
            <w:pPr>
              <w:jc w:val="right"/>
              <w:ind w:right="60"/>
              <w:spacing w:after="0"/>
              <w:rPr>
                <w:sz w:val="20"/>
                <w:szCs w:val="20"/>
                <w:color w:val="auto"/>
              </w:rPr>
            </w:pPr>
            <w:r>
              <w:rPr>
                <w:rFonts w:ascii="Arial" w:cs="Arial" w:eastAsia="Arial" w:hAnsi="Arial"/>
                <w:sz w:val="17"/>
                <w:szCs w:val="17"/>
                <w:color w:val="auto"/>
              </w:rPr>
              <w:t>2,837</w:t>
            </w:r>
          </w:p>
        </w:tc>
        <w:tc>
          <w:tcPr>
            <w:tcW w:w="1040" w:type="dxa"/>
            <w:vAlign w:val="bottom"/>
            <w:tcBorders>
              <w:bottom w:val="single" w:sz="8" w:color="939598"/>
            </w:tcBorders>
          </w:tcPr>
          <w:p>
            <w:pPr>
              <w:jc w:val="right"/>
              <w:ind w:right="179"/>
              <w:spacing w:after="0"/>
              <w:rPr>
                <w:sz w:val="20"/>
                <w:szCs w:val="20"/>
                <w:color w:val="auto"/>
              </w:rPr>
            </w:pPr>
            <w:r>
              <w:rPr>
                <w:rFonts w:ascii="Arial" w:cs="Arial" w:eastAsia="Arial" w:hAnsi="Arial"/>
                <w:sz w:val="17"/>
                <w:szCs w:val="17"/>
                <w:color w:val="auto"/>
              </w:rPr>
              <w:t>2,139</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10,023</w:t>
            </w:r>
          </w:p>
        </w:tc>
      </w:tr>
      <w:tr>
        <w:trPr>
          <w:trHeight w:val="297"/>
        </w:trPr>
        <w:tc>
          <w:tcPr>
            <w:tcW w:w="2100" w:type="dxa"/>
            <w:vAlign w:val="bottom"/>
            <w:tcBorders>
              <w:bottom w:val="single" w:sz="8" w:color="939598"/>
            </w:tcBorders>
          </w:tcPr>
          <w:p>
            <w:pPr>
              <w:ind w:left="160"/>
              <w:spacing w:after="0" w:line="297" w:lineRule="exact"/>
              <w:rPr>
                <w:sz w:val="20"/>
                <w:szCs w:val="20"/>
                <w:color w:val="auto"/>
              </w:rPr>
            </w:pPr>
            <w:r>
              <w:rPr>
                <w:rFonts w:ascii="Arial" w:cs="Arial" w:eastAsia="Arial" w:hAnsi="Arial"/>
                <w:sz w:val="17"/>
                <w:szCs w:val="17"/>
                <w:color w:val="auto"/>
              </w:rPr>
              <w:t>David Wyshner</w:t>
            </w:r>
            <w:r>
              <w:rPr>
                <w:rFonts w:ascii="Arial" w:cs="Arial" w:eastAsia="Arial" w:hAnsi="Arial"/>
                <w:sz w:val="28"/>
                <w:szCs w:val="28"/>
                <w:color w:val="auto"/>
                <w:vertAlign w:val="superscript"/>
              </w:rPr>
              <w:t>(1)</w:t>
            </w:r>
          </w:p>
        </w:tc>
        <w:tc>
          <w:tcPr>
            <w:tcW w:w="12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97,233</w:t>
            </w:r>
          </w:p>
        </w:tc>
        <w:tc>
          <w:tcPr>
            <w:tcW w:w="940" w:type="dxa"/>
            <w:vAlign w:val="bottom"/>
            <w:tcBorders>
              <w:bottom w:val="single" w:sz="8" w:color="939598"/>
            </w:tcBorders>
          </w:tcPr>
          <w:p>
            <w:pPr>
              <w:jc w:val="right"/>
              <w:ind w:right="80"/>
              <w:spacing w:after="0"/>
              <w:rPr>
                <w:sz w:val="20"/>
                <w:szCs w:val="20"/>
                <w:color w:val="auto"/>
              </w:rPr>
            </w:pPr>
            <w:r>
              <w:rPr>
                <w:rFonts w:ascii="Arial" w:cs="Arial" w:eastAsia="Arial" w:hAnsi="Arial"/>
                <w:sz w:val="17"/>
                <w:szCs w:val="17"/>
                <w:color w:val="auto"/>
              </w:rPr>
              <w:t>0</w:t>
            </w:r>
          </w:p>
        </w:tc>
        <w:tc>
          <w:tcPr>
            <w:tcW w:w="880" w:type="dxa"/>
            <w:vAlign w:val="bottom"/>
            <w:tcBorders>
              <w:bottom w:val="single" w:sz="8" w:color="939598"/>
            </w:tcBorders>
          </w:tcPr>
          <w:p>
            <w:pPr>
              <w:jc w:val="right"/>
              <w:ind w:right="59"/>
              <w:spacing w:after="0"/>
              <w:rPr>
                <w:sz w:val="20"/>
                <w:szCs w:val="20"/>
                <w:color w:val="auto"/>
              </w:rPr>
            </w:pPr>
            <w:r>
              <w:rPr>
                <w:rFonts w:ascii="Arial" w:cs="Arial" w:eastAsia="Arial" w:hAnsi="Arial"/>
                <w:sz w:val="17"/>
                <w:szCs w:val="17"/>
                <w:color w:val="auto"/>
              </w:rPr>
              <w:t>48,617</w:t>
            </w:r>
          </w:p>
        </w:tc>
        <w:tc>
          <w:tcPr>
            <w:tcW w:w="860" w:type="dxa"/>
            <w:vAlign w:val="bottom"/>
            <w:tcBorders>
              <w:bottom w:val="single" w:sz="8" w:color="939598"/>
            </w:tcBorders>
          </w:tcPr>
          <w:p>
            <w:pPr>
              <w:jc w:val="right"/>
              <w:ind w:right="99"/>
              <w:spacing w:after="0"/>
              <w:rPr>
                <w:sz w:val="20"/>
                <w:szCs w:val="20"/>
                <w:color w:val="auto"/>
              </w:rPr>
            </w:pPr>
            <w:r>
              <w:rPr>
                <w:rFonts w:ascii="Arial" w:cs="Arial" w:eastAsia="Arial" w:hAnsi="Arial"/>
                <w:sz w:val="17"/>
                <w:szCs w:val="17"/>
                <w:color w:val="auto"/>
              </w:rPr>
              <w:t>0</w:t>
            </w:r>
          </w:p>
        </w:tc>
        <w:tc>
          <w:tcPr>
            <w:tcW w:w="880" w:type="dxa"/>
            <w:vAlign w:val="bottom"/>
            <w:tcBorders>
              <w:bottom w:val="single" w:sz="8" w:color="939598"/>
            </w:tcBorders>
          </w:tcPr>
          <w:p>
            <w:pPr>
              <w:jc w:val="right"/>
              <w:ind w:right="60"/>
              <w:spacing w:after="0"/>
              <w:rPr>
                <w:sz w:val="20"/>
                <w:szCs w:val="20"/>
                <w:color w:val="auto"/>
              </w:rPr>
            </w:pPr>
            <w:r>
              <w:rPr>
                <w:rFonts w:ascii="Arial" w:cs="Arial" w:eastAsia="Arial" w:hAnsi="Arial"/>
                <w:sz w:val="17"/>
                <w:szCs w:val="17"/>
                <w:color w:val="auto"/>
              </w:rPr>
              <w:t>46,100</w:t>
            </w:r>
          </w:p>
        </w:tc>
        <w:tc>
          <w:tcPr>
            <w:tcW w:w="1040" w:type="dxa"/>
            <w:vAlign w:val="bottom"/>
            <w:tcBorders>
              <w:bottom w:val="single" w:sz="8" w:color="939598"/>
            </w:tcBorders>
          </w:tcPr>
          <w:p>
            <w:pPr>
              <w:jc w:val="right"/>
              <w:ind w:right="199"/>
              <w:spacing w:after="0"/>
              <w:rPr>
                <w:sz w:val="20"/>
                <w:szCs w:val="20"/>
                <w:color w:val="auto"/>
              </w:rPr>
            </w:pPr>
            <w:r>
              <w:rPr>
                <w:rFonts w:ascii="Arial" w:cs="Arial" w:eastAsia="Arial" w:hAnsi="Arial"/>
                <w:sz w:val="17"/>
                <w:szCs w:val="17"/>
                <w:color w:val="auto"/>
              </w:rPr>
              <w:t>0</w:t>
            </w:r>
          </w:p>
        </w:tc>
        <w:tc>
          <w:tcPr>
            <w:tcW w:w="900" w:type="dxa"/>
            <w:vAlign w:val="bottom"/>
            <w:tcBorders>
              <w:bottom w:val="single" w:sz="8" w:color="939598"/>
            </w:tcBorders>
          </w:tcPr>
          <w:p>
            <w:pPr>
              <w:jc w:val="right"/>
              <w:ind w:right="78"/>
              <w:spacing w:after="0"/>
              <w:rPr>
                <w:sz w:val="20"/>
                <w:szCs w:val="20"/>
                <w:color w:val="auto"/>
              </w:rPr>
            </w:pPr>
            <w:r>
              <w:rPr>
                <w:rFonts w:ascii="Arial" w:cs="Arial" w:eastAsia="Arial" w:hAnsi="Arial"/>
                <w:sz w:val="17"/>
                <w:szCs w:val="17"/>
                <w:color w:val="auto"/>
              </w:rPr>
              <w:t>0</w:t>
            </w:r>
          </w:p>
        </w:tc>
      </w:tr>
      <w:tr>
        <w:trPr>
          <w:trHeight w:val="291"/>
        </w:trPr>
        <w:tc>
          <w:tcPr>
            <w:tcW w:w="2100" w:type="dxa"/>
            <w:vAlign w:val="bottom"/>
            <w:tcBorders>
              <w:bottom w:val="single" w:sz="8" w:color="939598"/>
            </w:tcBorders>
          </w:tcPr>
          <w:p>
            <w:pPr>
              <w:ind w:left="160"/>
              <w:spacing w:after="0" w:line="290" w:lineRule="exact"/>
              <w:rPr>
                <w:sz w:val="20"/>
                <w:szCs w:val="20"/>
                <w:color w:val="auto"/>
              </w:rPr>
            </w:pPr>
            <w:r>
              <w:rPr>
                <w:rFonts w:ascii="Arial" w:cs="Arial" w:eastAsia="Arial" w:hAnsi="Arial"/>
                <w:sz w:val="17"/>
                <w:szCs w:val="17"/>
                <w:color w:val="auto"/>
              </w:rPr>
              <w:t>Edward Sebold</w:t>
            </w:r>
            <w:r>
              <w:rPr>
                <w:rFonts w:ascii="Arial" w:cs="Arial" w:eastAsia="Arial" w:hAnsi="Arial"/>
                <w:sz w:val="28"/>
                <w:szCs w:val="28"/>
                <w:color w:val="auto"/>
                <w:vertAlign w:val="superscript"/>
              </w:rPr>
              <w:t>(2)</w:t>
            </w:r>
          </w:p>
        </w:tc>
        <w:tc>
          <w:tcPr>
            <w:tcW w:w="1260" w:type="dxa"/>
            <w:vAlign w:val="bottom"/>
            <w:tcBorders>
              <w:bottom w:val="single" w:sz="8" w:color="939598"/>
            </w:tcBorders>
          </w:tcPr>
          <w:p>
            <w:pPr>
              <w:jc w:val="right"/>
              <w:ind w:right="100"/>
              <w:spacing w:after="0"/>
              <w:rPr>
                <w:sz w:val="20"/>
                <w:szCs w:val="20"/>
                <w:color w:val="auto"/>
              </w:rPr>
            </w:pPr>
            <w:r>
              <w:rPr>
                <w:rFonts w:ascii="Arial" w:cs="Arial" w:eastAsia="Arial" w:hAnsi="Arial"/>
                <w:sz w:val="17"/>
                <w:szCs w:val="17"/>
                <w:color w:val="auto"/>
              </w:rPr>
              <w:t>36,463</w:t>
            </w:r>
          </w:p>
        </w:tc>
        <w:tc>
          <w:tcPr>
            <w:tcW w:w="940" w:type="dxa"/>
            <w:vAlign w:val="bottom"/>
            <w:tcBorders>
              <w:bottom w:val="single" w:sz="8" w:color="939598"/>
            </w:tcBorders>
          </w:tcPr>
          <w:p>
            <w:pPr>
              <w:jc w:val="right"/>
              <w:ind w:right="80"/>
              <w:spacing w:after="0"/>
              <w:rPr>
                <w:sz w:val="20"/>
                <w:szCs w:val="20"/>
                <w:color w:val="auto"/>
              </w:rPr>
            </w:pPr>
            <w:r>
              <w:rPr>
                <w:rFonts w:ascii="Arial" w:cs="Arial" w:eastAsia="Arial" w:hAnsi="Arial"/>
                <w:sz w:val="17"/>
                <w:szCs w:val="17"/>
                <w:color w:val="auto"/>
              </w:rPr>
              <w:t>34,182</w:t>
            </w:r>
          </w:p>
        </w:tc>
        <w:tc>
          <w:tcPr>
            <w:tcW w:w="880" w:type="dxa"/>
            <w:vAlign w:val="bottom"/>
            <w:tcBorders>
              <w:bottom w:val="single" w:sz="8" w:color="939598"/>
            </w:tcBorders>
          </w:tcPr>
          <w:p>
            <w:pPr>
              <w:jc w:val="right"/>
              <w:ind w:right="59"/>
              <w:spacing w:after="0"/>
              <w:rPr>
                <w:sz w:val="20"/>
                <w:szCs w:val="20"/>
                <w:color w:val="auto"/>
              </w:rPr>
            </w:pPr>
            <w:r>
              <w:rPr>
                <w:rFonts w:ascii="Arial" w:cs="Arial" w:eastAsia="Arial" w:hAnsi="Arial"/>
                <w:sz w:val="17"/>
                <w:szCs w:val="17"/>
                <w:color w:val="auto"/>
              </w:rPr>
              <w:t>18,232</w:t>
            </w:r>
          </w:p>
        </w:tc>
        <w:tc>
          <w:tcPr>
            <w:tcW w:w="860" w:type="dxa"/>
            <w:vAlign w:val="bottom"/>
            <w:tcBorders>
              <w:bottom w:val="single" w:sz="8" w:color="939598"/>
            </w:tcBorders>
          </w:tcPr>
          <w:p>
            <w:pPr>
              <w:jc w:val="right"/>
              <w:ind w:right="99"/>
              <w:spacing w:after="0"/>
              <w:rPr>
                <w:sz w:val="20"/>
                <w:szCs w:val="20"/>
                <w:color w:val="auto"/>
              </w:rPr>
            </w:pPr>
            <w:r>
              <w:rPr>
                <w:rFonts w:ascii="Arial" w:cs="Arial" w:eastAsia="Arial" w:hAnsi="Arial"/>
                <w:sz w:val="17"/>
                <w:szCs w:val="17"/>
                <w:color w:val="auto"/>
              </w:rPr>
              <w:t>11,492</w:t>
            </w:r>
          </w:p>
        </w:tc>
        <w:tc>
          <w:tcPr>
            <w:tcW w:w="880" w:type="dxa"/>
            <w:vAlign w:val="bottom"/>
            <w:tcBorders>
              <w:bottom w:val="single" w:sz="8" w:color="939598"/>
            </w:tcBorders>
          </w:tcPr>
          <w:p>
            <w:pPr>
              <w:jc w:val="right"/>
              <w:ind w:right="60"/>
              <w:spacing w:after="0"/>
              <w:rPr>
                <w:sz w:val="20"/>
                <w:szCs w:val="20"/>
                <w:color w:val="auto"/>
              </w:rPr>
            </w:pPr>
            <w:r>
              <w:rPr>
                <w:rFonts w:ascii="Arial" w:cs="Arial" w:eastAsia="Arial" w:hAnsi="Arial"/>
                <w:sz w:val="17"/>
                <w:szCs w:val="17"/>
                <w:color w:val="auto"/>
              </w:rPr>
              <w:t>17,288</w:t>
            </w:r>
          </w:p>
        </w:tc>
        <w:tc>
          <w:tcPr>
            <w:tcW w:w="1040" w:type="dxa"/>
            <w:vAlign w:val="bottom"/>
            <w:tcBorders>
              <w:bottom w:val="single" w:sz="8" w:color="939598"/>
            </w:tcBorders>
          </w:tcPr>
          <w:p>
            <w:pPr>
              <w:jc w:val="right"/>
              <w:ind w:right="179"/>
              <w:spacing w:after="0"/>
              <w:rPr>
                <w:sz w:val="20"/>
                <w:szCs w:val="20"/>
                <w:color w:val="auto"/>
              </w:rPr>
            </w:pPr>
            <w:r>
              <w:rPr>
                <w:rFonts w:ascii="Arial" w:cs="Arial" w:eastAsia="Arial" w:hAnsi="Arial"/>
                <w:sz w:val="17"/>
                <w:szCs w:val="17"/>
                <w:color w:val="auto"/>
              </w:rPr>
              <w:t>12,313</w:t>
            </w:r>
          </w:p>
        </w:tc>
        <w:tc>
          <w:tcPr>
            <w:tcW w:w="900" w:type="dxa"/>
            <w:vAlign w:val="bottom"/>
            <w:tcBorders>
              <w:bottom w:val="single" w:sz="8" w:color="939598"/>
            </w:tcBorders>
          </w:tcPr>
          <w:p>
            <w:pPr>
              <w:jc w:val="right"/>
              <w:ind w:right="98"/>
              <w:spacing w:after="0"/>
              <w:rPr>
                <w:sz w:val="20"/>
                <w:szCs w:val="20"/>
                <w:color w:val="auto"/>
              </w:rPr>
            </w:pPr>
            <w:r>
              <w:rPr>
                <w:rFonts w:ascii="Arial" w:cs="Arial" w:eastAsia="Arial" w:hAnsi="Arial"/>
                <w:sz w:val="17"/>
                <w:szCs w:val="17"/>
                <w:color w:val="auto"/>
              </w:rPr>
              <w:t>57,987</w:t>
            </w:r>
          </w:p>
        </w:tc>
      </w:tr>
      <w:tr>
        <w:trPr>
          <w:trHeight w:val="209"/>
        </w:trPr>
        <w:tc>
          <w:tcPr>
            <w:tcW w:w="2100" w:type="dxa"/>
            <w:vAlign w:val="bottom"/>
            <w:tcBorders>
              <w:bottom w:val="single" w:sz="8" w:color="F0533D"/>
            </w:tcBorders>
          </w:tcPr>
          <w:p>
            <w:pPr>
              <w:ind w:left="160"/>
              <w:spacing w:after="0"/>
              <w:rPr>
                <w:sz w:val="20"/>
                <w:szCs w:val="20"/>
                <w:color w:val="auto"/>
              </w:rPr>
            </w:pPr>
            <w:r>
              <w:rPr>
                <w:rFonts w:ascii="Arial" w:cs="Arial" w:eastAsia="Arial" w:hAnsi="Arial"/>
                <w:sz w:val="17"/>
                <w:szCs w:val="17"/>
                <w:color w:val="auto"/>
              </w:rPr>
              <w:t>Vineet Khurana</w:t>
            </w:r>
          </w:p>
        </w:tc>
        <w:tc>
          <w:tcPr>
            <w:tcW w:w="1260" w:type="dxa"/>
            <w:vAlign w:val="bottom"/>
            <w:tcBorders>
              <w:bottom w:val="single" w:sz="8" w:color="F0533D"/>
            </w:tcBorders>
          </w:tcPr>
          <w:p>
            <w:pPr>
              <w:jc w:val="right"/>
              <w:ind w:right="100"/>
              <w:spacing w:after="0"/>
              <w:rPr>
                <w:sz w:val="20"/>
                <w:szCs w:val="20"/>
                <w:color w:val="auto"/>
              </w:rPr>
            </w:pPr>
            <w:r>
              <w:rPr>
                <w:rFonts w:ascii="Arial" w:cs="Arial" w:eastAsia="Arial" w:hAnsi="Arial"/>
                <w:sz w:val="17"/>
                <w:szCs w:val="17"/>
                <w:color w:val="auto"/>
              </w:rPr>
              <w:t>18,232</w:t>
            </w:r>
          </w:p>
        </w:tc>
        <w:tc>
          <w:tcPr>
            <w:tcW w:w="940" w:type="dxa"/>
            <w:vAlign w:val="bottom"/>
            <w:tcBorders>
              <w:bottom w:val="single" w:sz="8" w:color="F0533D"/>
            </w:tcBorders>
          </w:tcPr>
          <w:p>
            <w:pPr>
              <w:jc w:val="right"/>
              <w:ind w:right="80"/>
              <w:spacing w:after="0"/>
              <w:rPr>
                <w:sz w:val="20"/>
                <w:szCs w:val="20"/>
                <w:color w:val="auto"/>
              </w:rPr>
            </w:pPr>
            <w:r>
              <w:rPr>
                <w:rFonts w:ascii="Arial" w:cs="Arial" w:eastAsia="Arial" w:hAnsi="Arial"/>
                <w:sz w:val="17"/>
                <w:szCs w:val="17"/>
                <w:color w:val="auto"/>
              </w:rPr>
              <w:t>17,977</w:t>
            </w:r>
          </w:p>
        </w:tc>
        <w:tc>
          <w:tcPr>
            <w:tcW w:w="880" w:type="dxa"/>
            <w:vAlign w:val="bottom"/>
            <w:tcBorders>
              <w:bottom w:val="single" w:sz="8" w:color="F0533D"/>
            </w:tcBorders>
          </w:tcPr>
          <w:p>
            <w:pPr>
              <w:jc w:val="right"/>
              <w:ind w:right="59"/>
              <w:spacing w:after="0"/>
              <w:rPr>
                <w:sz w:val="20"/>
                <w:szCs w:val="20"/>
                <w:color w:val="auto"/>
              </w:rPr>
            </w:pPr>
            <w:r>
              <w:rPr>
                <w:rFonts w:ascii="Arial" w:cs="Arial" w:eastAsia="Arial" w:hAnsi="Arial"/>
                <w:sz w:val="17"/>
                <w:szCs w:val="17"/>
                <w:color w:val="auto"/>
              </w:rPr>
              <w:t>9,116</w:t>
            </w:r>
          </w:p>
        </w:tc>
        <w:tc>
          <w:tcPr>
            <w:tcW w:w="860" w:type="dxa"/>
            <w:vAlign w:val="bottom"/>
            <w:tcBorders>
              <w:bottom w:val="single" w:sz="8" w:color="F0533D"/>
            </w:tcBorders>
          </w:tcPr>
          <w:p>
            <w:pPr>
              <w:jc w:val="right"/>
              <w:ind w:right="79"/>
              <w:spacing w:after="0"/>
              <w:rPr>
                <w:sz w:val="20"/>
                <w:szCs w:val="20"/>
                <w:color w:val="auto"/>
              </w:rPr>
            </w:pPr>
            <w:r>
              <w:rPr>
                <w:rFonts w:ascii="Arial" w:cs="Arial" w:eastAsia="Arial" w:hAnsi="Arial"/>
                <w:sz w:val="17"/>
                <w:szCs w:val="17"/>
                <w:color w:val="auto"/>
              </w:rPr>
              <w:t>6,044</w:t>
            </w:r>
          </w:p>
        </w:tc>
        <w:tc>
          <w:tcPr>
            <w:tcW w:w="880" w:type="dxa"/>
            <w:vAlign w:val="bottom"/>
            <w:tcBorders>
              <w:bottom w:val="single" w:sz="8" w:color="F0533D"/>
            </w:tcBorders>
          </w:tcPr>
          <w:p>
            <w:pPr>
              <w:jc w:val="right"/>
              <w:ind w:right="60"/>
              <w:spacing w:after="0"/>
              <w:rPr>
                <w:sz w:val="20"/>
                <w:szCs w:val="20"/>
                <w:color w:val="auto"/>
              </w:rPr>
            </w:pPr>
            <w:r>
              <w:rPr>
                <w:rFonts w:ascii="Arial" w:cs="Arial" w:eastAsia="Arial" w:hAnsi="Arial"/>
                <w:sz w:val="17"/>
                <w:szCs w:val="17"/>
                <w:color w:val="auto"/>
              </w:rPr>
              <w:t>8,644</w:t>
            </w:r>
          </w:p>
        </w:tc>
        <w:tc>
          <w:tcPr>
            <w:tcW w:w="1040" w:type="dxa"/>
            <w:vAlign w:val="bottom"/>
            <w:tcBorders>
              <w:bottom w:val="single" w:sz="8" w:color="F0533D"/>
            </w:tcBorders>
          </w:tcPr>
          <w:p>
            <w:pPr>
              <w:jc w:val="right"/>
              <w:ind w:right="179"/>
              <w:spacing w:after="0"/>
              <w:rPr>
                <w:sz w:val="20"/>
                <w:szCs w:val="20"/>
                <w:color w:val="auto"/>
              </w:rPr>
            </w:pPr>
            <w:r>
              <w:rPr>
                <w:rFonts w:ascii="Arial" w:cs="Arial" w:eastAsia="Arial" w:hAnsi="Arial"/>
                <w:sz w:val="17"/>
                <w:szCs w:val="17"/>
                <w:color w:val="auto"/>
              </w:rPr>
              <w:t>6,518</w:t>
            </w:r>
          </w:p>
        </w:tc>
        <w:tc>
          <w:tcPr>
            <w:tcW w:w="900" w:type="dxa"/>
            <w:vAlign w:val="bottom"/>
            <w:tcBorders>
              <w:bottom w:val="single" w:sz="8" w:color="F0533D"/>
            </w:tcBorders>
          </w:tcPr>
          <w:p>
            <w:pPr>
              <w:jc w:val="right"/>
              <w:ind w:right="98"/>
              <w:spacing w:after="0"/>
              <w:rPr>
                <w:sz w:val="20"/>
                <w:szCs w:val="20"/>
                <w:color w:val="auto"/>
              </w:rPr>
            </w:pPr>
            <w:r>
              <w:rPr>
                <w:rFonts w:ascii="Arial" w:cs="Arial" w:eastAsia="Arial" w:hAnsi="Arial"/>
                <w:sz w:val="17"/>
                <w:szCs w:val="17"/>
                <w:color w:val="auto"/>
              </w:rPr>
              <w:t>30,539</w:t>
            </w:r>
          </w:p>
        </w:tc>
      </w:tr>
    </w:tbl>
    <w:p>
      <w:pPr>
        <w:spacing w:after="0" w:line="243" w:lineRule="exact"/>
        <w:rPr>
          <w:sz w:val="20"/>
          <w:szCs w:val="20"/>
          <w:color w:val="auto"/>
        </w:rPr>
      </w:pPr>
    </w:p>
    <w:p>
      <w:pPr>
        <w:ind w:left="540" w:hanging="356"/>
        <w:spacing w:after="0"/>
        <w:tabs>
          <w:tab w:leader="none" w:pos="540" w:val="left"/>
        </w:tabs>
        <w:numPr>
          <w:ilvl w:val="0"/>
          <w:numId w:val="75"/>
        </w:numPr>
        <w:rPr>
          <w:rFonts w:ascii="Arial" w:cs="Arial" w:eastAsia="Arial" w:hAnsi="Arial"/>
          <w:sz w:val="23"/>
          <w:szCs w:val="23"/>
          <w:color w:val="auto"/>
          <w:vertAlign w:val="superscript"/>
        </w:rPr>
      </w:pPr>
      <w:r>
        <w:rPr>
          <w:rFonts w:ascii="Arial" w:cs="Arial" w:eastAsia="Arial" w:hAnsi="Arial"/>
          <w:sz w:val="15"/>
          <w:szCs w:val="15"/>
          <w:color w:val="auto"/>
        </w:rPr>
        <w:t>Mr. Wyshner forfeited his 2024 PSUs as a result of his departure from the Company on February 5, 2026.</w:t>
      </w:r>
    </w:p>
    <w:p>
      <w:pPr>
        <w:spacing w:after="0" w:line="69" w:lineRule="exact"/>
        <w:rPr>
          <w:rFonts w:ascii="Arial" w:cs="Arial" w:eastAsia="Arial" w:hAnsi="Arial"/>
          <w:sz w:val="23"/>
          <w:szCs w:val="23"/>
          <w:color w:val="auto"/>
          <w:vertAlign w:val="superscript"/>
        </w:rPr>
      </w:pPr>
    </w:p>
    <w:p>
      <w:pPr>
        <w:ind w:left="540" w:right="159" w:hanging="356"/>
        <w:spacing w:after="0" w:line="206" w:lineRule="auto"/>
        <w:tabs>
          <w:tab w:leader="none" w:pos="540" w:val="left"/>
        </w:tabs>
        <w:numPr>
          <w:ilvl w:val="0"/>
          <w:numId w:val="75"/>
        </w:numPr>
        <w:rPr>
          <w:rFonts w:ascii="Arial" w:cs="Arial" w:eastAsia="Arial" w:hAnsi="Arial"/>
          <w:sz w:val="23"/>
          <w:szCs w:val="23"/>
          <w:color w:val="auto"/>
          <w:vertAlign w:val="superscript"/>
        </w:rPr>
      </w:pPr>
      <w:r>
        <w:rPr>
          <w:rFonts w:ascii="Arial" w:cs="Arial" w:eastAsia="Arial" w:hAnsi="Arial"/>
          <w:sz w:val="15"/>
          <w:szCs w:val="15"/>
          <w:color w:val="auto"/>
        </w:rPr>
        <w:t>Due to meeting retirement eligibility under the Company’s Severance Plan, Mr. Sebold was eligible to receive an amount prorated for the time worked during the performance period until his departure from the Company on February 5, 2026. The amount shown in the table under "Total PSUs Earned" reflects this proration.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184785</wp:posOffset>
            </wp:positionV>
            <wp:extent cx="213995" cy="342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Executive Long-Term Cash Awards</w:t>
      </w:r>
    </w:p>
    <w:p>
      <w:pPr>
        <w:spacing w:after="0" w:line="156" w:lineRule="exact"/>
        <w:rPr>
          <w:sz w:val="20"/>
          <w:szCs w:val="20"/>
          <w:color w:val="auto"/>
        </w:rPr>
      </w:pPr>
    </w:p>
    <w:p>
      <w:pPr>
        <w:ind w:left="80" w:right="459"/>
        <w:spacing w:after="0" w:line="239" w:lineRule="auto"/>
        <w:rPr>
          <w:sz w:val="20"/>
          <w:szCs w:val="20"/>
          <w:color w:val="auto"/>
        </w:rPr>
      </w:pPr>
      <w:r>
        <w:rPr>
          <w:rFonts w:ascii="Arial" w:cs="Arial" w:eastAsia="Arial" w:hAnsi="Arial"/>
          <w:sz w:val="17"/>
          <w:szCs w:val="17"/>
          <w:color w:val="auto"/>
        </w:rPr>
        <w:t>As part of our standard compensation program for senior leaders (but not executive officers) of the Company, in addition to RSUs, senior leaders receive long-term cash awards granted under the LTPP (“Long-Term Cash Awards”), pursuant to which award recipients receive lump-sum cash payments following specified vesting dates aligned to RSU vesting. Long-Term Cash Awards previously granted to Messrs. Chugh and Ringes before they became executive officers vested during fiscal 2026 and are reflected in the “Bonus” column of the Summary Compensation Table.</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Other Compensation</w:t>
      </w: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Executive Severance Plan and Executive Retirement Policy</w:t>
      </w:r>
    </w:p>
    <w:p>
      <w:pPr>
        <w:spacing w:after="0" w:line="154" w:lineRule="exact"/>
        <w:rPr>
          <w:sz w:val="20"/>
          <w:szCs w:val="20"/>
          <w:color w:val="auto"/>
        </w:rPr>
      </w:pPr>
    </w:p>
    <w:p>
      <w:pPr>
        <w:ind w:left="80" w:right="159"/>
        <w:spacing w:after="0" w:line="238" w:lineRule="auto"/>
        <w:rPr>
          <w:sz w:val="20"/>
          <w:szCs w:val="20"/>
          <w:color w:val="auto"/>
        </w:rPr>
      </w:pPr>
      <w:r>
        <w:rPr>
          <w:rFonts w:ascii="Arial" w:cs="Arial" w:eastAsia="Arial" w:hAnsi="Arial"/>
          <w:sz w:val="17"/>
          <w:szCs w:val="17"/>
          <w:color w:val="auto"/>
        </w:rPr>
        <w:t>The Company maintains the Severance Plan, which is described in detail under “Potential Payments upon Termination or Change in Control” below. Each of the NEOs is entitled to benefits under the Severance Plan, as set forth under “Potential Payments upon Termination or Change in Control.” The CHC Committee considers it important that the Company not have to engage in case-by-case negotiations with respect to executive departures. The CHC Committee also believes that having a severance plan furthers the Company’s ability to attract and retain talented executives and that being covered under the terms of a severance plan would allow executives to focus on their duties and provide them security in the event of proposed extraordinary transactions.</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Limited Perquisites</w:t>
      </w:r>
    </w:p>
    <w:p>
      <w:pPr>
        <w:spacing w:after="0" w:line="154" w:lineRule="exact"/>
        <w:rPr>
          <w:sz w:val="20"/>
          <w:szCs w:val="20"/>
          <w:color w:val="auto"/>
        </w:rPr>
      </w:pPr>
    </w:p>
    <w:p>
      <w:pPr>
        <w:ind w:left="80" w:right="219"/>
        <w:spacing w:after="0" w:line="249" w:lineRule="auto"/>
        <w:rPr>
          <w:sz w:val="20"/>
          <w:szCs w:val="20"/>
          <w:color w:val="auto"/>
        </w:rPr>
      </w:pPr>
      <w:r>
        <w:rPr>
          <w:rFonts w:ascii="Arial" w:cs="Arial" w:eastAsia="Arial" w:hAnsi="Arial"/>
          <w:sz w:val="17"/>
          <w:szCs w:val="17"/>
          <w:color w:val="auto"/>
        </w:rPr>
        <w:t>Consistent with our compensation philosophy, we provide our NEOs with limited perquisites, as set forth in the table below. The CHC Committee believes these perquisites are limited in scope and appropriate to support the efficient performance of the NEOs’ duties.</w:t>
      </w:r>
    </w:p>
    <w:p>
      <w:pPr>
        <w:spacing w:after="0" w:line="228" w:lineRule="exact"/>
        <w:rPr>
          <w:sz w:val="20"/>
          <w:szCs w:val="20"/>
          <w:color w:val="auto"/>
        </w:rPr>
      </w:pPr>
    </w:p>
    <w:p>
      <w:pPr>
        <w:ind w:left="240"/>
        <w:spacing w:after="0"/>
        <w:tabs>
          <w:tab w:leader="none" w:pos="2400" w:val="left"/>
          <w:tab w:leader="none" w:pos="3060" w:val="left"/>
          <w:tab w:leader="none" w:pos="4220" w:val="left"/>
        </w:tabs>
        <w:rPr>
          <w:sz w:val="20"/>
          <w:szCs w:val="20"/>
          <w:color w:val="auto"/>
        </w:rPr>
      </w:pPr>
      <w:r>
        <w:rPr>
          <w:rFonts w:ascii="Arial" w:cs="Arial" w:eastAsia="Arial" w:hAnsi="Arial"/>
          <w:sz w:val="14"/>
          <w:szCs w:val="14"/>
          <w:b w:val="1"/>
          <w:bCs w:val="1"/>
          <w:color w:val="F0533D"/>
        </w:rPr>
        <w:t>Benefit</w:t>
      </w:r>
      <w:r>
        <w:rPr>
          <w:sz w:val="20"/>
          <w:szCs w:val="20"/>
          <w:color w:val="auto"/>
        </w:rPr>
        <w:tab/>
      </w:r>
      <w:r>
        <w:rPr>
          <w:rFonts w:ascii="Arial" w:cs="Arial" w:eastAsia="Arial" w:hAnsi="Arial"/>
          <w:sz w:val="14"/>
          <w:szCs w:val="14"/>
          <w:b w:val="1"/>
          <w:bCs w:val="1"/>
          <w:color w:val="F0533D"/>
        </w:rPr>
        <w:t>CEO</w:t>
      </w:r>
      <w:r>
        <w:rPr>
          <w:sz w:val="20"/>
          <w:szCs w:val="20"/>
          <w:color w:val="auto"/>
        </w:rPr>
        <w:tab/>
      </w:r>
      <w:r>
        <w:rPr>
          <w:rFonts w:ascii="Arial" w:cs="Arial" w:eastAsia="Arial" w:hAnsi="Arial"/>
          <w:sz w:val="14"/>
          <w:szCs w:val="14"/>
          <w:b w:val="1"/>
          <w:bCs w:val="1"/>
          <w:color w:val="F0533D"/>
        </w:rPr>
        <w:t>Other NEOs</w:t>
      </w:r>
      <w:r>
        <w:rPr>
          <w:sz w:val="20"/>
          <w:szCs w:val="20"/>
          <w:color w:val="auto"/>
        </w:rPr>
        <w:tab/>
      </w:r>
      <w:r>
        <w:rPr>
          <w:rFonts w:ascii="Arial" w:cs="Arial" w:eastAsia="Arial" w:hAnsi="Arial"/>
          <w:sz w:val="14"/>
          <w:szCs w:val="14"/>
          <w:b w:val="1"/>
          <w:bCs w:val="1"/>
          <w:color w:val="F0533D"/>
        </w:rPr>
        <w:t>Description and Business Rationale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57785</wp:posOffset>
            </wp:positionV>
            <wp:extent cx="56235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72" w:lineRule="exact"/>
        <w:rPr>
          <w:sz w:val="20"/>
          <w:szCs w:val="20"/>
          <w:color w:val="auto"/>
        </w:rPr>
      </w:pPr>
    </w:p>
    <w:p>
      <w:pPr>
        <w:ind w:left="240" w:right="1860"/>
        <w:spacing w:after="0" w:line="296" w:lineRule="auto"/>
        <w:rPr>
          <w:sz w:val="20"/>
          <w:szCs w:val="20"/>
          <w:color w:val="auto"/>
        </w:rPr>
      </w:pPr>
      <w:r>
        <w:rPr>
          <w:rFonts w:ascii="Arial" w:cs="Arial" w:eastAsia="Arial" w:hAnsi="Arial"/>
          <w:sz w:val="16"/>
          <w:szCs w:val="16"/>
          <w:b w:val="1"/>
          <w:bCs w:val="1"/>
          <w:color w:val="auto"/>
        </w:rPr>
        <w:t>Executive Wellbeing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-278765</wp:posOffset>
            </wp:positionV>
            <wp:extent cx="137160" cy="13716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69" w:lineRule="exact"/>
        <w:rPr>
          <w:sz w:val="20"/>
          <w:szCs w:val="20"/>
          <w:color w:val="auto"/>
        </w:rPr>
      </w:pPr>
    </w:p>
    <w:p>
      <w:pPr>
        <w:ind w:left="240" w:right="1920"/>
        <w:spacing w:after="0" w:line="296" w:lineRule="auto"/>
        <w:rPr>
          <w:sz w:val="20"/>
          <w:szCs w:val="20"/>
          <w:color w:val="auto"/>
        </w:rPr>
      </w:pPr>
      <w:r>
        <w:rPr>
          <w:rFonts w:ascii="Arial" w:cs="Arial" w:eastAsia="Arial" w:hAnsi="Arial"/>
          <w:sz w:val="16"/>
          <w:szCs w:val="16"/>
          <w:b w:val="1"/>
          <w:bCs w:val="1"/>
          <w:color w:val="auto"/>
        </w:rPr>
        <w:t>Executive Financial Wellness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-278765</wp:posOffset>
            </wp:positionV>
            <wp:extent cx="137160" cy="13716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both"/>
        <w:ind w:right="619" w:hanging="146"/>
        <w:spacing w:after="0" w:line="26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Executive health exams are offered to encourage senior</w:t>
      </w:r>
      <w:r>
        <w:rPr>
          <w:rFonts w:ascii="Arial" w:cs="Arial" w:eastAsia="Arial" w:hAnsi="Arial"/>
          <w:sz w:val="16"/>
          <w:szCs w:val="16"/>
          <w:color w:val="F0533D"/>
        </w:rPr>
        <w:t xml:space="preserve"> </w:t>
      </w:r>
      <w:r>
        <w:rPr>
          <w:rFonts w:ascii="Arial" w:cs="Arial" w:eastAsia="Arial" w:hAnsi="Arial"/>
          <w:sz w:val="16"/>
          <w:szCs w:val="16"/>
          <w:color w:val="000000"/>
        </w:rPr>
        <w:t>leaders of the Company to be proactive with preventive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-387350</wp:posOffset>
            </wp:positionV>
            <wp:extent cx="137160" cy="13716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11" w:lineRule="exact"/>
        <w:rPr>
          <w:sz w:val="20"/>
          <w:szCs w:val="20"/>
          <w:color w:val="auto"/>
        </w:rPr>
      </w:pPr>
    </w:p>
    <w:p>
      <w:pPr>
        <w:ind w:right="239" w:hanging="146"/>
        <w:spacing w:after="0" w:line="259"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Financial planning and tax preparation services are offered to</w:t>
      </w:r>
      <w:r>
        <w:rPr>
          <w:rFonts w:ascii="Arial" w:cs="Arial" w:eastAsia="Arial" w:hAnsi="Arial"/>
          <w:sz w:val="16"/>
          <w:szCs w:val="16"/>
          <w:color w:val="F0533D"/>
        </w:rPr>
        <w:t xml:space="preserve"> </w:t>
      </w:r>
      <w:r>
        <w:rPr>
          <w:rFonts w:ascii="Arial" w:cs="Arial" w:eastAsia="Arial" w:hAnsi="Arial"/>
          <w:sz w:val="16"/>
          <w:szCs w:val="16"/>
          <w:color w:val="000000"/>
        </w:rPr>
        <w:t>allow our NEOs to focus more fully on their service to the Company without the distraction of sometimes complex tax compliance and financial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44450</wp:posOffset>
            </wp:positionV>
            <wp:extent cx="562356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wp:posOffset>
            </wp:positionH>
            <wp:positionV relativeFrom="paragraph">
              <wp:posOffset>-503555</wp:posOffset>
            </wp:positionV>
            <wp:extent cx="137160" cy="13716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660" w:space="720"/>
            <w:col w:w="4639"/>
          </w:cols>
          <w:pgMar w:left="1440" w:top="114" w:right="1440" w:bottom="1440" w:gutter="0" w:footer="0" w:header="0"/>
          <w:type w:val="continuous"/>
        </w:sectPr>
      </w:pPr>
    </w:p>
    <w:p>
      <w:pPr>
        <w:ind w:left="240"/>
        <w:spacing w:after="0"/>
        <w:rPr>
          <w:sz w:val="20"/>
          <w:szCs w:val="20"/>
          <w:color w:val="auto"/>
        </w:rPr>
      </w:pPr>
      <w:r>
        <w:rPr>
          <w:rFonts w:ascii="Arial" w:cs="Arial" w:eastAsia="Arial" w:hAnsi="Arial"/>
          <w:sz w:val="16"/>
          <w:szCs w:val="16"/>
          <w:b w:val="1"/>
          <w:bCs w:val="1"/>
          <w:color w:val="auto"/>
        </w:rPr>
        <w:t>Personal Use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-107315</wp:posOffset>
            </wp:positionV>
            <wp:extent cx="137160" cy="13716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Aircraft</w:t>
      </w:r>
    </w:p>
    <w:p>
      <w:pPr>
        <w:spacing w:after="0" w:line="20" w:lineRule="exact"/>
        <w:rPr>
          <w:sz w:val="20"/>
          <w:szCs w:val="20"/>
          <w:color w:val="auto"/>
        </w:rPr>
      </w:pPr>
      <w:r>
        <w:rPr>
          <w:sz w:val="20"/>
          <w:szCs w:val="20"/>
          <w:color w:val="auto"/>
        </w:rPr>
        <w:br w:type="column"/>
      </w:r>
    </w:p>
    <w:p>
      <w:pPr>
        <w:ind w:right="259" w:hanging="146"/>
        <w:spacing w:after="0" w:line="252"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We permit Mr. Schroeter, but none of the other NEOs, to fly</w:t>
      </w:r>
      <w:r>
        <w:rPr>
          <w:rFonts w:ascii="Arial" w:cs="Arial" w:eastAsia="Arial" w:hAnsi="Arial"/>
          <w:sz w:val="16"/>
          <w:szCs w:val="16"/>
          <w:color w:val="F0533D"/>
        </w:rPr>
        <w:t xml:space="preserve"> </w:t>
      </w:r>
      <w:r>
        <w:rPr>
          <w:rFonts w:ascii="Arial" w:cs="Arial" w:eastAsia="Arial" w:hAnsi="Arial"/>
          <w:sz w:val="16"/>
          <w:szCs w:val="16"/>
          <w:color w:val="000000"/>
        </w:rPr>
        <w:t>on a Company-provided aircraft for personal travel in an amount limited to an aggregate incremental cost to the Company of $200,000 per fiscal year. We provide this benefit to Mr. Schroeter for security purposes, so he can use his travel time more productively for the Company and to ensure that he can be immediately available to respond to business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47625</wp:posOffset>
            </wp:positionV>
            <wp:extent cx="56235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3660" w:space="720"/>
            <w:col w:w="4639"/>
          </w:cols>
          <w:pgMar w:left="1440" w:top="114" w:right="1440" w:bottom="1440" w:gutter="0" w:footer="0" w:header="0"/>
          <w:type w:val="continuous"/>
        </w:sectPr>
      </w:pPr>
    </w:p>
    <w:p>
      <w:pPr>
        <w:ind w:left="240"/>
        <w:spacing w:after="0"/>
        <w:tabs>
          <w:tab w:leader="none" w:pos="3260" w:val="left"/>
        </w:tabs>
        <w:rPr>
          <w:sz w:val="20"/>
          <w:szCs w:val="20"/>
          <w:color w:val="auto"/>
        </w:rPr>
      </w:pPr>
      <w:r>
        <w:rPr>
          <w:rFonts w:ascii="Arial" w:cs="Arial" w:eastAsia="Arial" w:hAnsi="Arial"/>
          <w:sz w:val="16"/>
          <w:szCs w:val="16"/>
          <w:b w:val="1"/>
          <w:bCs w:val="1"/>
          <w:color w:val="auto"/>
        </w:rPr>
        <w:t>Company Car and</w:t>
      </w:r>
      <w:r>
        <w:rPr>
          <w:sz w:val="20"/>
          <w:szCs w:val="20"/>
          <w:color w:val="auto"/>
        </w:rPr>
        <w:tab/>
      </w:r>
      <w:r>
        <w:rPr>
          <w:rFonts w:ascii="Arial" w:cs="Arial" w:eastAsia="Arial" w:hAnsi="Arial"/>
          <w:sz w:val="15"/>
          <w:szCs w:val="15"/>
          <w:b w:val="1"/>
          <w:bCs w:val="1"/>
          <w:color w:val="auto"/>
        </w:rPr>
        <w:t>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-107315</wp:posOffset>
            </wp:positionV>
            <wp:extent cx="137160" cy="1371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 w:lineRule="exact"/>
        <w:rPr>
          <w:sz w:val="20"/>
          <w:szCs w:val="20"/>
          <w:color w:val="auto"/>
        </w:rPr>
      </w:pPr>
    </w:p>
    <w:p>
      <w:pPr>
        <w:ind w:left="240"/>
        <w:spacing w:after="0"/>
        <w:tabs>
          <w:tab w:leader="none" w:pos="3160" w:val="left"/>
        </w:tabs>
        <w:rPr>
          <w:sz w:val="20"/>
          <w:szCs w:val="20"/>
          <w:color w:val="auto"/>
        </w:rPr>
      </w:pPr>
      <w:r>
        <w:rPr>
          <w:rFonts w:ascii="Arial" w:cs="Arial" w:eastAsia="Arial" w:hAnsi="Arial"/>
          <w:sz w:val="16"/>
          <w:szCs w:val="16"/>
          <w:b w:val="1"/>
          <w:bCs w:val="1"/>
          <w:color w:val="auto"/>
        </w:rPr>
        <w:t>Driver</w:t>
      </w:r>
      <w:r>
        <w:rPr>
          <w:sz w:val="20"/>
          <w:szCs w:val="20"/>
          <w:color w:val="auto"/>
        </w:rPr>
        <w:tab/>
      </w:r>
      <w:r>
        <w:rPr>
          <w:rFonts w:ascii="Arial" w:cs="Arial" w:eastAsia="Arial" w:hAnsi="Arial"/>
          <w:sz w:val="16"/>
          <w:szCs w:val="16"/>
          <w:b w:val="1"/>
          <w:bCs w:val="1"/>
          <w:color w:val="auto"/>
        </w:rPr>
        <w:t>President</w:t>
      </w:r>
    </w:p>
    <w:p>
      <w:pPr>
        <w:spacing w:after="0" w:line="20" w:lineRule="exact"/>
        <w:rPr>
          <w:sz w:val="20"/>
          <w:szCs w:val="20"/>
          <w:color w:val="auto"/>
        </w:rPr>
      </w:pPr>
      <w:r>
        <w:rPr>
          <w:sz w:val="20"/>
          <w:szCs w:val="20"/>
          <w:color w:val="auto"/>
        </w:rPr>
        <w:br w:type="column"/>
      </w:r>
    </w:p>
    <w:p>
      <w:pPr>
        <w:ind w:right="359" w:hanging="146"/>
        <w:spacing w:after="0" w:line="25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A Company car and driver are provided when necessary for</w:t>
      </w:r>
      <w:r>
        <w:rPr>
          <w:rFonts w:ascii="Arial" w:cs="Arial" w:eastAsia="Arial" w:hAnsi="Arial"/>
          <w:sz w:val="16"/>
          <w:szCs w:val="16"/>
          <w:color w:val="F0533D"/>
        </w:rPr>
        <w:t xml:space="preserve"> </w:t>
      </w:r>
      <w:r>
        <w:rPr>
          <w:rFonts w:ascii="Arial" w:cs="Arial" w:eastAsia="Arial" w:hAnsi="Arial"/>
          <w:sz w:val="16"/>
          <w:szCs w:val="16"/>
          <w:color w:val="000000"/>
        </w:rPr>
        <w:t>security and/or productivity reasons. Messrs. Schroeter and Keinan (including if accompanied by families) are provided use of a Company car and driver. No other NEO is provided with a Company car or driver.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45720</wp:posOffset>
            </wp:positionV>
            <wp:extent cx="56235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53" w:lineRule="exact"/>
        <w:rPr>
          <w:sz w:val="20"/>
          <w:szCs w:val="20"/>
          <w:color w:val="auto"/>
        </w:rPr>
      </w:pPr>
    </w:p>
    <w:p>
      <w:pPr>
        <w:sectPr>
          <w:pgSz w:w="11900" w:h="16838" w:orient="portrait"/>
          <w:cols w:equalWidth="0" w:num="2">
            <w:col w:w="3920" w:space="460"/>
            <w:col w:w="4639"/>
          </w:cols>
          <w:pgMar w:left="1440" w:top="114" w:right="1440" w:bottom="1440" w:gutter="0" w:footer="0" w:header="0"/>
          <w:type w:val="continuous"/>
        </w:sectPr>
      </w:pPr>
    </w:p>
    <w:tbl>
      <w:tblPr>
        <w:tblLayout w:type="fixed"/>
        <w:tblInd w:w="80" w:type="dxa"/>
        <w:tblCellMar>
          <w:top w:w="0" w:type="dxa"/>
          <w:left w:w="0" w:type="dxa"/>
          <w:bottom w:w="0" w:type="dxa"/>
          <w:right w:w="0" w:type="dxa"/>
        </w:tblCellMar>
      </w:tblPr>
      <w:tr>
        <w:trPr>
          <w:trHeight w:val="203"/>
        </w:trPr>
        <w:tc>
          <w:tcPr>
            <w:tcW w:w="2840" w:type="dxa"/>
            <w:vAlign w:val="bottom"/>
          </w:tcPr>
          <w:p>
            <w:pPr>
              <w:ind w:left="160"/>
              <w:spacing w:after="0"/>
              <w:rPr>
                <w:sz w:val="20"/>
                <w:szCs w:val="20"/>
                <w:color w:val="auto"/>
              </w:rPr>
            </w:pPr>
            <w:r>
              <w:rPr>
                <w:rFonts w:ascii="Arial" w:cs="Arial" w:eastAsia="Arial" w:hAnsi="Arial"/>
                <w:sz w:val="16"/>
                <w:szCs w:val="16"/>
                <w:b w:val="1"/>
                <w:bCs w:val="1"/>
                <w:color w:val="auto"/>
              </w:rPr>
              <w:t>Personal Security</w:t>
            </w:r>
          </w:p>
        </w:tc>
        <w:tc>
          <w:tcPr>
            <w:tcW w:w="6020" w:type="dxa"/>
            <w:vAlign w:val="bottom"/>
          </w:tcPr>
          <w:p>
            <w:pPr>
              <w:ind w:left="132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We also provide certain personal security benefits with</w:t>
            </w:r>
          </w:p>
        </w:tc>
      </w:tr>
      <w:tr>
        <w:trPr>
          <w:trHeight w:val="189"/>
        </w:trPr>
        <w:tc>
          <w:tcPr>
            <w:tcW w:w="2840" w:type="dxa"/>
            <w:vAlign w:val="bottom"/>
          </w:tcPr>
          <w:p>
            <w:pPr>
              <w:spacing w:after="0"/>
              <w:rPr>
                <w:sz w:val="16"/>
                <w:szCs w:val="16"/>
                <w:color w:val="auto"/>
              </w:rPr>
            </w:pPr>
          </w:p>
        </w:tc>
        <w:tc>
          <w:tcPr>
            <w:tcW w:w="6020" w:type="dxa"/>
            <w:vAlign w:val="bottom"/>
          </w:tcPr>
          <w:p>
            <w:pPr>
              <w:ind w:left="1460"/>
              <w:spacing w:after="0"/>
              <w:rPr>
                <w:sz w:val="20"/>
                <w:szCs w:val="20"/>
                <w:color w:val="auto"/>
              </w:rPr>
            </w:pPr>
            <w:r>
              <w:rPr>
                <w:rFonts w:ascii="Arial" w:cs="Arial" w:eastAsia="Arial" w:hAnsi="Arial"/>
                <w:sz w:val="16"/>
                <w:szCs w:val="16"/>
                <w:color w:val="auto"/>
              </w:rPr>
              <w:t>respect to our executive officers’ residences and business or</w:t>
            </w:r>
          </w:p>
        </w:tc>
      </w:tr>
      <w:tr>
        <w:trPr>
          <w:trHeight w:val="189"/>
        </w:trPr>
        <w:tc>
          <w:tcPr>
            <w:tcW w:w="2840" w:type="dxa"/>
            <w:vAlign w:val="bottom"/>
          </w:tcPr>
          <w:p>
            <w:pPr>
              <w:spacing w:after="0"/>
              <w:rPr>
                <w:sz w:val="16"/>
                <w:szCs w:val="16"/>
                <w:color w:val="auto"/>
              </w:rPr>
            </w:pPr>
          </w:p>
        </w:tc>
        <w:tc>
          <w:tcPr>
            <w:tcW w:w="6020" w:type="dxa"/>
            <w:vAlign w:val="bottom"/>
          </w:tcPr>
          <w:p>
            <w:pPr>
              <w:ind w:left="1460"/>
              <w:spacing w:after="0"/>
              <w:rPr>
                <w:sz w:val="20"/>
                <w:szCs w:val="20"/>
                <w:color w:val="auto"/>
              </w:rPr>
            </w:pPr>
            <w:r>
              <w:rPr>
                <w:rFonts w:ascii="Arial" w:cs="Arial" w:eastAsia="Arial" w:hAnsi="Arial"/>
                <w:sz w:val="16"/>
                <w:szCs w:val="16"/>
                <w:color w:val="auto"/>
              </w:rPr>
              <w:t>personal travel as deemed necessary by the Company’s</w:t>
            </w:r>
          </w:p>
        </w:tc>
      </w:tr>
      <w:tr>
        <w:trPr>
          <w:trHeight w:val="189"/>
        </w:trPr>
        <w:tc>
          <w:tcPr>
            <w:tcW w:w="2840" w:type="dxa"/>
            <w:vAlign w:val="bottom"/>
          </w:tcPr>
          <w:p>
            <w:pPr>
              <w:spacing w:after="0"/>
              <w:rPr>
                <w:sz w:val="16"/>
                <w:szCs w:val="16"/>
                <w:color w:val="auto"/>
              </w:rPr>
            </w:pPr>
          </w:p>
        </w:tc>
        <w:tc>
          <w:tcPr>
            <w:tcW w:w="6020" w:type="dxa"/>
            <w:vAlign w:val="bottom"/>
          </w:tcPr>
          <w:p>
            <w:pPr>
              <w:ind w:left="1460"/>
              <w:spacing w:after="0"/>
              <w:rPr>
                <w:sz w:val="20"/>
                <w:szCs w:val="20"/>
                <w:color w:val="auto"/>
              </w:rPr>
            </w:pPr>
            <w:r>
              <w:rPr>
                <w:rFonts w:ascii="Arial" w:cs="Arial" w:eastAsia="Arial" w:hAnsi="Arial"/>
                <w:sz w:val="16"/>
                <w:szCs w:val="16"/>
                <w:color w:val="auto"/>
              </w:rPr>
              <w:t>security team and/or an outside security firm to enhance the</w:t>
            </w:r>
          </w:p>
        </w:tc>
      </w:tr>
      <w:tr>
        <w:trPr>
          <w:trHeight w:val="203"/>
        </w:trPr>
        <w:tc>
          <w:tcPr>
            <w:tcW w:w="2840" w:type="dxa"/>
            <w:vAlign w:val="bottom"/>
            <w:tcBorders>
              <w:bottom w:val="single" w:sz="8" w:color="F0533D"/>
            </w:tcBorders>
          </w:tcPr>
          <w:p>
            <w:pPr>
              <w:spacing w:after="0"/>
              <w:rPr>
                <w:sz w:val="17"/>
                <w:szCs w:val="17"/>
                <w:color w:val="auto"/>
              </w:rPr>
            </w:pPr>
          </w:p>
        </w:tc>
        <w:tc>
          <w:tcPr>
            <w:tcW w:w="6020" w:type="dxa"/>
            <w:vAlign w:val="bottom"/>
            <w:tcBorders>
              <w:bottom w:val="single" w:sz="8" w:color="F0533D"/>
            </w:tcBorders>
          </w:tcPr>
          <w:p>
            <w:pPr>
              <w:ind w:left="1460"/>
              <w:spacing w:after="0"/>
              <w:rPr>
                <w:sz w:val="20"/>
                <w:szCs w:val="20"/>
                <w:color w:val="auto"/>
              </w:rPr>
            </w:pPr>
            <w:r>
              <w:rPr>
                <w:rFonts w:ascii="Arial" w:cs="Arial" w:eastAsia="Arial" w:hAnsi="Arial"/>
                <w:sz w:val="16"/>
                <w:szCs w:val="16"/>
                <w:color w:val="auto"/>
              </w:rPr>
              <w:t>safety and welfare of the Company’s most critical executives.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-616585</wp:posOffset>
            </wp:positionV>
            <wp:extent cx="137160" cy="13716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-616585</wp:posOffset>
            </wp:positionV>
            <wp:extent cx="137160" cy="13716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20" w:lineRule="exact"/>
        <w:rPr>
          <w:sz w:val="20"/>
          <w:szCs w:val="20"/>
          <w:color w:val="auto"/>
        </w:rPr>
      </w:pPr>
    </w:p>
    <w:p>
      <w:pPr>
        <w:jc w:val="both"/>
        <w:ind w:left="80" w:right="319"/>
        <w:spacing w:after="0" w:line="249" w:lineRule="auto"/>
        <w:rPr>
          <w:sz w:val="20"/>
          <w:szCs w:val="20"/>
          <w:color w:val="auto"/>
        </w:rPr>
      </w:pPr>
      <w:r>
        <w:rPr>
          <w:rFonts w:ascii="Arial" w:cs="Arial" w:eastAsia="Arial" w:hAnsi="Arial"/>
          <w:sz w:val="17"/>
          <w:szCs w:val="17"/>
          <w:color w:val="auto"/>
        </w:rPr>
        <w:t>It is our policy not to provide tax gross-ups for the perquisites we provide to our NEOs. The incremental cost to the Company to provide these limited perquisites is included in the “All Other Compensation” column of the Summary Compensation Table.</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62" w:name="page63"/>
    <w:bookmarkEnd w:id="6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Other Benefits</w:t>
      </w:r>
    </w:p>
    <w:p>
      <w:pPr>
        <w:spacing w:after="0" w:line="154" w:lineRule="exact"/>
        <w:rPr>
          <w:sz w:val="20"/>
          <w:szCs w:val="20"/>
          <w:color w:val="auto"/>
        </w:rPr>
      </w:pPr>
    </w:p>
    <w:p>
      <w:pPr>
        <w:ind w:left="80" w:right="259"/>
        <w:spacing w:after="0" w:line="249" w:lineRule="auto"/>
        <w:rPr>
          <w:sz w:val="20"/>
          <w:szCs w:val="20"/>
          <w:color w:val="auto"/>
        </w:rPr>
      </w:pPr>
      <w:r>
        <w:rPr>
          <w:rFonts w:ascii="Arial" w:cs="Arial" w:eastAsia="Arial" w:hAnsi="Arial"/>
          <w:sz w:val="17"/>
          <w:szCs w:val="17"/>
          <w:color w:val="auto"/>
        </w:rPr>
        <w:t>Our executives, including our NEOs, are eligible to participate in the following broad-based employee benefit plans, which are generally available to all U.S. employees and in which the NEOs participate on the same basis as such other employees:</w:t>
      </w:r>
    </w:p>
    <w:p>
      <w:pPr>
        <w:spacing w:after="0" w:line="67" w:lineRule="exact"/>
        <w:rPr>
          <w:sz w:val="20"/>
          <w:szCs w:val="20"/>
          <w:color w:val="auto"/>
        </w:rPr>
      </w:pPr>
    </w:p>
    <w:p>
      <w:pPr>
        <w:ind w:left="900" w:hanging="356"/>
        <w:spacing w:after="0"/>
        <w:tabs>
          <w:tab w:leader="none" w:pos="900" w:val="left"/>
        </w:tabs>
        <w:numPr>
          <w:ilvl w:val="0"/>
          <w:numId w:val="76"/>
        </w:numPr>
        <w:rPr>
          <w:rFonts w:ascii="Arial" w:cs="Arial" w:eastAsia="Arial" w:hAnsi="Arial"/>
          <w:sz w:val="17"/>
          <w:szCs w:val="17"/>
          <w:color w:val="F0533D"/>
        </w:rPr>
      </w:pPr>
      <w:r>
        <w:rPr>
          <w:rFonts w:ascii="Arial" w:cs="Arial" w:eastAsia="Arial" w:hAnsi="Arial"/>
          <w:sz w:val="17"/>
          <w:szCs w:val="17"/>
          <w:color w:val="auto"/>
        </w:rPr>
        <w:t>Group medical insurance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6"/>
        </w:numPr>
        <w:rPr>
          <w:rFonts w:ascii="Arial" w:cs="Arial" w:eastAsia="Arial" w:hAnsi="Arial"/>
          <w:sz w:val="17"/>
          <w:szCs w:val="17"/>
          <w:color w:val="F0533D"/>
        </w:rPr>
      </w:pPr>
      <w:r>
        <w:rPr>
          <w:rFonts w:ascii="Arial" w:cs="Arial" w:eastAsia="Arial" w:hAnsi="Arial"/>
          <w:sz w:val="17"/>
          <w:szCs w:val="17"/>
          <w:color w:val="auto"/>
        </w:rPr>
        <w:t>Group dental insurance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6"/>
        </w:numPr>
        <w:rPr>
          <w:rFonts w:ascii="Arial" w:cs="Arial" w:eastAsia="Arial" w:hAnsi="Arial"/>
          <w:sz w:val="17"/>
          <w:szCs w:val="17"/>
          <w:color w:val="F0533D"/>
        </w:rPr>
      </w:pPr>
      <w:r>
        <w:rPr>
          <w:rFonts w:ascii="Arial" w:cs="Arial" w:eastAsia="Arial" w:hAnsi="Arial"/>
          <w:sz w:val="17"/>
          <w:szCs w:val="17"/>
          <w:color w:val="auto"/>
        </w:rPr>
        <w:t>Group vision insurance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6"/>
        </w:numPr>
        <w:rPr>
          <w:rFonts w:ascii="Arial" w:cs="Arial" w:eastAsia="Arial" w:hAnsi="Arial"/>
          <w:sz w:val="17"/>
          <w:szCs w:val="17"/>
          <w:color w:val="F0533D"/>
        </w:rPr>
      </w:pPr>
      <w:r>
        <w:rPr>
          <w:rFonts w:ascii="Arial" w:cs="Arial" w:eastAsia="Arial" w:hAnsi="Arial"/>
          <w:sz w:val="17"/>
          <w:szCs w:val="17"/>
          <w:color w:val="auto"/>
        </w:rPr>
        <w:t>Flexible spending accounts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6"/>
        </w:numPr>
        <w:rPr>
          <w:rFonts w:ascii="Arial" w:cs="Arial" w:eastAsia="Arial" w:hAnsi="Arial"/>
          <w:sz w:val="17"/>
          <w:szCs w:val="17"/>
          <w:color w:val="F0533D"/>
        </w:rPr>
      </w:pPr>
      <w:r>
        <w:rPr>
          <w:rFonts w:ascii="Arial" w:cs="Arial" w:eastAsia="Arial" w:hAnsi="Arial"/>
          <w:sz w:val="17"/>
          <w:szCs w:val="17"/>
          <w:color w:val="auto"/>
        </w:rPr>
        <w:t>Group AD&amp;D insurance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6"/>
        </w:numPr>
        <w:rPr>
          <w:rFonts w:ascii="Arial" w:cs="Arial" w:eastAsia="Arial" w:hAnsi="Arial"/>
          <w:sz w:val="17"/>
          <w:szCs w:val="17"/>
          <w:color w:val="F0533D"/>
        </w:rPr>
      </w:pPr>
      <w:r>
        <w:rPr>
          <w:rFonts w:ascii="Arial" w:cs="Arial" w:eastAsia="Arial" w:hAnsi="Arial"/>
          <w:sz w:val="17"/>
          <w:szCs w:val="17"/>
          <w:color w:val="auto"/>
        </w:rPr>
        <w:t>Group life insurance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6"/>
        </w:numPr>
        <w:rPr>
          <w:rFonts w:ascii="Arial" w:cs="Arial" w:eastAsia="Arial" w:hAnsi="Arial"/>
          <w:sz w:val="17"/>
          <w:szCs w:val="17"/>
          <w:color w:val="F0533D"/>
        </w:rPr>
      </w:pPr>
      <w:r>
        <w:rPr>
          <w:rFonts w:ascii="Arial" w:cs="Arial" w:eastAsia="Arial" w:hAnsi="Arial"/>
          <w:sz w:val="17"/>
          <w:szCs w:val="17"/>
          <w:color w:val="auto"/>
        </w:rPr>
        <w:t>Kyndryl 401(k) Plan</w:t>
      </w:r>
    </w:p>
    <w:p>
      <w:pPr>
        <w:spacing w:after="0" w:line="226"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Excess Plan</w:t>
      </w:r>
    </w:p>
    <w:p>
      <w:pPr>
        <w:spacing w:after="0" w:line="154" w:lineRule="exact"/>
        <w:rPr>
          <w:sz w:val="20"/>
          <w:szCs w:val="20"/>
          <w:color w:val="auto"/>
        </w:rPr>
      </w:pPr>
    </w:p>
    <w:p>
      <w:pPr>
        <w:ind w:left="80" w:right="99"/>
        <w:spacing w:after="0" w:line="235" w:lineRule="auto"/>
        <w:rPr>
          <w:sz w:val="20"/>
          <w:szCs w:val="20"/>
          <w:color w:val="auto"/>
        </w:rPr>
      </w:pPr>
      <w:r>
        <w:rPr>
          <w:rFonts w:ascii="Arial" w:cs="Arial" w:eastAsia="Arial" w:hAnsi="Arial"/>
          <w:sz w:val="17"/>
          <w:szCs w:val="17"/>
          <w:color w:val="auto"/>
        </w:rPr>
        <w:t>In addition, we maintain the Kyndryl Excess Plan (“Kyndryl Excess Plan”), a nonqualified deferred compensation plan that offers eligible employees, including the NEOs, an opportunity to defer up to 80% of their eligible compensation (including base and performance pay, but not any non-recurring compensation) in excess of the limits imposed by the Code under the Kyndryl 401(k) Plan. For eligible employees that transferred from IBM, including Messrs. Schroeter, Keinan, Ringes, Sebold and Khurana and Ms. Charbonnier, we make, or have made, an annual automatic contribution to the Kyndryl Excess Plan currently equal to 6% of their eligible pay in excess of the limits under the Code, but will not make any contributions to the Kyndryl Excess Plan for new hires. Distributions are made following death (in a lump sum) or following a separation from service (in a lump sum or installments, based on the employee’s distribution election), subject to certain exceptions for compliance with Section 409A of the Code. For additional information about the Kyndryl Excess Plan, as well as IBM’s excess plan (in which Messrs. Schroeter, Keinan and Sebold maintain balances distributable following death or a separation from service to Kyndryl), see “Nonqualified Deferred Compensation for Fiscal 2026.”</w:t>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3" w:name="page64"/>
    <w:bookmarkEnd w:id="6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IV.     ADDITIONAL COMPENSATION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218440</wp:posOffset>
            </wp:positionV>
            <wp:extent cx="213995" cy="342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3995" cy="34290"/>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365"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Equity Grant Practices</w:t>
      </w:r>
    </w:p>
    <w:p>
      <w:pPr>
        <w:spacing w:after="0" w:line="156" w:lineRule="exact"/>
        <w:rPr>
          <w:sz w:val="20"/>
          <w:szCs w:val="20"/>
          <w:color w:val="auto"/>
        </w:rPr>
      </w:pPr>
    </w:p>
    <w:p>
      <w:pPr>
        <w:ind w:left="80" w:right="99"/>
        <w:spacing w:after="0" w:line="239" w:lineRule="auto"/>
        <w:rPr>
          <w:sz w:val="20"/>
          <w:szCs w:val="20"/>
          <w:color w:val="auto"/>
        </w:rPr>
      </w:pPr>
      <w:r>
        <w:rPr>
          <w:rFonts w:ascii="Arial" w:cs="Arial" w:eastAsia="Arial" w:hAnsi="Arial"/>
          <w:sz w:val="17"/>
          <w:szCs w:val="17"/>
          <w:color w:val="auto"/>
        </w:rPr>
        <w:t>Beginning with fiscal 2025, our CHC Committee scheduled annual long-term incentive grants for the first trading day in June, after the public release of prior-year results and current-year outlook. The CHC Committee selected this timing to align with market practice and to avoid grant timing around the disclosure of material non-public information. Additionally, we typically grant equity awards to new hires or employees receiving promotions upon the first regularly scheduled quarterly grant date following the commencement of such employment or promotion. The predetermined quarterly grant dates are the first trading day in March, June, September and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180975</wp:posOffset>
            </wp:positionV>
            <wp:extent cx="213995"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20"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No Long-Term Employment Agreements</w:t>
      </w:r>
    </w:p>
    <w:p>
      <w:pPr>
        <w:spacing w:after="0" w:line="156" w:lineRule="exact"/>
        <w:rPr>
          <w:sz w:val="20"/>
          <w:szCs w:val="20"/>
          <w:color w:val="auto"/>
        </w:rPr>
      </w:pPr>
    </w:p>
    <w:p>
      <w:pPr>
        <w:ind w:left="80" w:right="139"/>
        <w:spacing w:after="0" w:line="244" w:lineRule="auto"/>
        <w:rPr>
          <w:sz w:val="20"/>
          <w:szCs w:val="20"/>
          <w:color w:val="auto"/>
        </w:rPr>
      </w:pPr>
      <w:r>
        <w:rPr>
          <w:rFonts w:ascii="Arial" w:cs="Arial" w:eastAsia="Arial" w:hAnsi="Arial"/>
          <w:sz w:val="17"/>
          <w:szCs w:val="17"/>
          <w:color w:val="auto"/>
        </w:rPr>
        <w:t>We generally do not enter into employment agreements with our executives. In connection with the Spin-off, we assumed the offer letters each of Messrs. Schroeter, Wyshner and Keinan and Ms. Charbonnier had with IBM, which set forth their initial compensation terms, but did not contain ongoing obligations such as guaranteed salary or bonus levels, guaranteed equity compensation levels or severance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177800</wp:posOffset>
            </wp:positionV>
            <wp:extent cx="213995" cy="342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01"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Non-competition and Non-solicitation Agreements</w:t>
      </w:r>
    </w:p>
    <w:p>
      <w:pPr>
        <w:spacing w:after="0" w:line="156" w:lineRule="exact"/>
        <w:rPr>
          <w:sz w:val="20"/>
          <w:szCs w:val="20"/>
          <w:color w:val="auto"/>
        </w:rPr>
      </w:pPr>
    </w:p>
    <w:p>
      <w:pPr>
        <w:ind w:left="80" w:right="199"/>
        <w:spacing w:after="0" w:line="238" w:lineRule="auto"/>
        <w:rPr>
          <w:sz w:val="20"/>
          <w:szCs w:val="20"/>
          <w:color w:val="auto"/>
        </w:rPr>
      </w:pPr>
      <w:r>
        <w:rPr>
          <w:rFonts w:ascii="Arial" w:cs="Arial" w:eastAsia="Arial" w:hAnsi="Arial"/>
          <w:sz w:val="17"/>
          <w:szCs w:val="17"/>
          <w:color w:val="auto"/>
        </w:rPr>
        <w:t>Certain of our executives, including the NEOs, have signed non-competition and non-solicitation agreements. The agreements generally contain a non-competition covenant that applies during the executive’s employment and for 12 months following termination of employment (except in the case where the executive qualifies for continued RSU vesting under the Severance Plan in which case the restrictions extend for 24 months following termination of employment) and a non-solicitation covenant that applies during the executive’s employment and for 12 months following termination of employment (or two years following termination of employment in the event of retirement under the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180975</wp:posOffset>
            </wp:positionV>
            <wp:extent cx="213995" cy="342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06"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Stock Ownership Guidelines</w:t>
      </w:r>
    </w:p>
    <w:p>
      <w:pPr>
        <w:spacing w:after="0" w:line="156" w:lineRule="exact"/>
        <w:rPr>
          <w:sz w:val="20"/>
          <w:szCs w:val="20"/>
          <w:color w:val="auto"/>
        </w:rPr>
      </w:pPr>
    </w:p>
    <w:p>
      <w:pPr>
        <w:ind w:left="80" w:right="399"/>
        <w:spacing w:after="0" w:line="241" w:lineRule="auto"/>
        <w:rPr>
          <w:sz w:val="20"/>
          <w:szCs w:val="20"/>
          <w:color w:val="auto"/>
        </w:rPr>
      </w:pPr>
      <w:r>
        <w:rPr>
          <w:rFonts w:ascii="Arial" w:cs="Arial" w:eastAsia="Arial" w:hAnsi="Arial"/>
          <w:sz w:val="17"/>
          <w:szCs w:val="17"/>
          <w:color w:val="auto"/>
        </w:rPr>
        <w:t>To further align management and stockholder interests and discourage inappropriate or excessive risk-taking, our stock ownership guidelines require each NEO, certain other executives and non-employee directors to build and maintain a substantial equity stake in our common stock. Covered persons generally have five years from first becoming subject to the guidelines to achieve the applicable ownership level. The required multiples are set forth below.</w:t>
      </w:r>
    </w:p>
    <w:p>
      <w:pPr>
        <w:spacing w:after="0" w:line="3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40" w:type="dxa"/>
            <w:vAlign w:val="bottom"/>
          </w:tcPr>
          <w:p>
            <w:pPr>
              <w:ind w:left="240"/>
              <w:spacing w:after="0"/>
              <w:rPr>
                <w:sz w:val="20"/>
                <w:szCs w:val="20"/>
                <w:color w:val="auto"/>
              </w:rPr>
            </w:pPr>
            <w:r>
              <w:rPr>
                <w:rFonts w:ascii="Arial" w:cs="Arial" w:eastAsia="Arial" w:hAnsi="Arial"/>
                <w:sz w:val="14"/>
                <w:szCs w:val="14"/>
                <w:b w:val="1"/>
                <w:bCs w:val="1"/>
                <w:color w:val="F0533D"/>
              </w:rPr>
              <w:t>Compliance</w:t>
            </w:r>
          </w:p>
        </w:tc>
        <w:tc>
          <w:tcPr>
            <w:tcW w:w="0" w:type="dxa"/>
            <w:vAlign w:val="bottom"/>
          </w:tcPr>
          <w:p>
            <w:pPr>
              <w:spacing w:after="0"/>
              <w:rPr>
                <w:sz w:val="1"/>
                <w:szCs w:val="1"/>
                <w:color w:val="auto"/>
              </w:rPr>
            </w:pPr>
          </w:p>
        </w:tc>
      </w:tr>
      <w:tr>
        <w:trPr>
          <w:trHeight w:val="196"/>
        </w:trPr>
        <w:tc>
          <w:tcPr>
            <w:tcW w:w="3560" w:type="dxa"/>
            <w:vAlign w:val="bottom"/>
          </w:tcPr>
          <w:p>
            <w:pPr>
              <w:ind w:left="160"/>
              <w:spacing w:after="0"/>
              <w:rPr>
                <w:sz w:val="20"/>
                <w:szCs w:val="20"/>
                <w:color w:val="auto"/>
              </w:rPr>
            </w:pPr>
            <w:r>
              <w:rPr>
                <w:rFonts w:ascii="Arial" w:cs="Arial" w:eastAsia="Arial" w:hAnsi="Arial"/>
                <w:sz w:val="14"/>
                <w:szCs w:val="14"/>
                <w:b w:val="1"/>
                <w:bCs w:val="1"/>
                <w:color w:val="F0533D"/>
              </w:rPr>
              <w:t>Position</w:t>
            </w:r>
          </w:p>
        </w:tc>
        <w:tc>
          <w:tcPr>
            <w:tcW w:w="3860" w:type="dxa"/>
            <w:vAlign w:val="bottom"/>
          </w:tcPr>
          <w:p>
            <w:pPr>
              <w:ind w:left="280"/>
              <w:spacing w:after="0"/>
              <w:rPr>
                <w:sz w:val="20"/>
                <w:szCs w:val="20"/>
                <w:color w:val="auto"/>
              </w:rPr>
            </w:pPr>
            <w:r>
              <w:rPr>
                <w:rFonts w:ascii="Arial" w:cs="Arial" w:eastAsia="Arial" w:hAnsi="Arial"/>
                <w:sz w:val="14"/>
                <w:szCs w:val="14"/>
                <w:b w:val="1"/>
                <w:bCs w:val="1"/>
                <w:color w:val="F0533D"/>
              </w:rPr>
              <w:t>Stock Ownership Requirement</w:t>
            </w:r>
          </w:p>
        </w:tc>
        <w:tc>
          <w:tcPr>
            <w:tcW w:w="1440" w:type="dxa"/>
            <w:vAlign w:val="bottom"/>
          </w:tcPr>
          <w:p>
            <w:pPr>
              <w:ind w:left="240"/>
              <w:spacing w:after="0"/>
              <w:rPr>
                <w:sz w:val="20"/>
                <w:szCs w:val="20"/>
                <w:color w:val="auto"/>
              </w:rPr>
            </w:pPr>
            <w:r>
              <w:rPr>
                <w:rFonts w:ascii="Arial" w:cs="Arial" w:eastAsia="Arial" w:hAnsi="Arial"/>
                <w:sz w:val="14"/>
                <w:szCs w:val="14"/>
                <w:b w:val="1"/>
                <w:bCs w:val="1"/>
                <w:color w:val="F0533D"/>
              </w:rPr>
              <w:t>Period</w:t>
            </w:r>
          </w:p>
        </w:tc>
        <w:tc>
          <w:tcPr>
            <w:tcW w:w="0" w:type="dxa"/>
            <w:vAlign w:val="bottom"/>
          </w:tcPr>
          <w:p>
            <w:pPr>
              <w:spacing w:after="0"/>
              <w:rPr>
                <w:sz w:val="1"/>
                <w:szCs w:val="1"/>
                <w:color w:val="auto"/>
              </w:rPr>
            </w:pPr>
          </w:p>
        </w:tc>
      </w:tr>
      <w:tr>
        <w:trPr>
          <w:trHeight w:val="29"/>
        </w:trPr>
        <w:tc>
          <w:tcPr>
            <w:tcW w:w="3560" w:type="dxa"/>
            <w:vAlign w:val="bottom"/>
            <w:tcBorders>
              <w:bottom w:val="single" w:sz="8" w:color="F0533D"/>
            </w:tcBorders>
          </w:tcPr>
          <w:p>
            <w:pPr>
              <w:spacing w:after="0"/>
              <w:rPr>
                <w:sz w:val="2"/>
                <w:szCs w:val="2"/>
                <w:color w:val="auto"/>
              </w:rPr>
            </w:pPr>
          </w:p>
        </w:tc>
        <w:tc>
          <w:tcPr>
            <w:tcW w:w="3860" w:type="dxa"/>
            <w:vAlign w:val="bottom"/>
            <w:tcBorders>
              <w:bottom w:val="single" w:sz="8" w:color="F0533D"/>
            </w:tcBorders>
          </w:tcPr>
          <w:p>
            <w:pPr>
              <w:spacing w:after="0"/>
              <w:rPr>
                <w:sz w:val="2"/>
                <w:szCs w:val="2"/>
                <w:color w:val="auto"/>
              </w:rPr>
            </w:pPr>
          </w:p>
        </w:tc>
        <w:tc>
          <w:tcPr>
            <w:tcW w:w="1440" w:type="dxa"/>
            <w:vAlign w:val="bottom"/>
            <w:tcBorders>
              <w:bottom w:val="single" w:sz="8" w:color="F0533D"/>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CEO</w:t>
            </w:r>
          </w:p>
        </w:tc>
        <w:tc>
          <w:tcPr>
            <w:tcW w:w="3860" w:type="dxa"/>
            <w:vAlign w:val="bottom"/>
            <w:tcBorders>
              <w:bottom w:val="single" w:sz="8" w:color="BCBEC0"/>
            </w:tcBorders>
          </w:tcPr>
          <w:p>
            <w:pPr>
              <w:ind w:left="280"/>
              <w:spacing w:after="0"/>
              <w:rPr>
                <w:sz w:val="20"/>
                <w:szCs w:val="20"/>
                <w:color w:val="auto"/>
              </w:rPr>
            </w:pPr>
            <w:r>
              <w:rPr>
                <w:rFonts w:ascii="Arial" w:cs="Arial" w:eastAsia="Arial" w:hAnsi="Arial"/>
                <w:sz w:val="16"/>
                <w:szCs w:val="16"/>
                <w:b w:val="1"/>
                <w:bCs w:val="1"/>
                <w:color w:val="auto"/>
              </w:rPr>
              <w:t xml:space="preserve">6 times </w:t>
            </w:r>
            <w:r>
              <w:rPr>
                <w:rFonts w:ascii="Arial" w:cs="Arial" w:eastAsia="Arial" w:hAnsi="Arial"/>
                <w:sz w:val="16"/>
                <w:szCs w:val="16"/>
                <w:color w:val="auto"/>
              </w:rPr>
              <w:t>base salary</w:t>
            </w:r>
          </w:p>
        </w:tc>
        <w:tc>
          <w:tcPr>
            <w:tcW w:w="1440" w:type="dxa"/>
            <w:vAlign w:val="bottom"/>
            <w:tcBorders>
              <w:bottom w:val="single" w:sz="8" w:color="F1F2F2"/>
            </w:tcBorders>
            <w:shd w:val="clear" w:color="auto" w:fill="F1F2F2"/>
          </w:tcPr>
          <w:p>
            <w:pPr>
              <w:ind w:left="240"/>
              <w:spacing w:after="0"/>
              <w:rPr>
                <w:sz w:val="20"/>
                <w:szCs w:val="20"/>
                <w:color w:val="auto"/>
              </w:rPr>
            </w:pPr>
            <w:r>
              <w:rPr>
                <w:rFonts w:ascii="Arial" w:cs="Arial" w:eastAsia="Arial" w:hAnsi="Arial"/>
                <w:sz w:val="16"/>
                <w:szCs w:val="16"/>
                <w:color w:val="auto"/>
              </w:rPr>
              <w:t>Within 5 years</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NEOs (other than CEO)</w:t>
            </w:r>
          </w:p>
        </w:tc>
        <w:tc>
          <w:tcPr>
            <w:tcW w:w="3860" w:type="dxa"/>
            <w:vAlign w:val="bottom"/>
            <w:tcBorders>
              <w:bottom w:val="single" w:sz="8" w:color="BCBEC0"/>
            </w:tcBorders>
          </w:tcPr>
          <w:p>
            <w:pPr>
              <w:ind w:left="280"/>
              <w:spacing w:after="0"/>
              <w:rPr>
                <w:sz w:val="20"/>
                <w:szCs w:val="20"/>
                <w:color w:val="auto"/>
              </w:rPr>
            </w:pPr>
            <w:r>
              <w:rPr>
                <w:rFonts w:ascii="Arial" w:cs="Arial" w:eastAsia="Arial" w:hAnsi="Arial"/>
                <w:sz w:val="16"/>
                <w:szCs w:val="16"/>
                <w:b w:val="1"/>
                <w:bCs w:val="1"/>
                <w:color w:val="auto"/>
              </w:rPr>
              <w:t xml:space="preserve">3 times </w:t>
            </w:r>
            <w:r>
              <w:rPr>
                <w:rFonts w:ascii="Arial" w:cs="Arial" w:eastAsia="Arial" w:hAnsi="Arial"/>
                <w:sz w:val="16"/>
                <w:szCs w:val="16"/>
                <w:color w:val="auto"/>
              </w:rPr>
              <w:t>base salary</w:t>
            </w:r>
          </w:p>
        </w:tc>
        <w:tc>
          <w:tcPr>
            <w:tcW w:w="1440" w:type="dxa"/>
            <w:vAlign w:val="bottom"/>
            <w:tcBorders>
              <w:bottom w:val="single" w:sz="8" w:color="F1F2F2"/>
            </w:tcBorders>
            <w:shd w:val="clear" w:color="auto" w:fill="F1F2F2"/>
          </w:tcPr>
          <w:p>
            <w:pPr>
              <w:ind w:left="240"/>
              <w:spacing w:after="0"/>
              <w:rPr>
                <w:sz w:val="20"/>
                <w:szCs w:val="20"/>
                <w:color w:val="auto"/>
              </w:rPr>
            </w:pPr>
            <w:r>
              <w:rPr>
                <w:rFonts w:ascii="Arial" w:cs="Arial" w:eastAsia="Arial" w:hAnsi="Arial"/>
                <w:sz w:val="16"/>
                <w:szCs w:val="16"/>
                <w:color w:val="auto"/>
              </w:rPr>
              <w:t>of first</w:t>
            </w:r>
          </w:p>
        </w:tc>
        <w:tc>
          <w:tcPr>
            <w:tcW w:w="0" w:type="dxa"/>
            <w:vAlign w:val="bottom"/>
          </w:tcPr>
          <w:p>
            <w:pPr>
              <w:spacing w:after="0"/>
              <w:rPr>
                <w:sz w:val="1"/>
                <w:szCs w:val="1"/>
                <w:color w:val="auto"/>
              </w:rPr>
            </w:pPr>
          </w:p>
        </w:tc>
      </w:tr>
      <w:tr>
        <w:trPr>
          <w:trHeight w:val="155"/>
        </w:trPr>
        <w:tc>
          <w:tcPr>
            <w:tcW w:w="3560" w:type="dxa"/>
            <w:vAlign w:val="bottom"/>
          </w:tcPr>
          <w:p>
            <w:pPr>
              <w:ind w:left="160"/>
              <w:spacing w:after="0" w:line="155" w:lineRule="exact"/>
              <w:rPr>
                <w:sz w:val="20"/>
                <w:szCs w:val="20"/>
                <w:color w:val="auto"/>
              </w:rPr>
            </w:pPr>
            <w:r>
              <w:rPr>
                <w:rFonts w:ascii="Arial" w:cs="Arial" w:eastAsia="Arial" w:hAnsi="Arial"/>
                <w:sz w:val="16"/>
                <w:szCs w:val="16"/>
                <w:color w:val="auto"/>
              </w:rPr>
              <w:t>Next layers of management, generally</w:t>
            </w:r>
          </w:p>
        </w:tc>
        <w:tc>
          <w:tcPr>
            <w:tcW w:w="3860" w:type="dxa"/>
            <w:vAlign w:val="bottom"/>
          </w:tcPr>
          <w:p>
            <w:pPr>
              <w:ind w:left="280"/>
              <w:spacing w:after="0" w:line="155" w:lineRule="exact"/>
              <w:rPr>
                <w:sz w:val="20"/>
                <w:szCs w:val="20"/>
                <w:color w:val="auto"/>
              </w:rPr>
            </w:pPr>
            <w:r>
              <w:rPr>
                <w:rFonts w:ascii="Arial" w:cs="Arial" w:eastAsia="Arial" w:hAnsi="Arial"/>
                <w:sz w:val="16"/>
                <w:szCs w:val="16"/>
                <w:b w:val="1"/>
                <w:bCs w:val="1"/>
                <w:color w:val="auto"/>
              </w:rPr>
              <w:t xml:space="preserve">1 or 2 times </w:t>
            </w:r>
            <w:r>
              <w:rPr>
                <w:rFonts w:ascii="Arial" w:cs="Arial" w:eastAsia="Arial" w:hAnsi="Arial"/>
                <w:sz w:val="16"/>
                <w:szCs w:val="16"/>
                <w:color w:val="auto"/>
              </w:rPr>
              <w:t>base salary,</w:t>
            </w:r>
          </w:p>
        </w:tc>
        <w:tc>
          <w:tcPr>
            <w:tcW w:w="1440" w:type="dxa"/>
            <w:vAlign w:val="bottom"/>
            <w:shd w:val="clear" w:color="auto" w:fill="F1F2F2"/>
          </w:tcPr>
          <w:p>
            <w:pPr>
              <w:ind w:left="240"/>
              <w:spacing w:after="0" w:line="155" w:lineRule="exact"/>
              <w:rPr>
                <w:sz w:val="20"/>
                <w:szCs w:val="20"/>
                <w:color w:val="auto"/>
              </w:rPr>
            </w:pPr>
            <w:r>
              <w:rPr>
                <w:rFonts w:ascii="Arial" w:cs="Arial" w:eastAsia="Arial" w:hAnsi="Arial"/>
                <w:sz w:val="16"/>
                <w:szCs w:val="16"/>
                <w:color w:val="auto"/>
              </w:rPr>
              <w:t>becoming</w:t>
            </w:r>
          </w:p>
        </w:tc>
        <w:tc>
          <w:tcPr>
            <w:tcW w:w="0" w:type="dxa"/>
            <w:vAlign w:val="bottom"/>
          </w:tcPr>
          <w:p>
            <w:pPr>
              <w:spacing w:after="0"/>
              <w:rPr>
                <w:sz w:val="1"/>
                <w:szCs w:val="1"/>
                <w:color w:val="auto"/>
              </w:rPr>
            </w:pPr>
          </w:p>
        </w:tc>
      </w:tr>
      <w:tr>
        <w:trPr>
          <w:trHeight w:val="189"/>
        </w:trPr>
        <w:tc>
          <w:tcPr>
            <w:tcW w:w="3560" w:type="dxa"/>
            <w:vAlign w:val="bottom"/>
          </w:tcPr>
          <w:p>
            <w:pPr>
              <w:ind w:left="160"/>
              <w:spacing w:after="0"/>
              <w:rPr>
                <w:sz w:val="20"/>
                <w:szCs w:val="20"/>
                <w:color w:val="auto"/>
              </w:rPr>
            </w:pPr>
            <w:r>
              <w:rPr>
                <w:rFonts w:ascii="Arial" w:cs="Arial" w:eastAsia="Arial" w:hAnsi="Arial"/>
                <w:sz w:val="16"/>
                <w:szCs w:val="16"/>
                <w:color w:val="auto"/>
              </w:rPr>
              <w:t>encompassing our top non-NEO executives</w:t>
            </w:r>
          </w:p>
        </w:tc>
        <w:tc>
          <w:tcPr>
            <w:tcW w:w="3860" w:type="dxa"/>
            <w:vAlign w:val="bottom"/>
          </w:tcPr>
          <w:p>
            <w:pPr>
              <w:ind w:left="280"/>
              <w:spacing w:after="0"/>
              <w:rPr>
                <w:sz w:val="20"/>
                <w:szCs w:val="20"/>
                <w:color w:val="auto"/>
              </w:rPr>
            </w:pPr>
            <w:r>
              <w:rPr>
                <w:rFonts w:ascii="Arial" w:cs="Arial" w:eastAsia="Arial" w:hAnsi="Arial"/>
                <w:sz w:val="16"/>
                <w:szCs w:val="16"/>
                <w:color w:val="auto"/>
              </w:rPr>
              <w:t>depending on level within organization</w:t>
            </w:r>
          </w:p>
        </w:tc>
        <w:tc>
          <w:tcPr>
            <w:tcW w:w="1440" w:type="dxa"/>
            <w:vAlign w:val="bottom"/>
            <w:shd w:val="clear" w:color="auto" w:fill="F1F2F2"/>
          </w:tcPr>
          <w:p>
            <w:pPr>
              <w:ind w:left="240"/>
              <w:spacing w:after="0"/>
              <w:rPr>
                <w:sz w:val="20"/>
                <w:szCs w:val="20"/>
                <w:color w:val="auto"/>
              </w:rPr>
            </w:pPr>
            <w:r>
              <w:rPr>
                <w:rFonts w:ascii="Arial" w:cs="Arial" w:eastAsia="Arial" w:hAnsi="Arial"/>
                <w:sz w:val="16"/>
                <w:szCs w:val="16"/>
                <w:color w:val="auto"/>
              </w:rPr>
              <w:t>subject to the</w:t>
            </w:r>
          </w:p>
        </w:tc>
        <w:tc>
          <w:tcPr>
            <w:tcW w:w="0" w:type="dxa"/>
            <w:vAlign w:val="bottom"/>
          </w:tcPr>
          <w:p>
            <w:pPr>
              <w:spacing w:after="0"/>
              <w:rPr>
                <w:sz w:val="1"/>
                <w:szCs w:val="1"/>
                <w:color w:val="auto"/>
              </w:rPr>
            </w:pPr>
          </w:p>
        </w:tc>
      </w:tr>
      <w:tr>
        <w:trPr>
          <w:trHeight w:val="41"/>
        </w:trPr>
        <w:tc>
          <w:tcPr>
            <w:tcW w:w="3560" w:type="dxa"/>
            <w:vAlign w:val="bottom"/>
            <w:tcBorders>
              <w:bottom w:val="single" w:sz="8" w:color="BCBEC0"/>
            </w:tcBorders>
          </w:tcPr>
          <w:p>
            <w:pPr>
              <w:spacing w:after="0"/>
              <w:rPr>
                <w:sz w:val="3"/>
                <w:szCs w:val="3"/>
                <w:color w:val="auto"/>
              </w:rPr>
            </w:pPr>
          </w:p>
        </w:tc>
        <w:tc>
          <w:tcPr>
            <w:tcW w:w="3860" w:type="dxa"/>
            <w:vAlign w:val="bottom"/>
            <w:tcBorders>
              <w:bottom w:val="single" w:sz="8" w:color="BCBEC0"/>
            </w:tcBorders>
          </w:tcPr>
          <w:p>
            <w:pPr>
              <w:spacing w:after="0"/>
              <w:rPr>
                <w:sz w:val="3"/>
                <w:szCs w:val="3"/>
                <w:color w:val="auto"/>
              </w:rPr>
            </w:pPr>
          </w:p>
        </w:tc>
        <w:tc>
          <w:tcPr>
            <w:tcW w:w="1440" w:type="dxa"/>
            <w:vAlign w:val="bottom"/>
            <w:tcBorders>
              <w:bottom w:val="single" w:sz="8" w:color="F1F2F2"/>
            </w:tcBorders>
            <w:vMerge w:val="restart"/>
            <w:shd w:val="clear" w:color="auto" w:fill="F1F2F2"/>
          </w:tcPr>
          <w:p>
            <w:pPr>
              <w:ind w:left="240"/>
              <w:spacing w:after="0"/>
              <w:rPr>
                <w:sz w:val="20"/>
                <w:szCs w:val="20"/>
                <w:color w:val="auto"/>
              </w:rPr>
            </w:pPr>
            <w:r>
              <w:rPr>
                <w:rFonts w:ascii="Arial" w:cs="Arial" w:eastAsia="Arial" w:hAnsi="Arial"/>
                <w:sz w:val="16"/>
                <w:szCs w:val="16"/>
                <w:color w:val="auto"/>
              </w:rPr>
              <w:t>guidelines</w:t>
            </w:r>
          </w:p>
        </w:tc>
        <w:tc>
          <w:tcPr>
            <w:tcW w:w="0" w:type="dxa"/>
            <w:vAlign w:val="bottom"/>
          </w:tcPr>
          <w:p>
            <w:pPr>
              <w:spacing w:after="0"/>
              <w:rPr>
                <w:sz w:val="1"/>
                <w:szCs w:val="1"/>
                <w:color w:val="auto"/>
              </w:rPr>
            </w:pPr>
          </w:p>
        </w:tc>
      </w:tr>
      <w:tr>
        <w:trPr>
          <w:trHeight w:val="217"/>
        </w:trPr>
        <w:tc>
          <w:tcPr>
            <w:tcW w:w="3560" w:type="dxa"/>
            <w:vAlign w:val="bottom"/>
          </w:tcPr>
          <w:p>
            <w:pPr>
              <w:ind w:left="160"/>
              <w:spacing w:after="0" w:line="183" w:lineRule="exact"/>
              <w:rPr>
                <w:sz w:val="20"/>
                <w:szCs w:val="20"/>
                <w:color w:val="auto"/>
              </w:rPr>
            </w:pPr>
            <w:r>
              <w:rPr>
                <w:rFonts w:ascii="Arial" w:cs="Arial" w:eastAsia="Arial" w:hAnsi="Arial"/>
                <w:sz w:val="16"/>
                <w:szCs w:val="16"/>
                <w:color w:val="auto"/>
              </w:rPr>
              <w:t>Non-employee directors</w:t>
            </w:r>
          </w:p>
        </w:tc>
        <w:tc>
          <w:tcPr>
            <w:tcW w:w="3860" w:type="dxa"/>
            <w:vAlign w:val="bottom"/>
          </w:tcPr>
          <w:p>
            <w:pPr>
              <w:ind w:left="280"/>
              <w:spacing w:after="0" w:line="183" w:lineRule="exact"/>
              <w:rPr>
                <w:sz w:val="20"/>
                <w:szCs w:val="20"/>
                <w:color w:val="auto"/>
              </w:rPr>
            </w:pPr>
            <w:r>
              <w:rPr>
                <w:rFonts w:ascii="Arial" w:cs="Arial" w:eastAsia="Arial" w:hAnsi="Arial"/>
                <w:sz w:val="16"/>
                <w:szCs w:val="16"/>
                <w:b w:val="1"/>
                <w:bCs w:val="1"/>
                <w:color w:val="auto"/>
              </w:rPr>
              <w:t xml:space="preserve">5 times </w:t>
            </w:r>
            <w:r>
              <w:rPr>
                <w:rFonts w:ascii="Arial" w:cs="Arial" w:eastAsia="Arial" w:hAnsi="Arial"/>
                <w:sz w:val="16"/>
                <w:szCs w:val="16"/>
                <w:color w:val="auto"/>
              </w:rPr>
              <w:t>annual cash retainer</w:t>
            </w:r>
          </w:p>
        </w:tc>
        <w:tc>
          <w:tcPr>
            <w:tcW w:w="1440" w:type="dxa"/>
            <w:vAlign w:val="bottom"/>
            <w:tcBorders>
              <w:bottom w:val="single" w:sz="8" w:color="F1F2F2"/>
            </w:tcBorders>
            <w:vMerge w:val="continue"/>
            <w:shd w:val="clear" w:color="auto" w:fill="F1F2F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shd w:val="clear" w:color="auto" w:fill="F0533D"/>
          </w:tcPr>
          <w:p>
            <w:pPr>
              <w:spacing w:after="0" w:line="20" w:lineRule="exact"/>
              <w:rPr>
                <w:sz w:val="1"/>
                <w:szCs w:val="1"/>
                <w:color w:val="auto"/>
              </w:rPr>
            </w:pPr>
          </w:p>
        </w:tc>
        <w:tc>
          <w:tcPr>
            <w:tcW w:w="3860" w:type="dxa"/>
            <w:vAlign w:val="bottom"/>
            <w:shd w:val="clear" w:color="auto" w:fill="F0533D"/>
          </w:tcPr>
          <w:p>
            <w:pPr>
              <w:spacing w:after="0" w:line="20" w:lineRule="exact"/>
              <w:rPr>
                <w:sz w:val="1"/>
                <w:szCs w:val="1"/>
                <w:color w:val="auto"/>
              </w:rPr>
            </w:pPr>
          </w:p>
        </w:tc>
        <w:tc>
          <w:tcPr>
            <w:tcW w:w="1440" w:type="dxa"/>
            <w:vAlign w:val="bottom"/>
            <w:shd w:val="clear" w:color="auto" w:fill="F0533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80" w:right="179"/>
        <w:spacing w:after="0" w:line="239" w:lineRule="auto"/>
        <w:rPr>
          <w:sz w:val="20"/>
          <w:szCs w:val="20"/>
          <w:color w:val="auto"/>
        </w:rPr>
      </w:pPr>
      <w:r>
        <w:rPr>
          <w:rFonts w:ascii="Arial" w:cs="Arial" w:eastAsia="Arial" w:hAnsi="Arial"/>
          <w:sz w:val="17"/>
          <w:szCs w:val="17"/>
          <w:color w:val="auto"/>
        </w:rPr>
        <w:t>Until the stock ownership guidelines are achieved, our executive officers and non-employee directors are required to retain 100% of any Company stock received as part of their compensation other than amounts required to pay taxes and exercise prices, and other executives are required to retain 100% of shares from awards granted on December 16, 2021 and at least 50% of any Company stock received as part of their annual compensation and at hire, if applicable. In each case, these holding requirements are net of amounts required to pay taxes and exercise prices. For purposes of determining compliance with the stock ownership guidelines, the following are included:</w:t>
      </w:r>
    </w:p>
    <w:p>
      <w:pPr>
        <w:spacing w:after="0" w:line="74" w:lineRule="exact"/>
        <w:rPr>
          <w:sz w:val="20"/>
          <w:szCs w:val="20"/>
          <w:color w:val="auto"/>
        </w:rPr>
      </w:pPr>
    </w:p>
    <w:p>
      <w:pPr>
        <w:ind w:left="900" w:hanging="356"/>
        <w:spacing w:after="0"/>
        <w:tabs>
          <w:tab w:leader="none" w:pos="900" w:val="left"/>
        </w:tabs>
        <w:numPr>
          <w:ilvl w:val="0"/>
          <w:numId w:val="77"/>
        </w:numPr>
        <w:rPr>
          <w:rFonts w:ascii="Arial" w:cs="Arial" w:eastAsia="Arial" w:hAnsi="Arial"/>
          <w:sz w:val="17"/>
          <w:szCs w:val="17"/>
          <w:color w:val="F0533D"/>
        </w:rPr>
      </w:pPr>
      <w:r>
        <w:rPr>
          <w:rFonts w:ascii="Arial" w:cs="Arial" w:eastAsia="Arial" w:hAnsi="Arial"/>
          <w:sz w:val="17"/>
          <w:szCs w:val="17"/>
          <w:color w:val="auto"/>
        </w:rPr>
        <w:t>Shares held directly by the covered person</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7"/>
        </w:numPr>
        <w:rPr>
          <w:rFonts w:ascii="Arial" w:cs="Arial" w:eastAsia="Arial" w:hAnsi="Arial"/>
          <w:sz w:val="17"/>
          <w:szCs w:val="17"/>
          <w:color w:val="F0533D"/>
        </w:rPr>
      </w:pPr>
      <w:r>
        <w:rPr>
          <w:rFonts w:ascii="Arial" w:cs="Arial" w:eastAsia="Arial" w:hAnsi="Arial"/>
          <w:sz w:val="17"/>
          <w:szCs w:val="17"/>
          <w:color w:val="auto"/>
        </w:rPr>
        <w:t>Shares held by members of the covered person’s household</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7"/>
        </w:numPr>
        <w:rPr>
          <w:rFonts w:ascii="Arial" w:cs="Arial" w:eastAsia="Arial" w:hAnsi="Arial"/>
          <w:sz w:val="17"/>
          <w:szCs w:val="17"/>
          <w:color w:val="F0533D"/>
        </w:rPr>
      </w:pPr>
      <w:r>
        <w:rPr>
          <w:rFonts w:ascii="Arial" w:cs="Arial" w:eastAsia="Arial" w:hAnsi="Arial"/>
          <w:sz w:val="17"/>
          <w:szCs w:val="17"/>
          <w:color w:val="auto"/>
        </w:rPr>
        <w:t>Deferred stock units, so long as not forfeitable</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77"/>
        </w:numPr>
        <w:rPr>
          <w:rFonts w:ascii="Arial" w:cs="Arial" w:eastAsia="Arial" w:hAnsi="Arial"/>
          <w:sz w:val="17"/>
          <w:szCs w:val="17"/>
          <w:color w:val="F0533D"/>
        </w:rPr>
      </w:pPr>
      <w:r>
        <w:rPr>
          <w:rFonts w:ascii="Arial" w:cs="Arial" w:eastAsia="Arial" w:hAnsi="Arial"/>
          <w:sz w:val="17"/>
          <w:szCs w:val="17"/>
          <w:color w:val="auto"/>
        </w:rPr>
        <w:t>Unvested restricted stock or RSU awards</w:t>
      </w:r>
    </w:p>
    <w:p>
      <w:pPr>
        <w:spacing w:after="0" w:line="23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4" w:name="page65"/>
    <w:bookmarkEnd w:id="6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19"/>
        <w:spacing w:after="0" w:line="238" w:lineRule="auto"/>
        <w:rPr>
          <w:sz w:val="20"/>
          <w:szCs w:val="20"/>
          <w:color w:val="auto"/>
        </w:rPr>
      </w:pPr>
      <w:r>
        <w:rPr>
          <w:rFonts w:ascii="Arial" w:cs="Arial" w:eastAsia="Arial" w:hAnsi="Arial"/>
          <w:sz w:val="17"/>
          <w:szCs w:val="17"/>
          <w:color w:val="auto"/>
        </w:rPr>
        <w:t>Unexercised stock options and unvested PSUs are excluded for purposes of determining compliance with the stock ownership guidelines. Once a person subject to the stock ownership guidelines has acquired a number of shares with a value that satisfies the applicable ownership multiple, they will be deemed to satisfy the requirements (even if the fair market value of such shares subsequently changes) unless and until the ownership target increases due to an increase in base salary or annual retainer or such individual sells any such holdings. In the event of an increase in base salary or annual retainer, a covered individual is expected to meet the new applicable ownership target within the later of the original five-year deadline or three years following such increase.</w:t>
      </w:r>
    </w:p>
    <w:p>
      <w:pPr>
        <w:spacing w:after="0" w:line="128" w:lineRule="exact"/>
        <w:rPr>
          <w:sz w:val="20"/>
          <w:szCs w:val="20"/>
          <w:color w:val="auto"/>
        </w:rPr>
      </w:pPr>
    </w:p>
    <w:p>
      <w:pPr>
        <w:ind w:left="80" w:right="299"/>
        <w:spacing w:after="0" w:line="249" w:lineRule="auto"/>
        <w:rPr>
          <w:sz w:val="20"/>
          <w:szCs w:val="20"/>
          <w:color w:val="auto"/>
        </w:rPr>
      </w:pPr>
      <w:r>
        <w:rPr>
          <w:rFonts w:ascii="Arial" w:cs="Arial" w:eastAsia="Arial" w:hAnsi="Arial"/>
          <w:sz w:val="17"/>
          <w:szCs w:val="17"/>
          <w:color w:val="auto"/>
        </w:rPr>
        <w:t>All of our NEOs for fiscal 2026 have met or are on track to meet their stock ownership requirement within the required time period, and all of our non-employee directors have met their ownership requirements under the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176530</wp:posOffset>
            </wp:positionV>
            <wp:extent cx="213995" cy="342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Clawback Policies</w:t>
      </w:r>
    </w:p>
    <w:p>
      <w:pPr>
        <w:spacing w:after="0" w:line="156" w:lineRule="exact"/>
        <w:rPr>
          <w:sz w:val="20"/>
          <w:szCs w:val="20"/>
          <w:color w:val="auto"/>
        </w:rPr>
      </w:pPr>
    </w:p>
    <w:p>
      <w:pPr>
        <w:ind w:left="80" w:right="319"/>
        <w:spacing w:after="0" w:line="249" w:lineRule="auto"/>
        <w:rPr>
          <w:sz w:val="20"/>
          <w:szCs w:val="20"/>
          <w:color w:val="auto"/>
        </w:rPr>
      </w:pPr>
      <w:r>
        <w:rPr>
          <w:rFonts w:ascii="Arial" w:cs="Arial" w:eastAsia="Arial" w:hAnsi="Arial"/>
          <w:sz w:val="17"/>
          <w:szCs w:val="17"/>
          <w:color w:val="auto"/>
        </w:rPr>
        <w:t>To protect Company and stockholder interests and deter inappropriate actions or decisions by executives, we maintain two clawback policies as well as additional recoupment and cancellation provisions under the Company’s equity plan.</w:t>
      </w:r>
    </w:p>
    <w:p>
      <w:pPr>
        <w:spacing w:after="0" w:line="67" w:lineRule="exact"/>
        <w:rPr>
          <w:sz w:val="20"/>
          <w:szCs w:val="20"/>
          <w:color w:val="auto"/>
        </w:rPr>
      </w:pPr>
    </w:p>
    <w:p>
      <w:pPr>
        <w:ind w:left="900" w:right="179" w:hanging="356"/>
        <w:spacing w:after="0" w:line="244" w:lineRule="auto"/>
        <w:tabs>
          <w:tab w:leader="none" w:pos="900" w:val="left"/>
        </w:tabs>
        <w:numPr>
          <w:ilvl w:val="0"/>
          <w:numId w:val="78"/>
        </w:numPr>
        <w:rPr>
          <w:rFonts w:ascii="Arial" w:cs="Arial" w:eastAsia="Arial" w:hAnsi="Arial"/>
          <w:sz w:val="17"/>
          <w:szCs w:val="17"/>
          <w:color w:val="F0533D"/>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Financial Statement Clawback Policy</w:t>
      </w:r>
      <w:r>
        <w:rPr>
          <w:rFonts w:ascii="Arial" w:cs="Arial" w:eastAsia="Arial" w:hAnsi="Arial"/>
          <w:sz w:val="17"/>
          <w:szCs w:val="17"/>
          <w:color w:val="auto"/>
        </w:rPr>
        <w:t xml:space="preserve"> requires the clawback of incentive-based compensation paid to the Company’s executive officers in the event of certain financial restatements in accordance with SEC rules that would have affected the amount of incentive-based compensation, regardless of whether the executive officer’s conduct led to the restatement.</w:t>
      </w:r>
    </w:p>
    <w:p>
      <w:pPr>
        <w:spacing w:after="0" w:line="69" w:lineRule="exact"/>
        <w:rPr>
          <w:rFonts w:ascii="Arial" w:cs="Arial" w:eastAsia="Arial" w:hAnsi="Arial"/>
          <w:sz w:val="17"/>
          <w:szCs w:val="17"/>
          <w:color w:val="F0533D"/>
        </w:rPr>
      </w:pPr>
    </w:p>
    <w:p>
      <w:pPr>
        <w:ind w:left="900" w:right="219" w:hanging="356"/>
        <w:spacing w:after="0" w:line="238" w:lineRule="auto"/>
        <w:tabs>
          <w:tab w:leader="none" w:pos="900" w:val="left"/>
        </w:tabs>
        <w:numPr>
          <w:ilvl w:val="0"/>
          <w:numId w:val="78"/>
        </w:numPr>
        <w:rPr>
          <w:rFonts w:ascii="Arial" w:cs="Arial" w:eastAsia="Arial" w:hAnsi="Arial"/>
          <w:sz w:val="17"/>
          <w:szCs w:val="17"/>
          <w:color w:val="F0533D"/>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Executive Compensation Clawback Policy</w:t>
      </w:r>
      <w:r>
        <w:rPr>
          <w:rFonts w:ascii="Arial" w:cs="Arial" w:eastAsia="Arial" w:hAnsi="Arial"/>
          <w:sz w:val="17"/>
          <w:szCs w:val="17"/>
          <w:color w:val="auto"/>
        </w:rPr>
        <w:t>, a supplemental policy that is applicable to the NEOs and certain other senior executives of the Company, allows the Company to claw back any bonus, equity (including all time-based and performance-based equity awards) or other incentive-based compensation in the event of either a financial restatement (other than a restatement caused by a change in applicable accounting rules or interpretations) or misconduct, if an executive engages directly or indirectly in, or contributes to, fraudulent or other wrongful conduct by action or omission, which causes material harm to the finances, business, reputation, condition, assets or results of operations of the Company.</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 addition, under the terms of the LTPP, our CHC Committee may:</w:t>
      </w:r>
    </w:p>
    <w:p>
      <w:pPr>
        <w:spacing w:after="0" w:line="102" w:lineRule="exact"/>
        <w:rPr>
          <w:sz w:val="20"/>
          <w:szCs w:val="20"/>
          <w:color w:val="auto"/>
        </w:rPr>
      </w:pPr>
    </w:p>
    <w:p>
      <w:pPr>
        <w:ind w:left="900" w:right="219" w:hanging="356"/>
        <w:spacing w:after="0" w:line="249" w:lineRule="auto"/>
        <w:tabs>
          <w:tab w:leader="none" w:pos="900" w:val="left"/>
        </w:tabs>
        <w:numPr>
          <w:ilvl w:val="0"/>
          <w:numId w:val="79"/>
        </w:numPr>
        <w:rPr>
          <w:rFonts w:ascii="Arial" w:cs="Arial" w:eastAsia="Arial" w:hAnsi="Arial"/>
          <w:sz w:val="17"/>
          <w:szCs w:val="17"/>
          <w:color w:val="F0533D"/>
        </w:rPr>
      </w:pPr>
      <w:r>
        <w:rPr>
          <w:rFonts w:ascii="Arial" w:cs="Arial" w:eastAsia="Arial" w:hAnsi="Arial"/>
          <w:sz w:val="17"/>
          <w:szCs w:val="17"/>
          <w:color w:val="auto"/>
        </w:rPr>
        <w:t>cancel, rescind, suspend, withhold or otherwise limit any outstanding awards held by any plan participant if the participant engages in “Detrimental Activity” (as defined in the LTPP) or is otherwise not in compliance with the terms of the applicable award agreement or the LTPP; and</w:t>
      </w:r>
    </w:p>
    <w:p>
      <w:pPr>
        <w:spacing w:after="0" w:line="66" w:lineRule="exact"/>
        <w:rPr>
          <w:rFonts w:ascii="Arial" w:cs="Arial" w:eastAsia="Arial" w:hAnsi="Arial"/>
          <w:sz w:val="17"/>
          <w:szCs w:val="17"/>
          <w:color w:val="F0533D"/>
        </w:rPr>
      </w:pPr>
    </w:p>
    <w:p>
      <w:pPr>
        <w:ind w:left="900" w:right="99" w:hanging="356"/>
        <w:spacing w:after="0" w:line="244" w:lineRule="auto"/>
        <w:tabs>
          <w:tab w:leader="none" w:pos="900" w:val="left"/>
        </w:tabs>
        <w:numPr>
          <w:ilvl w:val="0"/>
          <w:numId w:val="79"/>
        </w:numPr>
        <w:rPr>
          <w:rFonts w:ascii="Arial" w:cs="Arial" w:eastAsia="Arial" w:hAnsi="Arial"/>
          <w:sz w:val="17"/>
          <w:szCs w:val="17"/>
          <w:color w:val="F0533D"/>
        </w:rPr>
      </w:pPr>
      <w:r>
        <w:rPr>
          <w:rFonts w:ascii="Arial" w:cs="Arial" w:eastAsia="Arial" w:hAnsi="Arial"/>
          <w:sz w:val="17"/>
          <w:szCs w:val="17"/>
          <w:color w:val="auto"/>
        </w:rPr>
        <w:t>during the two-year period following any exercise, payment or delivery of an award, rescind such exercise, payment or delivery if the participant engages in Detrimental Activity during the rescission period established by the CHC Committee (which rescission period shall not be less than six months after any exercise, payment or delivery pursuant to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186690</wp:posOffset>
            </wp:positionV>
            <wp:extent cx="213995" cy="342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5"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Prohibition on Hedging and Pledging of Company Stock</w:t>
      </w:r>
    </w:p>
    <w:p>
      <w:pPr>
        <w:spacing w:after="0" w:line="156" w:lineRule="exact"/>
        <w:rPr>
          <w:sz w:val="20"/>
          <w:szCs w:val="20"/>
          <w:color w:val="auto"/>
        </w:rPr>
      </w:pPr>
    </w:p>
    <w:p>
      <w:pPr>
        <w:ind w:left="80" w:right="119"/>
        <w:spacing w:after="0" w:line="244" w:lineRule="auto"/>
        <w:rPr>
          <w:sz w:val="20"/>
          <w:szCs w:val="20"/>
          <w:color w:val="auto"/>
        </w:rPr>
      </w:pPr>
      <w:r>
        <w:rPr>
          <w:rFonts w:ascii="Arial" w:cs="Arial" w:eastAsia="Arial" w:hAnsi="Arial"/>
          <w:sz w:val="17"/>
          <w:szCs w:val="17"/>
          <w:color w:val="auto"/>
        </w:rPr>
        <w:t>Pursuant to our Securities Trading Policy, directors and executive officers, as well as certain related persons, are prohibited from engaging in hedging or monetization transactions with respect to the Company’s securities, such as short-sales, prepaid variable forward contracts, equity swaps, collars and exchange funds and other transactions that hedge or offset, or are designed to hedge or offset, any decrease in the market value of Kyndryl securities.</w:t>
      </w:r>
    </w:p>
    <w:p>
      <w:pPr>
        <w:spacing w:after="0" w:line="123" w:lineRule="exact"/>
        <w:rPr>
          <w:sz w:val="20"/>
          <w:szCs w:val="20"/>
          <w:color w:val="auto"/>
        </w:rPr>
      </w:pPr>
    </w:p>
    <w:p>
      <w:pPr>
        <w:jc w:val="both"/>
        <w:ind w:left="80" w:right="699"/>
        <w:spacing w:after="0" w:line="249" w:lineRule="auto"/>
        <w:rPr>
          <w:sz w:val="20"/>
          <w:szCs w:val="20"/>
          <w:color w:val="auto"/>
        </w:rPr>
      </w:pPr>
      <w:r>
        <w:rPr>
          <w:rFonts w:ascii="Arial" w:cs="Arial" w:eastAsia="Arial" w:hAnsi="Arial"/>
          <w:sz w:val="17"/>
          <w:szCs w:val="17"/>
          <w:color w:val="auto"/>
        </w:rPr>
        <w:t>Our Securities Trading Policy also prohibits directors and executive officers and certain related persons from pledging Kyndryl securities at any time, which includes having Kyndryl securities in a margin account or using Kyndryl securities as collateral for a loan.</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60 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5" w:name="page66"/>
    <w:bookmarkEnd w:id="6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Risk Management and Mitigation of Compensation Policies and Practices</w:t>
      </w:r>
    </w:p>
    <w:p>
      <w:pPr>
        <w:spacing w:after="0" w:line="156" w:lineRule="exact"/>
        <w:rPr>
          <w:sz w:val="20"/>
          <w:szCs w:val="20"/>
          <w:color w:val="auto"/>
        </w:rPr>
      </w:pPr>
    </w:p>
    <w:p>
      <w:pPr>
        <w:ind w:left="80" w:right="199"/>
        <w:spacing w:after="0" w:line="236" w:lineRule="auto"/>
        <w:rPr>
          <w:sz w:val="20"/>
          <w:szCs w:val="20"/>
          <w:color w:val="auto"/>
        </w:rPr>
      </w:pPr>
      <w:r>
        <w:rPr>
          <w:rFonts w:ascii="Arial" w:cs="Arial" w:eastAsia="Arial" w:hAnsi="Arial"/>
          <w:sz w:val="17"/>
          <w:szCs w:val="17"/>
          <w:color w:val="auto"/>
        </w:rPr>
        <w:t>The CHC Committee regularly reviews our executive and non-executive compensation programs to assess whether any aspect of those programs could encourage unnecessary or inappropriate risks that could threaten the value of the Company or increase risks that are reasonably likely to have a material adverse effect on the Company. The CHC Committee discusses the concept of risk as it relates to our compensation programs, considers various mitigating factors and reviews these items with its independent compensation consultant, FW Cook. In addition, our CHC Committee asks FW Cook to annually conduct an independent risk assessment of our compensation program. The CHC Committee has determined that there is an appropriate balance in the Company’s compensation mix, that policies are in place to mitigate compensation-related risk and that CHC Committee oversight extends below the executive officer level. Based on these reviews, the CHC Committee does not believe the fiscal 2026 compensation program creates risks that are reasonably likely to have a material adverse effect on the Company.</w:t>
      </w:r>
    </w:p>
    <w:p>
      <w:pPr>
        <w:spacing w:after="0" w:line="237" w:lineRule="exact"/>
        <w:rPr>
          <w:sz w:val="20"/>
          <w:szCs w:val="20"/>
          <w:color w:val="auto"/>
        </w:rPr>
      </w:pPr>
    </w:p>
    <w:p>
      <w:pPr>
        <w:ind w:left="240"/>
        <w:spacing w:after="0"/>
        <w:tabs>
          <w:tab w:leader="none" w:pos="4680" w:val="left"/>
        </w:tabs>
        <w:rPr>
          <w:sz w:val="20"/>
          <w:szCs w:val="20"/>
          <w:color w:val="auto"/>
        </w:rPr>
      </w:pPr>
      <w:r>
        <w:rPr>
          <w:rFonts w:ascii="Arial" w:cs="Arial" w:eastAsia="Arial" w:hAnsi="Arial"/>
          <w:sz w:val="14"/>
          <w:szCs w:val="14"/>
          <w:b w:val="1"/>
          <w:bCs w:val="1"/>
          <w:color w:val="F0533D"/>
        </w:rPr>
        <w:t>Attributes</w:t>
      </w:r>
      <w:r>
        <w:rPr>
          <w:sz w:val="20"/>
          <w:szCs w:val="20"/>
          <w:color w:val="auto"/>
        </w:rPr>
        <w:tab/>
      </w:r>
      <w:r>
        <w:rPr>
          <w:rFonts w:ascii="Arial" w:cs="Arial" w:eastAsia="Arial" w:hAnsi="Arial"/>
          <w:sz w:val="14"/>
          <w:szCs w:val="14"/>
          <w:b w:val="1"/>
          <w:bCs w:val="1"/>
          <w:color w:val="F0533D"/>
        </w:rPr>
        <w:t>Risk-Mitigating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57785</wp:posOffset>
            </wp:positionV>
            <wp:extent cx="562356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172" w:lineRule="exact"/>
        <w:rPr>
          <w:sz w:val="20"/>
          <w:szCs w:val="20"/>
          <w:color w:val="auto"/>
        </w:rPr>
      </w:pPr>
    </w:p>
    <w:p>
      <w:pPr>
        <w:ind w:left="520" w:hanging="282"/>
        <w:spacing w:after="0"/>
        <w:rPr>
          <w:sz w:val="20"/>
          <w:szCs w:val="20"/>
          <w:color w:val="auto"/>
        </w:rPr>
      </w:pPr>
      <w:r>
        <w:rPr>
          <w:sz w:val="1"/>
          <w:szCs w:val="1"/>
          <w:color w:val="auto"/>
        </w:rPr>
        <w:drawing>
          <wp:inline distT="0" distB="0" distL="0" distR="0">
            <wp:extent cx="128270" cy="111125"/>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8270" cy="111125"/>
                    </a:xfrm>
                    <a:prstGeom prst="rect">
                      <a:avLst/>
                    </a:prstGeom>
                    <a:noFill/>
                    <a:ln>
                      <a:noFill/>
                    </a:ln>
                  </pic:spPr>
                </pic:pic>
              </a:graphicData>
            </a:graphic>
          </wp:inline>
        </w:drawing>
      </w:r>
      <w:r>
        <w:rPr>
          <w:rFonts w:ascii="Arial" w:cs="Arial" w:eastAsia="Arial" w:hAnsi="Arial"/>
          <w:sz w:val="16"/>
          <w:szCs w:val="16"/>
          <w:b w:val="1"/>
          <w:bCs w:val="1"/>
          <w:color w:val="auto"/>
        </w:rPr>
        <w:t xml:space="preserve"> Emphasis on long-term, equity-based compensation at the executive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150495</wp:posOffset>
            </wp:positionV>
            <wp:extent cx="56235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679" w:hanging="146"/>
        <w:spacing w:after="0" w:line="26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Discourages risk-taking that produces short-term</w:t>
      </w:r>
      <w:r>
        <w:rPr>
          <w:rFonts w:ascii="Arial" w:cs="Arial" w:eastAsia="Arial" w:hAnsi="Arial"/>
          <w:sz w:val="16"/>
          <w:szCs w:val="16"/>
          <w:color w:val="F0533D"/>
        </w:rPr>
        <w:t xml:space="preserve"> </w:t>
      </w:r>
      <w:r>
        <w:rPr>
          <w:rFonts w:ascii="Arial" w:cs="Arial" w:eastAsia="Arial" w:hAnsi="Arial"/>
          <w:sz w:val="16"/>
          <w:szCs w:val="16"/>
          <w:color w:val="000000"/>
        </w:rPr>
        <w:t>results at the expense of building long-term stockholder value</w:t>
      </w:r>
    </w:p>
    <w:p>
      <w:pPr>
        <w:spacing w:after="0" w:line="50" w:lineRule="exact"/>
        <w:rPr>
          <w:sz w:val="20"/>
          <w:szCs w:val="20"/>
          <w:color w:val="auto"/>
        </w:rPr>
      </w:pPr>
    </w:p>
    <w:p>
      <w:pPr>
        <w:sectPr>
          <w:pgSz w:w="11900" w:h="16838" w:orient="portrait"/>
          <w:cols w:equalWidth="0" w:num="2">
            <w:col w:w="4560" w:space="300"/>
            <w:col w:w="4159"/>
          </w:cols>
          <w:pgMar w:left="1440" w:top="114" w:right="1440" w:bottom="1440" w:gutter="0" w:footer="0" w:header="0"/>
          <w:type w:val="continuous"/>
        </w:sectPr>
      </w:pPr>
    </w:p>
    <w:p>
      <w:pPr>
        <w:ind w:left="520" w:hanging="282"/>
        <w:spacing w:after="0"/>
        <w:rPr>
          <w:sz w:val="20"/>
          <w:szCs w:val="20"/>
          <w:color w:val="auto"/>
        </w:rPr>
      </w:pPr>
      <w:r>
        <w:rPr>
          <w:sz w:val="1"/>
          <w:szCs w:val="1"/>
          <w:color w:val="auto"/>
        </w:rPr>
        <w:drawing>
          <wp:inline distT="0" distB="0" distL="0" distR="0">
            <wp:extent cx="128270" cy="111125"/>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8270" cy="111125"/>
                    </a:xfrm>
                    <a:prstGeom prst="rect">
                      <a:avLst/>
                    </a:prstGeom>
                    <a:noFill/>
                    <a:ln>
                      <a:noFill/>
                    </a:ln>
                  </pic:spPr>
                </pic:pic>
              </a:graphicData>
            </a:graphic>
          </wp:inline>
        </w:drawing>
      </w:r>
      <w:r>
        <w:rPr>
          <w:rFonts w:ascii="Arial" w:cs="Arial" w:eastAsia="Arial" w:hAnsi="Arial"/>
          <w:sz w:val="16"/>
          <w:szCs w:val="16"/>
          <w:b w:val="1"/>
          <w:bCs w:val="1"/>
          <w:color w:val="auto"/>
        </w:rPr>
        <w:t xml:space="preserve"> PSUs are subject to a three-year performance and vesting period, and RSUs and stock options vest over four years; all are subject to our clawback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13335</wp:posOffset>
            </wp:positionV>
            <wp:extent cx="56235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19" w:hanging="146"/>
        <w:spacing w:after="0" w:line="26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Helps ensure our executives realize their</w:t>
      </w:r>
      <w:r>
        <w:rPr>
          <w:rFonts w:ascii="Arial" w:cs="Arial" w:eastAsia="Arial" w:hAnsi="Arial"/>
          <w:sz w:val="16"/>
          <w:szCs w:val="16"/>
          <w:color w:val="F0533D"/>
        </w:rPr>
        <w:t xml:space="preserve"> </w:t>
      </w:r>
      <w:r>
        <w:rPr>
          <w:rFonts w:ascii="Arial" w:cs="Arial" w:eastAsia="Arial" w:hAnsi="Arial"/>
          <w:sz w:val="16"/>
          <w:szCs w:val="16"/>
          <w:color w:val="000000"/>
        </w:rPr>
        <w:t>compensation over a time horizon consistent with achieving long-term stockholder value</w:t>
      </w:r>
    </w:p>
    <w:p>
      <w:pPr>
        <w:spacing w:after="0" w:line="207" w:lineRule="exact"/>
        <w:rPr>
          <w:sz w:val="20"/>
          <w:szCs w:val="20"/>
          <w:color w:val="auto"/>
        </w:rPr>
      </w:pPr>
    </w:p>
    <w:p>
      <w:pPr>
        <w:sectPr>
          <w:pgSz w:w="11900" w:h="16838" w:orient="portrait"/>
          <w:cols w:equalWidth="0" w:num="2">
            <w:col w:w="4360" w:space="500"/>
            <w:col w:w="4159"/>
          </w:cols>
          <w:pgMar w:left="1440" w:top="114" w:right="1440" w:bottom="1440" w:gutter="0" w:footer="0" w:header="0"/>
          <w:type w:val="continuous"/>
        </w:sectPr>
      </w:pPr>
    </w:p>
    <w:p>
      <w:pPr>
        <w:ind w:left="240"/>
        <w:spacing w:after="0"/>
        <w:rPr>
          <w:sz w:val="20"/>
          <w:szCs w:val="20"/>
          <w:color w:val="auto"/>
        </w:rPr>
      </w:pPr>
      <w:r>
        <w:rPr>
          <w:sz w:val="1"/>
          <w:szCs w:val="1"/>
          <w:color w:val="auto"/>
        </w:rPr>
        <w:drawing>
          <wp:inline distT="0" distB="0" distL="0" distR="0">
            <wp:extent cx="128270" cy="11176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8270" cy="111760"/>
                    </a:xfrm>
                    <a:prstGeom prst="rect">
                      <a:avLst/>
                    </a:prstGeom>
                    <a:noFill/>
                    <a:ln>
                      <a:noFill/>
                    </a:ln>
                  </pic:spPr>
                </pic:pic>
              </a:graphicData>
            </a:graphic>
          </wp:inline>
        </w:drawing>
      </w:r>
      <w:r>
        <w:rPr>
          <w:rFonts w:ascii="Arial" w:cs="Arial" w:eastAsia="Arial" w:hAnsi="Arial"/>
          <w:sz w:val="16"/>
          <w:szCs w:val="16"/>
          <w:b w:val="1"/>
          <w:bCs w:val="1"/>
          <w:color w:val="auto"/>
        </w:rPr>
        <w:t xml:space="preserve"> Number of shares that may be earned under our PSU </w:t>
      </w:r>
      <w:r>
        <w:rPr>
          <w:rFonts w:ascii="Arial" w:cs="Arial" w:eastAsia="Arial" w:hAnsi="Arial"/>
          <w:sz w:val="16"/>
          <w:szCs w:val="16"/>
          <w:color w:val="F0533D"/>
        </w:rPr>
        <w:t>•</w:t>
      </w:r>
      <w:r>
        <w:rPr>
          <w:rFonts w:ascii="Arial" w:cs="Arial" w:eastAsia="Arial" w:hAnsi="Arial"/>
          <w:sz w:val="16"/>
          <w:szCs w:val="16"/>
          <w:color w:val="auto"/>
        </w:rPr>
        <w:t xml:space="preserve">  Reduces the possibility that extraordinary events or</w:t>
      </w:r>
    </w:p>
    <w:p>
      <w:pPr>
        <w:ind w:left="4860" w:right="479" w:hanging="4331"/>
        <w:spacing w:after="0" w:line="283" w:lineRule="auto"/>
        <w:tabs>
          <w:tab w:leader="none" w:pos="4840" w:val="left"/>
        </w:tabs>
        <w:rPr>
          <w:sz w:val="20"/>
          <w:szCs w:val="20"/>
          <w:color w:val="auto"/>
        </w:rPr>
      </w:pPr>
      <w:r>
        <w:rPr>
          <w:rFonts w:ascii="Arial" w:cs="Arial" w:eastAsia="Arial" w:hAnsi="Arial"/>
          <w:sz w:val="16"/>
          <w:szCs w:val="16"/>
          <w:b w:val="1"/>
          <w:bCs w:val="1"/>
          <w:color w:val="auto"/>
        </w:rPr>
        <w:t>awards is capped</w:t>
      </w:r>
      <w:r>
        <w:rPr>
          <w:sz w:val="20"/>
          <w:szCs w:val="20"/>
          <w:color w:val="auto"/>
        </w:rPr>
        <w:tab/>
      </w:r>
      <w:r>
        <w:rPr>
          <w:rFonts w:ascii="Arial" w:cs="Arial" w:eastAsia="Arial" w:hAnsi="Arial"/>
          <w:sz w:val="16"/>
          <w:szCs w:val="16"/>
          <w:color w:val="auto"/>
        </w:rPr>
        <w:t>formulaic payments could distort incentives or over-emphasize short-term over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wp:posOffset>
            </wp:positionV>
            <wp:extent cx="562356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4320" w:type="dxa"/>
            <w:vAlign w:val="bottom"/>
          </w:tcPr>
          <w:p>
            <w:pPr>
              <w:ind w:left="440"/>
              <w:spacing w:after="0"/>
              <w:rPr>
                <w:sz w:val="20"/>
                <w:szCs w:val="20"/>
                <w:color w:val="auto"/>
              </w:rPr>
            </w:pPr>
            <w:r>
              <w:rPr>
                <w:rFonts w:ascii="Arial" w:cs="Arial" w:eastAsia="Arial" w:hAnsi="Arial"/>
                <w:sz w:val="16"/>
                <w:szCs w:val="16"/>
                <w:b w:val="1"/>
                <w:bCs w:val="1"/>
                <w:color w:val="auto"/>
              </w:rPr>
              <w:t>Payments under our Annual Incentive Plan are</w:t>
            </w:r>
          </w:p>
        </w:tc>
        <w:tc>
          <w:tcPr>
            <w:tcW w:w="4540" w:type="dxa"/>
            <w:vAlign w:val="bottom"/>
          </w:tcPr>
          <w:p>
            <w:pPr>
              <w:ind w:left="3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Reduces the possibility that extraordinary events or</w:t>
            </w:r>
          </w:p>
        </w:tc>
      </w:tr>
      <w:tr>
        <w:trPr>
          <w:trHeight w:val="228"/>
        </w:trPr>
        <w:tc>
          <w:tcPr>
            <w:tcW w:w="4320" w:type="dxa"/>
            <w:vAlign w:val="bottom"/>
          </w:tcPr>
          <w:p>
            <w:pPr>
              <w:ind w:left="440"/>
              <w:spacing w:after="0"/>
              <w:rPr>
                <w:sz w:val="20"/>
                <w:szCs w:val="20"/>
                <w:color w:val="auto"/>
              </w:rPr>
            </w:pPr>
            <w:r>
              <w:rPr>
                <w:rFonts w:ascii="Arial" w:cs="Arial" w:eastAsia="Arial" w:hAnsi="Arial"/>
                <w:sz w:val="16"/>
                <w:szCs w:val="16"/>
                <w:b w:val="1"/>
                <w:bCs w:val="1"/>
                <w:color w:val="auto"/>
              </w:rPr>
              <w:t>capped</w:t>
            </w:r>
          </w:p>
        </w:tc>
        <w:tc>
          <w:tcPr>
            <w:tcW w:w="4540" w:type="dxa"/>
            <w:vAlign w:val="bottom"/>
          </w:tcPr>
          <w:p>
            <w:pPr>
              <w:ind w:left="460"/>
              <w:spacing w:after="0"/>
              <w:rPr>
                <w:sz w:val="20"/>
                <w:szCs w:val="20"/>
                <w:color w:val="auto"/>
              </w:rPr>
            </w:pPr>
            <w:r>
              <w:rPr>
                <w:rFonts w:ascii="Arial" w:cs="Arial" w:eastAsia="Arial" w:hAnsi="Arial"/>
                <w:sz w:val="16"/>
                <w:szCs w:val="16"/>
                <w:color w:val="auto"/>
              </w:rPr>
              <w:t>formulaic payments could distort incentives</w:t>
            </w:r>
          </w:p>
        </w:tc>
      </w:tr>
      <w:tr>
        <w:trPr>
          <w:trHeight w:val="43"/>
        </w:trPr>
        <w:tc>
          <w:tcPr>
            <w:tcW w:w="4320" w:type="dxa"/>
            <w:vAlign w:val="bottom"/>
            <w:tcBorders>
              <w:bottom w:val="single" w:sz="8" w:color="BCBEC0"/>
            </w:tcBorders>
          </w:tcPr>
          <w:p>
            <w:pPr>
              <w:spacing w:after="0"/>
              <w:rPr>
                <w:sz w:val="3"/>
                <w:szCs w:val="3"/>
                <w:color w:val="auto"/>
              </w:rPr>
            </w:pPr>
          </w:p>
        </w:tc>
        <w:tc>
          <w:tcPr>
            <w:tcW w:w="4540" w:type="dxa"/>
            <w:vAlign w:val="bottom"/>
            <w:tcBorders>
              <w:bottom w:val="single" w:sz="8" w:color="BCBEC0"/>
            </w:tcBorders>
          </w:tcPr>
          <w:p>
            <w:pPr>
              <w:spacing w:after="0"/>
              <w:rPr>
                <w:sz w:val="3"/>
                <w:szCs w:val="3"/>
                <w:color w:val="auto"/>
              </w:rPr>
            </w:pPr>
          </w:p>
        </w:tc>
      </w:tr>
      <w:tr>
        <w:trPr>
          <w:trHeight w:val="209"/>
        </w:trPr>
        <w:tc>
          <w:tcPr>
            <w:tcW w:w="4320" w:type="dxa"/>
            <w:vAlign w:val="bottom"/>
          </w:tcPr>
          <w:p>
            <w:pPr>
              <w:ind w:left="440"/>
              <w:spacing w:after="0"/>
              <w:rPr>
                <w:sz w:val="20"/>
                <w:szCs w:val="20"/>
                <w:color w:val="auto"/>
              </w:rPr>
            </w:pPr>
            <w:r>
              <w:rPr>
                <w:rFonts w:ascii="Arial" w:cs="Arial" w:eastAsia="Arial" w:hAnsi="Arial"/>
                <w:sz w:val="16"/>
                <w:szCs w:val="16"/>
                <w:b w:val="1"/>
                <w:bCs w:val="1"/>
                <w:color w:val="auto"/>
              </w:rPr>
              <w:t>Robust stock ownership guidelines</w:t>
            </w:r>
          </w:p>
        </w:tc>
        <w:tc>
          <w:tcPr>
            <w:tcW w:w="4540" w:type="dxa"/>
            <w:vAlign w:val="bottom"/>
          </w:tcPr>
          <w:p>
            <w:pPr>
              <w:ind w:left="300"/>
              <w:spacing w:after="0"/>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Helps ensure our executives’ economic interests are</w:t>
            </w:r>
          </w:p>
        </w:tc>
      </w:tr>
      <w:tr>
        <w:trPr>
          <w:trHeight w:val="215"/>
        </w:trPr>
        <w:tc>
          <w:tcPr>
            <w:tcW w:w="4320" w:type="dxa"/>
            <w:vAlign w:val="bottom"/>
          </w:tcPr>
          <w:p>
            <w:pPr>
              <w:spacing w:after="0"/>
              <w:rPr>
                <w:sz w:val="18"/>
                <w:szCs w:val="18"/>
                <w:color w:val="auto"/>
              </w:rPr>
            </w:pPr>
          </w:p>
        </w:tc>
        <w:tc>
          <w:tcPr>
            <w:tcW w:w="4540" w:type="dxa"/>
            <w:vAlign w:val="bottom"/>
          </w:tcPr>
          <w:p>
            <w:pPr>
              <w:ind w:left="460"/>
              <w:spacing w:after="0"/>
              <w:rPr>
                <w:sz w:val="20"/>
                <w:szCs w:val="20"/>
                <w:color w:val="auto"/>
              </w:rPr>
            </w:pPr>
            <w:r>
              <w:rPr>
                <w:rFonts w:ascii="Arial" w:cs="Arial" w:eastAsia="Arial" w:hAnsi="Arial"/>
                <w:sz w:val="16"/>
                <w:szCs w:val="16"/>
                <w:color w:val="auto"/>
              </w:rPr>
              <w:t>aligned with the long-term interests of our stockholders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27305</wp:posOffset>
            </wp:positionV>
            <wp:extent cx="562356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-563880</wp:posOffset>
            </wp:positionV>
            <wp:extent cx="128270" cy="11176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8270" cy="11176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-255270</wp:posOffset>
            </wp:positionV>
            <wp:extent cx="128270" cy="11176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8270" cy="11176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69" w:lineRule="exact"/>
        <w:rPr>
          <w:sz w:val="20"/>
          <w:szCs w:val="20"/>
          <w:color w:val="auto"/>
        </w:rPr>
      </w:pPr>
    </w:p>
    <w:p>
      <w:pPr>
        <w:ind w:left="520" w:hanging="282"/>
        <w:spacing w:after="0"/>
        <w:rPr>
          <w:sz w:val="20"/>
          <w:szCs w:val="20"/>
          <w:color w:val="auto"/>
        </w:rPr>
      </w:pPr>
      <w:r>
        <w:rPr>
          <w:sz w:val="1"/>
          <w:szCs w:val="1"/>
          <w:color w:val="auto"/>
        </w:rPr>
        <w:drawing>
          <wp:inline distT="0" distB="0" distL="0" distR="0">
            <wp:extent cx="128270" cy="111125"/>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8270" cy="111125"/>
                    </a:xfrm>
                    <a:prstGeom prst="rect">
                      <a:avLst/>
                    </a:prstGeom>
                    <a:noFill/>
                    <a:ln>
                      <a:noFill/>
                    </a:ln>
                  </pic:spPr>
                </pic:pic>
              </a:graphicData>
            </a:graphic>
          </wp:inline>
        </w:drawing>
      </w:r>
      <w:r>
        <w:rPr>
          <w:rFonts w:ascii="Arial" w:cs="Arial" w:eastAsia="Arial" w:hAnsi="Arial"/>
          <w:sz w:val="16"/>
          <w:szCs w:val="16"/>
          <w:b w:val="1"/>
          <w:bCs w:val="1"/>
          <w:color w:val="auto"/>
        </w:rPr>
        <w:t xml:space="preserve"> Prohibition on hedging transactions by executive officers and their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150495</wp:posOffset>
            </wp:positionV>
            <wp:extent cx="562356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359" w:hanging="146"/>
        <w:spacing w:after="0" w:line="26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Helps ensure the alignment of interests generated by</w:t>
      </w:r>
      <w:r>
        <w:rPr>
          <w:rFonts w:ascii="Arial" w:cs="Arial" w:eastAsia="Arial" w:hAnsi="Arial"/>
          <w:sz w:val="16"/>
          <w:szCs w:val="16"/>
          <w:color w:val="F0533D"/>
        </w:rPr>
        <w:t xml:space="preserve"> </w:t>
      </w:r>
      <w:r>
        <w:rPr>
          <w:rFonts w:ascii="Arial" w:cs="Arial" w:eastAsia="Arial" w:hAnsi="Arial"/>
          <w:sz w:val="16"/>
          <w:szCs w:val="16"/>
          <w:color w:val="000000"/>
        </w:rPr>
        <w:t>our executive officers’ equity holdings is not undermined by hedging or similar transactions</w:t>
      </w:r>
    </w:p>
    <w:p>
      <w:pPr>
        <w:spacing w:after="0" w:line="50" w:lineRule="exact"/>
        <w:rPr>
          <w:sz w:val="20"/>
          <w:szCs w:val="20"/>
          <w:color w:val="auto"/>
        </w:rPr>
      </w:pPr>
    </w:p>
    <w:p>
      <w:pPr>
        <w:sectPr>
          <w:pgSz w:w="11900" w:h="16838" w:orient="portrait"/>
          <w:cols w:equalWidth="0" w:num="2">
            <w:col w:w="4320" w:space="540"/>
            <w:col w:w="4159"/>
          </w:cols>
          <w:pgMar w:left="1440" w:top="114" w:right="1440" w:bottom="1440" w:gutter="0" w:footer="0" w:header="0"/>
          <w:type w:val="continuous"/>
        </w:sectPr>
      </w:pPr>
    </w:p>
    <w:p>
      <w:pPr>
        <w:ind w:left="520" w:hanging="282"/>
        <w:spacing w:after="0"/>
        <w:rPr>
          <w:sz w:val="20"/>
          <w:szCs w:val="20"/>
          <w:color w:val="auto"/>
        </w:rPr>
      </w:pPr>
      <w:r>
        <w:rPr>
          <w:sz w:val="1"/>
          <w:szCs w:val="1"/>
          <w:color w:val="auto"/>
        </w:rPr>
        <w:drawing>
          <wp:inline distT="0" distB="0" distL="0" distR="0">
            <wp:extent cx="128270" cy="111125"/>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8270" cy="111125"/>
                    </a:xfrm>
                    <a:prstGeom prst="rect">
                      <a:avLst/>
                    </a:prstGeom>
                    <a:noFill/>
                    <a:ln>
                      <a:noFill/>
                    </a:ln>
                  </pic:spPr>
                </pic:pic>
              </a:graphicData>
            </a:graphic>
          </wp:inline>
        </w:drawing>
      </w:r>
      <w:r>
        <w:rPr>
          <w:rFonts w:ascii="Arial" w:cs="Arial" w:eastAsia="Arial" w:hAnsi="Arial"/>
          <w:sz w:val="16"/>
          <w:szCs w:val="16"/>
          <w:b w:val="1"/>
          <w:bCs w:val="1"/>
          <w:color w:val="auto"/>
        </w:rPr>
        <w:t xml:space="preserve"> Stringent clawback policies and provisions, including a policy consistent with SEC rules and NYSE listing standards, as well as an additional supplemental policy</w:t>
      </w:r>
    </w:p>
    <w:p>
      <w:pPr>
        <w:spacing w:after="0" w:line="20" w:lineRule="exact"/>
        <w:rPr>
          <w:sz w:val="20"/>
          <w:szCs w:val="20"/>
          <w:color w:val="auto"/>
        </w:rPr>
      </w:pPr>
      <w:r>
        <w:rPr>
          <w:sz w:val="20"/>
          <w:szCs w:val="20"/>
          <w:color w:val="auto"/>
        </w:rPr>
        <w:br w:type="column"/>
      </w:r>
    </w:p>
    <w:p>
      <w:pPr>
        <w:ind w:right="419" w:hanging="146"/>
        <w:spacing w:after="0" w:line="26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Deters inappropriate actions or decisions by our</w:t>
      </w:r>
      <w:r>
        <w:rPr>
          <w:rFonts w:ascii="Arial" w:cs="Arial" w:eastAsia="Arial" w:hAnsi="Arial"/>
          <w:sz w:val="16"/>
          <w:szCs w:val="16"/>
          <w:color w:val="F0533D"/>
        </w:rPr>
        <w:t xml:space="preserve"> </w:t>
      </w:r>
      <w:r>
        <w:rPr>
          <w:rFonts w:ascii="Arial" w:cs="Arial" w:eastAsia="Arial" w:hAnsi="Arial"/>
          <w:sz w:val="16"/>
          <w:szCs w:val="16"/>
          <w:color w:val="000000"/>
        </w:rPr>
        <w:t>executives by reducing the potential financial gain to be realized as a result of such actions or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117475</wp:posOffset>
            </wp:positionV>
            <wp:extent cx="562356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4260" w:space="600"/>
            <w:col w:w="4159"/>
          </w:cols>
          <w:pgMar w:left="1440" w:top="114" w:right="1440" w:bottom="1440" w:gutter="0" w:footer="0" w:header="0"/>
          <w:type w:val="continuous"/>
        </w:sectPr>
      </w:pPr>
    </w:p>
    <w:p>
      <w:pPr>
        <w:ind w:left="520" w:hanging="282"/>
        <w:spacing w:after="0"/>
        <w:rPr>
          <w:sz w:val="20"/>
          <w:szCs w:val="20"/>
          <w:color w:val="auto"/>
        </w:rPr>
      </w:pPr>
      <w:r>
        <w:rPr>
          <w:sz w:val="1"/>
          <w:szCs w:val="1"/>
          <w:color w:val="auto"/>
        </w:rPr>
        <w:drawing>
          <wp:inline distT="0" distB="0" distL="0" distR="0">
            <wp:extent cx="128270" cy="111125"/>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8270" cy="111125"/>
                    </a:xfrm>
                    <a:prstGeom prst="rect">
                      <a:avLst/>
                    </a:prstGeom>
                    <a:noFill/>
                    <a:ln>
                      <a:noFill/>
                    </a:ln>
                  </pic:spPr>
                </pic:pic>
              </a:graphicData>
            </a:graphic>
          </wp:inline>
        </w:drawing>
      </w:r>
      <w:r>
        <w:rPr>
          <w:rFonts w:ascii="Arial" w:cs="Arial" w:eastAsia="Arial" w:hAnsi="Arial"/>
          <w:sz w:val="16"/>
          <w:szCs w:val="16"/>
          <w:b w:val="1"/>
          <w:bCs w:val="1"/>
          <w:color w:val="auto"/>
        </w:rPr>
        <w:t xml:space="preserve"> Use of an independent compensation consultant that performs no other services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30480</wp:posOffset>
            </wp:positionV>
            <wp:extent cx="56235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99" w:hanging="146"/>
        <w:spacing w:after="0" w:line="286" w:lineRule="auto"/>
        <w:rPr>
          <w:sz w:val="20"/>
          <w:szCs w:val="20"/>
          <w:color w:val="auto"/>
        </w:rPr>
      </w:pPr>
      <w:r>
        <w:rPr>
          <w:rFonts w:ascii="Arial" w:cs="Arial" w:eastAsia="Arial" w:hAnsi="Arial"/>
          <w:sz w:val="16"/>
          <w:szCs w:val="16"/>
          <w:color w:val="F0533D"/>
        </w:rPr>
        <w:t>•</w:t>
      </w:r>
      <w:r>
        <w:rPr>
          <w:rFonts w:ascii="Arial" w:cs="Arial" w:eastAsia="Arial" w:hAnsi="Arial"/>
          <w:sz w:val="16"/>
          <w:szCs w:val="16"/>
          <w:color w:val="000000"/>
        </w:rPr>
        <w:t xml:space="preserve">  Helps ensure advice will not be influenced by conflicts</w:t>
      </w:r>
      <w:r>
        <w:rPr>
          <w:rFonts w:ascii="Arial" w:cs="Arial" w:eastAsia="Arial" w:hAnsi="Arial"/>
          <w:sz w:val="16"/>
          <w:szCs w:val="16"/>
          <w:color w:val="F0533D"/>
        </w:rPr>
        <w:t xml:space="preserve"> </w:t>
      </w:r>
      <w:r>
        <w:rPr>
          <w:rFonts w:ascii="Arial" w:cs="Arial" w:eastAsia="Arial" w:hAnsi="Arial"/>
          <w:sz w:val="16"/>
          <w:szCs w:val="16"/>
          <w:color w:val="000000"/>
        </w:rPr>
        <w:t>of interest</w:t>
      </w:r>
    </w:p>
    <w:p>
      <w:pPr>
        <w:spacing w:after="0" w:line="161" w:lineRule="exact"/>
        <w:rPr>
          <w:sz w:val="20"/>
          <w:szCs w:val="20"/>
          <w:color w:val="auto"/>
        </w:rPr>
      </w:pPr>
    </w:p>
    <w:p>
      <w:pPr>
        <w:sectPr>
          <w:pgSz w:w="11900" w:h="16838" w:orient="portrait"/>
          <w:cols w:equalWidth="0" w:num="2">
            <w:col w:w="4600" w:space="260"/>
            <w:col w:w="4159"/>
          </w:cols>
          <w:pgMar w:left="1440" w:top="114" w:right="1440" w:bottom="1440" w:gutter="0" w:footer="0" w:header="0"/>
          <w:type w:val="continuous"/>
        </w:sectPr>
      </w:pPr>
    </w:p>
    <w:p>
      <w:pPr>
        <w:ind w:left="80" w:right="119"/>
        <w:spacing w:after="0" w:line="267" w:lineRule="auto"/>
        <w:rPr>
          <w:sz w:val="20"/>
          <w:szCs w:val="20"/>
          <w:color w:val="auto"/>
        </w:rPr>
      </w:pPr>
      <w:r>
        <w:rPr>
          <w:rFonts w:ascii="Arial" w:cs="Arial" w:eastAsia="Arial" w:hAnsi="Arial"/>
          <w:sz w:val="17"/>
          <w:szCs w:val="17"/>
          <w:color w:val="auto"/>
        </w:rPr>
        <w:t>For these reasons, the CHC Committee concluded that the Company’s compensation programs strike an appropriate balance between short-term and long-term incentives and encourage prudent management of enterprise risk.</w:t>
      </w:r>
    </w:p>
    <w:p>
      <w:pPr>
        <w:spacing w:after="0" w:line="18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66" w:name="page67"/>
    <w:bookmarkEnd w:id="6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Compensation and Human Capital Committee Report</w:t>
      </w:r>
    </w:p>
    <w:p>
      <w:pPr>
        <w:spacing w:after="0" w:line="173" w:lineRule="exact"/>
        <w:rPr>
          <w:sz w:val="20"/>
          <w:szCs w:val="20"/>
          <w:color w:val="auto"/>
        </w:rPr>
      </w:pPr>
    </w:p>
    <w:p>
      <w:pPr>
        <w:ind w:left="80" w:right="199"/>
        <w:spacing w:after="0" w:line="241" w:lineRule="auto"/>
        <w:rPr>
          <w:sz w:val="20"/>
          <w:szCs w:val="20"/>
          <w:color w:val="auto"/>
        </w:rPr>
      </w:pPr>
      <w:r>
        <w:rPr>
          <w:rFonts w:ascii="Arial" w:cs="Arial" w:eastAsia="Arial" w:hAnsi="Arial"/>
          <w:sz w:val="17"/>
          <w:szCs w:val="17"/>
          <w:color w:val="auto"/>
        </w:rPr>
        <w:t>The Compensation and Human Capital Committee has reviewed and discussed the foregoing “Compensation Discussion and Analysis” with management. Based upon this review and discussion, the Compensation and Human Capital Committee recommended to the Board that the “Compensation Discussion and Analysis” be included in this Proxy Statement and incorporated by reference into the Company’s Annual Report on Form 10-K for the fiscal year ended March 31, 2026.</w:t>
      </w:r>
    </w:p>
    <w:p>
      <w:pPr>
        <w:spacing w:after="0" w:line="342"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SUBMITTED BY THE COMPENSATION AND HUMAN CAPITAL COMMITTEE OF THE BOARD</w:t>
      </w:r>
    </w:p>
    <w:p>
      <w:pPr>
        <w:spacing w:after="0" w:line="144" w:lineRule="exact"/>
        <w:rPr>
          <w:sz w:val="20"/>
          <w:szCs w:val="20"/>
          <w:color w:val="auto"/>
        </w:rPr>
      </w:pPr>
    </w:p>
    <w:tbl>
      <w:tblPr>
        <w:tblLayout w:type="fixed"/>
        <w:tblInd w:w="90" w:type="dxa"/>
        <w:tblCellMar>
          <w:top w:w="0" w:type="dxa"/>
          <w:left w:w="0" w:type="dxa"/>
          <w:bottom w:w="0" w:type="dxa"/>
          <w:right w:w="0" w:type="dxa"/>
        </w:tblCellMar>
      </w:tblPr>
      <w:tr>
        <w:trPr>
          <w:trHeight w:val="1848"/>
        </w:trPr>
        <w:tc>
          <w:tcPr>
            <w:tcW w:w="420" w:type="dxa"/>
            <w:vAlign w:val="bottom"/>
            <w:tcBorders>
              <w:top w:val="single" w:sz="8" w:color="F0533D"/>
              <w:left w:val="single" w:sz="8" w:color="F0533D"/>
            </w:tcBorders>
            <w:shd w:val="clear" w:color="auto" w:fill="F1F2F2"/>
          </w:tcPr>
          <w:p>
            <w:pPr>
              <w:ind w:left="280"/>
              <w:spacing w:after="0"/>
              <w:rPr>
                <w:sz w:val="20"/>
                <w:szCs w:val="20"/>
                <w:color w:val="auto"/>
              </w:rPr>
            </w:pPr>
            <w:r>
              <w:rPr>
                <w:rFonts w:ascii="Arial" w:cs="Arial" w:eastAsia="Arial" w:hAnsi="Arial"/>
                <w:sz w:val="14"/>
                <w:szCs w:val="14"/>
                <w:color w:val="auto"/>
              </w:rPr>
              <w:t> </w:t>
            </w:r>
          </w:p>
        </w:tc>
        <w:tc>
          <w:tcPr>
            <w:tcW w:w="2260" w:type="dxa"/>
            <w:vAlign w:val="bottom"/>
            <w:tcBorders>
              <w:top w:val="single" w:sz="8" w:color="F0533D"/>
            </w:tcBorders>
            <w:shd w:val="clear" w:color="auto" w:fill="F1F2F2"/>
          </w:tcPr>
          <w:p>
            <w:pPr>
              <w:spacing w:after="0"/>
              <w:rPr>
                <w:sz w:val="24"/>
                <w:szCs w:val="24"/>
                <w:color w:val="auto"/>
              </w:rPr>
            </w:pPr>
          </w:p>
        </w:tc>
        <w:tc>
          <w:tcPr>
            <w:tcW w:w="860" w:type="dxa"/>
            <w:vAlign w:val="bottom"/>
            <w:tcBorders>
              <w:top w:val="single" w:sz="8" w:color="F0533D"/>
            </w:tcBorders>
            <w:shd w:val="clear" w:color="auto" w:fill="F1F2F2"/>
          </w:tcPr>
          <w:p>
            <w:pPr>
              <w:ind w:left="480"/>
              <w:spacing w:after="0"/>
              <w:rPr>
                <w:sz w:val="20"/>
                <w:szCs w:val="20"/>
                <w:color w:val="auto"/>
              </w:rPr>
            </w:pPr>
            <w:r>
              <w:rPr>
                <w:rFonts w:ascii="Arial" w:cs="Arial" w:eastAsia="Arial" w:hAnsi="Arial"/>
                <w:sz w:val="14"/>
                <w:szCs w:val="14"/>
                <w:b w:val="1"/>
                <w:bCs w:val="1"/>
                <w:color w:val="auto"/>
              </w:rPr>
              <w:t> </w:t>
            </w:r>
          </w:p>
        </w:tc>
        <w:tc>
          <w:tcPr>
            <w:tcW w:w="2020" w:type="dxa"/>
            <w:vAlign w:val="bottom"/>
            <w:tcBorders>
              <w:top w:val="single" w:sz="8" w:color="F0533D"/>
            </w:tcBorders>
            <w:shd w:val="clear" w:color="auto" w:fill="F1F2F2"/>
          </w:tcPr>
          <w:p>
            <w:pPr>
              <w:spacing w:after="0"/>
              <w:rPr>
                <w:sz w:val="24"/>
                <w:szCs w:val="24"/>
                <w:color w:val="auto"/>
              </w:rPr>
            </w:pPr>
          </w:p>
        </w:tc>
        <w:tc>
          <w:tcPr>
            <w:tcW w:w="3300" w:type="dxa"/>
            <w:vAlign w:val="bottom"/>
            <w:tcBorders>
              <w:top w:val="single" w:sz="8" w:color="F0533D"/>
            </w:tcBorders>
            <w:shd w:val="clear" w:color="auto" w:fill="F1F2F2"/>
          </w:tcPr>
          <w:p>
            <w:pPr>
              <w:ind w:left="600"/>
              <w:spacing w:after="0"/>
              <w:rPr>
                <w:sz w:val="20"/>
                <w:szCs w:val="20"/>
                <w:color w:val="auto"/>
              </w:rPr>
            </w:pPr>
            <w:r>
              <w:rPr>
                <w:rFonts w:ascii="Arial" w:cs="Arial" w:eastAsia="Arial" w:hAnsi="Arial"/>
                <w:sz w:val="14"/>
                <w:szCs w:val="14"/>
                <w:b w:val="1"/>
                <w:bCs w:val="1"/>
                <w:color w:val="auto"/>
              </w:rPr>
              <w:t> </w:t>
            </w:r>
          </w:p>
        </w:tc>
      </w:tr>
      <w:tr>
        <w:trPr>
          <w:trHeight w:val="258"/>
        </w:trPr>
        <w:tc>
          <w:tcPr>
            <w:tcW w:w="420" w:type="dxa"/>
            <w:vAlign w:val="bottom"/>
            <w:tcBorders>
              <w:left w:val="single" w:sz="8" w:color="F0533D"/>
            </w:tcBorders>
            <w:shd w:val="clear" w:color="auto" w:fill="F1F2F2"/>
          </w:tcPr>
          <w:p>
            <w:pPr>
              <w:spacing w:after="0"/>
              <w:rPr>
                <w:sz w:val="22"/>
                <w:szCs w:val="22"/>
                <w:color w:val="auto"/>
              </w:rPr>
            </w:pPr>
          </w:p>
        </w:tc>
        <w:tc>
          <w:tcPr>
            <w:tcW w:w="2260" w:type="dxa"/>
            <w:vAlign w:val="bottom"/>
            <w:shd w:val="clear" w:color="auto" w:fill="F1F2F2"/>
          </w:tcPr>
          <w:p>
            <w:pPr>
              <w:ind w:left="120"/>
              <w:spacing w:after="0"/>
              <w:rPr>
                <w:sz w:val="20"/>
                <w:szCs w:val="20"/>
                <w:color w:val="auto"/>
              </w:rPr>
            </w:pPr>
            <w:r>
              <w:rPr>
                <w:rFonts w:ascii="Arial" w:cs="Arial" w:eastAsia="Arial" w:hAnsi="Arial"/>
                <w:sz w:val="14"/>
                <w:szCs w:val="14"/>
                <w:b w:val="1"/>
                <w:bCs w:val="1"/>
                <w:color w:val="auto"/>
              </w:rPr>
              <w:t>JANA SCHREUDER, Chair</w:t>
            </w:r>
          </w:p>
        </w:tc>
        <w:tc>
          <w:tcPr>
            <w:tcW w:w="860" w:type="dxa"/>
            <w:vAlign w:val="bottom"/>
            <w:shd w:val="clear" w:color="auto" w:fill="F1F2F2"/>
          </w:tcPr>
          <w:p>
            <w:pPr>
              <w:spacing w:after="0"/>
              <w:rPr>
                <w:sz w:val="22"/>
                <w:szCs w:val="22"/>
                <w:color w:val="auto"/>
              </w:rPr>
            </w:pPr>
          </w:p>
        </w:tc>
        <w:tc>
          <w:tcPr>
            <w:tcW w:w="2020" w:type="dxa"/>
            <w:vAlign w:val="bottom"/>
            <w:shd w:val="clear" w:color="auto" w:fill="F1F2F2"/>
          </w:tcPr>
          <w:p>
            <w:pPr>
              <w:ind w:left="340"/>
              <w:spacing w:after="0"/>
              <w:rPr>
                <w:sz w:val="20"/>
                <w:szCs w:val="20"/>
                <w:color w:val="auto"/>
              </w:rPr>
            </w:pPr>
            <w:r>
              <w:rPr>
                <w:rFonts w:ascii="Arial" w:cs="Arial" w:eastAsia="Arial" w:hAnsi="Arial"/>
                <w:sz w:val="14"/>
                <w:szCs w:val="14"/>
                <w:b w:val="1"/>
                <w:bCs w:val="1"/>
                <w:color w:val="auto"/>
              </w:rPr>
              <w:t>JANINA KUGEL</w:t>
            </w:r>
          </w:p>
        </w:tc>
        <w:tc>
          <w:tcPr>
            <w:tcW w:w="3300" w:type="dxa"/>
            <w:vAlign w:val="bottom"/>
            <w:shd w:val="clear" w:color="auto" w:fill="F1F2F2"/>
          </w:tcPr>
          <w:p>
            <w:pPr>
              <w:ind w:left="920"/>
              <w:spacing w:after="0"/>
              <w:rPr>
                <w:sz w:val="20"/>
                <w:szCs w:val="20"/>
                <w:color w:val="auto"/>
              </w:rPr>
            </w:pPr>
            <w:r>
              <w:rPr>
                <w:rFonts w:ascii="Arial" w:cs="Arial" w:eastAsia="Arial" w:hAnsi="Arial"/>
                <w:sz w:val="14"/>
                <w:szCs w:val="14"/>
                <w:b w:val="1"/>
                <w:bCs w:val="1"/>
                <w:color w:val="auto"/>
              </w:rPr>
              <w:t>HOWARD I. UNGERLEIDER</w:t>
            </w:r>
          </w:p>
        </w:tc>
      </w:tr>
      <w:tr>
        <w:trPr>
          <w:trHeight w:val="108"/>
        </w:trPr>
        <w:tc>
          <w:tcPr>
            <w:tcW w:w="420" w:type="dxa"/>
            <w:vAlign w:val="bottom"/>
            <w:tcBorders>
              <w:left w:val="single" w:sz="8" w:color="F0533D"/>
            </w:tcBorders>
            <w:shd w:val="clear" w:color="auto" w:fill="F1F2F2"/>
          </w:tcPr>
          <w:p>
            <w:pPr>
              <w:spacing w:after="0"/>
              <w:rPr>
                <w:sz w:val="9"/>
                <w:szCs w:val="9"/>
                <w:color w:val="auto"/>
              </w:rPr>
            </w:pPr>
          </w:p>
        </w:tc>
        <w:tc>
          <w:tcPr>
            <w:tcW w:w="2260" w:type="dxa"/>
            <w:vAlign w:val="bottom"/>
            <w:shd w:val="clear" w:color="auto" w:fill="F1F2F2"/>
          </w:tcPr>
          <w:p>
            <w:pPr>
              <w:spacing w:after="0"/>
              <w:rPr>
                <w:sz w:val="9"/>
                <w:szCs w:val="9"/>
                <w:color w:val="auto"/>
              </w:rPr>
            </w:pPr>
          </w:p>
        </w:tc>
        <w:tc>
          <w:tcPr>
            <w:tcW w:w="860" w:type="dxa"/>
            <w:vAlign w:val="bottom"/>
            <w:shd w:val="clear" w:color="auto" w:fill="F1F2F2"/>
          </w:tcPr>
          <w:p>
            <w:pPr>
              <w:spacing w:after="0"/>
              <w:rPr>
                <w:sz w:val="9"/>
                <w:szCs w:val="9"/>
                <w:color w:val="auto"/>
              </w:rPr>
            </w:pPr>
          </w:p>
        </w:tc>
        <w:tc>
          <w:tcPr>
            <w:tcW w:w="2020" w:type="dxa"/>
            <w:vAlign w:val="bottom"/>
            <w:shd w:val="clear" w:color="auto" w:fill="F1F2F2"/>
          </w:tcPr>
          <w:p>
            <w:pPr>
              <w:spacing w:after="0"/>
              <w:rPr>
                <w:sz w:val="9"/>
                <w:szCs w:val="9"/>
                <w:color w:val="auto"/>
              </w:rPr>
            </w:pPr>
          </w:p>
        </w:tc>
        <w:tc>
          <w:tcPr>
            <w:tcW w:w="3300" w:type="dxa"/>
            <w:vAlign w:val="bottom"/>
            <w:shd w:val="clear" w:color="auto" w:fill="F1F2F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-1294130</wp:posOffset>
            </wp:positionV>
            <wp:extent cx="942975" cy="94297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942975" cy="94297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-1294130</wp:posOffset>
            </wp:positionV>
            <wp:extent cx="942975" cy="9429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942975" cy="94297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-1294130</wp:posOffset>
            </wp:positionV>
            <wp:extent cx="942975" cy="94297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62 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7" w:name="page68"/>
    <w:bookmarkEnd w:id="6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Summary Compensation Table</w:t>
      </w:r>
    </w:p>
    <w:p>
      <w:pPr>
        <w:spacing w:after="0" w:line="173" w:lineRule="exact"/>
        <w:rPr>
          <w:sz w:val="20"/>
          <w:szCs w:val="20"/>
          <w:color w:val="auto"/>
        </w:rPr>
      </w:pPr>
    </w:p>
    <w:p>
      <w:pPr>
        <w:ind w:left="80" w:right="99"/>
        <w:spacing w:after="0" w:line="247"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or paid to each of our NEOs for the fiscal years presented in accordance with SEC rules.</w:t>
      </w:r>
    </w:p>
    <w:tbl>
      <w:tblPr>
        <w:tblLayout w:type="fixed"/>
        <w:tblInd w:w="80" w:type="dxa"/>
        <w:tblCellMar>
          <w:top w:w="0" w:type="dxa"/>
          <w:left w:w="0" w:type="dxa"/>
          <w:bottom w:w="0" w:type="dxa"/>
          <w:right w:w="0" w:type="dxa"/>
        </w:tblCellMar>
      </w:tblPr>
      <w:tr>
        <w:trPr>
          <w:trHeight w:val="137"/>
        </w:trPr>
        <w:tc>
          <w:tcPr>
            <w:tcW w:w="2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0" w:type="dxa"/>
            <w:vAlign w:val="bottom"/>
          </w:tcPr>
          <w:p>
            <w:pPr>
              <w:jc w:val="center"/>
              <w:spacing w:after="0" w:line="137" w:lineRule="exact"/>
              <w:rPr>
                <w:sz w:val="20"/>
                <w:szCs w:val="20"/>
                <w:color w:val="auto"/>
              </w:rPr>
            </w:pPr>
            <w:r>
              <w:rPr>
                <w:rFonts w:ascii="Arial" w:cs="Arial" w:eastAsia="Arial" w:hAnsi="Arial"/>
                <w:sz w:val="13"/>
                <w:szCs w:val="13"/>
                <w:b w:val="1"/>
                <w:bCs w:val="1"/>
                <w:color w:val="F0533D"/>
              </w:rPr>
              <w:t>Change in</w:t>
            </w:r>
          </w:p>
        </w:tc>
        <w:tc>
          <w:tcPr>
            <w:tcW w:w="10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w w:val="98"/>
              </w:rPr>
              <w:t>Pension</w:t>
            </w: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Value and</w:t>
            </w: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Non-Equity</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Nonqualified</w:t>
            </w: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Incentive</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Deferred</w:t>
            </w: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20" w:type="dxa"/>
            <w:vAlign w:val="bottom"/>
          </w:tcPr>
          <w:p>
            <w:pPr>
              <w:ind w:left="140"/>
              <w:spacing w:after="0"/>
              <w:rPr>
                <w:sz w:val="20"/>
                <w:szCs w:val="20"/>
                <w:color w:val="auto"/>
              </w:rPr>
            </w:pPr>
            <w:r>
              <w:rPr>
                <w:rFonts w:ascii="Arial" w:cs="Arial" w:eastAsia="Arial" w:hAnsi="Arial"/>
                <w:sz w:val="13"/>
                <w:szCs w:val="13"/>
                <w:b w:val="1"/>
                <w:bCs w:val="1"/>
                <w:color w:val="F0533D"/>
              </w:rPr>
              <w:t>Name and</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F0533D"/>
              </w:rPr>
              <w:t>Stock</w:t>
            </w:r>
          </w:p>
        </w:tc>
        <w:tc>
          <w:tcPr>
            <w:tcW w:w="560" w:type="dxa"/>
            <w:vAlign w:val="bottom"/>
          </w:tcPr>
          <w:p>
            <w:pPr>
              <w:ind w:left="60"/>
              <w:spacing w:after="0"/>
              <w:rPr>
                <w:sz w:val="20"/>
                <w:szCs w:val="20"/>
                <w:color w:val="auto"/>
              </w:rPr>
            </w:pPr>
            <w:r>
              <w:rPr>
                <w:rFonts w:ascii="Arial" w:cs="Arial" w:eastAsia="Arial" w:hAnsi="Arial"/>
                <w:sz w:val="13"/>
                <w:szCs w:val="13"/>
                <w:b w:val="1"/>
                <w:bCs w:val="1"/>
                <w:color w:val="F0533D"/>
              </w:rPr>
              <w:t>Option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Plan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Compensation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All Other</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40"/>
              <w:spacing w:after="0"/>
              <w:rPr>
                <w:sz w:val="20"/>
                <w:szCs w:val="20"/>
                <w:color w:val="auto"/>
              </w:rPr>
            </w:pPr>
            <w:r>
              <w:rPr>
                <w:rFonts w:ascii="Arial" w:cs="Arial" w:eastAsia="Arial" w:hAnsi="Arial"/>
                <w:sz w:val="13"/>
                <w:szCs w:val="13"/>
                <w:b w:val="1"/>
                <w:bCs w:val="1"/>
                <w:color w:val="F0533D"/>
              </w:rPr>
              <w:t>Principal</w:t>
            </w:r>
          </w:p>
        </w:tc>
        <w:tc>
          <w:tcPr>
            <w:tcW w:w="380" w:type="dxa"/>
            <w:vAlign w:val="bottom"/>
          </w:tcPr>
          <w:p>
            <w:pPr>
              <w:spacing w:after="0"/>
              <w:rPr>
                <w:sz w:val="12"/>
                <w:szCs w:val="12"/>
                <w:color w:val="auto"/>
              </w:rPr>
            </w:pPr>
          </w:p>
        </w:tc>
        <w:tc>
          <w:tcPr>
            <w:tcW w:w="680" w:type="dxa"/>
            <w:vAlign w:val="bottom"/>
          </w:tcPr>
          <w:p>
            <w:pPr>
              <w:jc w:val="right"/>
              <w:ind w:right="94"/>
              <w:spacing w:after="0"/>
              <w:rPr>
                <w:sz w:val="20"/>
                <w:szCs w:val="20"/>
                <w:color w:val="auto"/>
              </w:rPr>
            </w:pPr>
            <w:r>
              <w:rPr>
                <w:rFonts w:ascii="Arial" w:cs="Arial" w:eastAsia="Arial" w:hAnsi="Arial"/>
                <w:sz w:val="13"/>
                <w:szCs w:val="13"/>
                <w:b w:val="1"/>
                <w:bCs w:val="1"/>
                <w:color w:val="F0533D"/>
              </w:rPr>
              <w:t>Salary</w:t>
            </w:r>
          </w:p>
        </w:tc>
        <w:tc>
          <w:tcPr>
            <w:tcW w:w="560" w:type="dxa"/>
            <w:vAlign w:val="bottom"/>
          </w:tcPr>
          <w:p>
            <w:pPr>
              <w:jc w:val="right"/>
              <w:ind w:right="14"/>
              <w:spacing w:after="0"/>
              <w:rPr>
                <w:sz w:val="20"/>
                <w:szCs w:val="20"/>
                <w:color w:val="auto"/>
              </w:rPr>
            </w:pPr>
            <w:r>
              <w:rPr>
                <w:rFonts w:ascii="Arial" w:cs="Arial" w:eastAsia="Arial" w:hAnsi="Arial"/>
                <w:sz w:val="13"/>
                <w:szCs w:val="13"/>
                <w:b w:val="1"/>
                <w:bCs w:val="1"/>
                <w:color w:val="F0533D"/>
              </w:rPr>
              <w:t>Bonus</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F0533D"/>
              </w:rPr>
              <w:t>Awards</w:t>
            </w:r>
          </w:p>
        </w:tc>
        <w:tc>
          <w:tcPr>
            <w:tcW w:w="560" w:type="dxa"/>
            <w:vAlign w:val="bottom"/>
          </w:tcPr>
          <w:p>
            <w:pPr>
              <w:ind w:left="60"/>
              <w:spacing w:after="0"/>
              <w:rPr>
                <w:sz w:val="20"/>
                <w:szCs w:val="20"/>
                <w:color w:val="auto"/>
              </w:rPr>
            </w:pPr>
            <w:r>
              <w:rPr>
                <w:rFonts w:ascii="Arial" w:cs="Arial" w:eastAsia="Arial" w:hAnsi="Arial"/>
                <w:sz w:val="13"/>
                <w:szCs w:val="13"/>
                <w:b w:val="1"/>
                <w:bCs w:val="1"/>
                <w:color w:val="F0533D"/>
              </w:rPr>
              <w:t>Awards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Compensation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Earnings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F0533D"/>
              </w:rPr>
              <w:t>Compensation</w:t>
            </w:r>
          </w:p>
        </w:tc>
        <w:tc>
          <w:tcPr>
            <w:tcW w:w="820" w:type="dxa"/>
            <w:vAlign w:val="bottom"/>
          </w:tcPr>
          <w:p>
            <w:pPr>
              <w:jc w:val="right"/>
              <w:ind w:right="254"/>
              <w:spacing w:after="0"/>
              <w:rPr>
                <w:sz w:val="20"/>
                <w:szCs w:val="20"/>
                <w:color w:val="auto"/>
              </w:rPr>
            </w:pPr>
            <w:r>
              <w:rPr>
                <w:rFonts w:ascii="Arial" w:cs="Arial" w:eastAsia="Arial" w:hAnsi="Arial"/>
                <w:sz w:val="13"/>
                <w:szCs w:val="13"/>
                <w:b w:val="1"/>
                <w:bCs w:val="1"/>
                <w:color w:val="F0533D"/>
              </w:rPr>
              <w:t>Total</w:t>
            </w:r>
          </w:p>
        </w:tc>
        <w:tc>
          <w:tcPr>
            <w:tcW w:w="0" w:type="dxa"/>
            <w:vAlign w:val="bottom"/>
          </w:tcPr>
          <w:p>
            <w:pPr>
              <w:spacing w:after="0"/>
              <w:rPr>
                <w:sz w:val="1"/>
                <w:szCs w:val="1"/>
                <w:color w:val="auto"/>
              </w:rPr>
            </w:pPr>
          </w:p>
        </w:tc>
      </w:tr>
      <w:tr>
        <w:trPr>
          <w:trHeight w:val="203"/>
        </w:trPr>
        <w:tc>
          <w:tcPr>
            <w:tcW w:w="2120" w:type="dxa"/>
            <w:vAlign w:val="bottom"/>
            <w:tcBorders>
              <w:bottom w:val="single" w:sz="8" w:color="F0533D"/>
            </w:tcBorders>
          </w:tcPr>
          <w:p>
            <w:pPr>
              <w:ind w:left="140"/>
              <w:spacing w:after="0"/>
              <w:rPr>
                <w:sz w:val="20"/>
                <w:szCs w:val="20"/>
                <w:color w:val="auto"/>
              </w:rPr>
            </w:pPr>
            <w:r>
              <w:rPr>
                <w:rFonts w:ascii="Arial" w:cs="Arial" w:eastAsia="Arial" w:hAnsi="Arial"/>
                <w:sz w:val="13"/>
                <w:szCs w:val="13"/>
                <w:b w:val="1"/>
                <w:bCs w:val="1"/>
                <w:color w:val="F0533D"/>
              </w:rPr>
              <w:t>Position</w:t>
            </w:r>
          </w:p>
        </w:tc>
        <w:tc>
          <w:tcPr>
            <w:tcW w:w="380" w:type="dxa"/>
            <w:vAlign w:val="bottom"/>
            <w:tcBorders>
              <w:bottom w:val="single" w:sz="8" w:color="F0533D"/>
            </w:tcBorders>
          </w:tcPr>
          <w:p>
            <w:pPr>
              <w:jc w:val="right"/>
              <w:spacing w:after="0"/>
              <w:rPr>
                <w:sz w:val="20"/>
                <w:szCs w:val="20"/>
                <w:color w:val="auto"/>
              </w:rPr>
            </w:pPr>
            <w:r>
              <w:rPr>
                <w:rFonts w:ascii="Arial" w:cs="Arial" w:eastAsia="Arial" w:hAnsi="Arial"/>
                <w:sz w:val="13"/>
                <w:szCs w:val="13"/>
                <w:b w:val="1"/>
                <w:bCs w:val="1"/>
                <w:color w:val="F0533D"/>
              </w:rPr>
              <w:t>Year</w:t>
            </w:r>
          </w:p>
        </w:tc>
        <w:tc>
          <w:tcPr>
            <w:tcW w:w="680" w:type="dxa"/>
            <w:vAlign w:val="bottom"/>
            <w:tcBorders>
              <w:bottom w:val="single" w:sz="8" w:color="F0533D"/>
            </w:tcBorders>
          </w:tcPr>
          <w:p>
            <w:pPr>
              <w:jc w:val="right"/>
              <w:ind w:right="114"/>
              <w:spacing w:after="0" w:line="203" w:lineRule="exact"/>
              <w:rPr>
                <w:sz w:val="20"/>
                <w:szCs w:val="20"/>
                <w:color w:val="auto"/>
              </w:rPr>
            </w:pPr>
            <w:r>
              <w:rPr>
                <w:rFonts w:ascii="Arial" w:cs="Arial" w:eastAsia="Arial" w:hAnsi="Arial"/>
                <w:sz w:val="13"/>
                <w:szCs w:val="13"/>
                <w:b w:val="1"/>
                <w:bCs w:val="1"/>
                <w:color w:val="F0533D"/>
              </w:rPr>
              <w:t>($)</w:t>
            </w:r>
            <w:r>
              <w:rPr>
                <w:rFonts w:ascii="Arial" w:cs="Arial" w:eastAsia="Arial" w:hAnsi="Arial"/>
                <w:sz w:val="21"/>
                <w:szCs w:val="21"/>
                <w:b w:val="1"/>
                <w:bCs w:val="1"/>
                <w:color w:val="F0533D"/>
                <w:vertAlign w:val="superscript"/>
              </w:rPr>
              <w:t>(1)</w:t>
            </w:r>
          </w:p>
        </w:tc>
        <w:tc>
          <w:tcPr>
            <w:tcW w:w="560" w:type="dxa"/>
            <w:vAlign w:val="bottom"/>
            <w:tcBorders>
              <w:bottom w:val="single" w:sz="8" w:color="F0533D"/>
            </w:tcBorders>
          </w:tcPr>
          <w:p>
            <w:pPr>
              <w:jc w:val="right"/>
              <w:ind w:right="54"/>
              <w:spacing w:after="0" w:line="203" w:lineRule="exact"/>
              <w:rPr>
                <w:sz w:val="20"/>
                <w:szCs w:val="20"/>
                <w:color w:val="auto"/>
              </w:rPr>
            </w:pPr>
            <w:r>
              <w:rPr>
                <w:rFonts w:ascii="Arial" w:cs="Arial" w:eastAsia="Arial" w:hAnsi="Arial"/>
                <w:sz w:val="13"/>
                <w:szCs w:val="13"/>
                <w:b w:val="1"/>
                <w:bCs w:val="1"/>
                <w:color w:val="F0533D"/>
              </w:rPr>
              <w:t>($)</w:t>
            </w:r>
            <w:r>
              <w:rPr>
                <w:rFonts w:ascii="Arial" w:cs="Arial" w:eastAsia="Arial" w:hAnsi="Arial"/>
                <w:sz w:val="21"/>
                <w:szCs w:val="21"/>
                <w:b w:val="1"/>
                <w:bCs w:val="1"/>
                <w:color w:val="F0533D"/>
                <w:vertAlign w:val="superscript"/>
              </w:rPr>
              <w:t>(2)</w:t>
            </w:r>
          </w:p>
        </w:tc>
        <w:tc>
          <w:tcPr>
            <w:tcW w:w="740" w:type="dxa"/>
            <w:vAlign w:val="bottom"/>
            <w:tcBorders>
              <w:bottom w:val="single" w:sz="8" w:color="F0533D"/>
            </w:tcBorders>
          </w:tcPr>
          <w:p>
            <w:pPr>
              <w:jc w:val="center"/>
              <w:spacing w:after="0" w:line="203" w:lineRule="exact"/>
              <w:rPr>
                <w:sz w:val="20"/>
                <w:szCs w:val="20"/>
                <w:color w:val="auto"/>
              </w:rPr>
            </w:pPr>
            <w:r>
              <w:rPr>
                <w:rFonts w:ascii="Arial" w:cs="Arial" w:eastAsia="Arial" w:hAnsi="Arial"/>
                <w:sz w:val="13"/>
                <w:szCs w:val="13"/>
                <w:b w:val="1"/>
                <w:bCs w:val="1"/>
                <w:color w:val="F0533D"/>
                <w:w w:val="84"/>
              </w:rPr>
              <w:t>($)</w:t>
            </w:r>
            <w:r>
              <w:rPr>
                <w:rFonts w:ascii="Arial" w:cs="Arial" w:eastAsia="Arial" w:hAnsi="Arial"/>
                <w:sz w:val="21"/>
                <w:szCs w:val="21"/>
                <w:b w:val="1"/>
                <w:bCs w:val="1"/>
                <w:color w:val="F0533D"/>
                <w:w w:val="84"/>
                <w:vertAlign w:val="superscript"/>
              </w:rPr>
              <w:t>(3)</w:t>
            </w:r>
          </w:p>
        </w:tc>
        <w:tc>
          <w:tcPr>
            <w:tcW w:w="5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1000" w:type="dxa"/>
            <w:vAlign w:val="bottom"/>
            <w:tcBorders>
              <w:bottom w:val="single" w:sz="8" w:color="F0533D"/>
            </w:tcBorders>
          </w:tcPr>
          <w:p>
            <w:pPr>
              <w:jc w:val="center"/>
              <w:spacing w:after="0" w:line="203" w:lineRule="exact"/>
              <w:rPr>
                <w:sz w:val="20"/>
                <w:szCs w:val="20"/>
                <w:color w:val="auto"/>
              </w:rPr>
            </w:pPr>
            <w:r>
              <w:rPr>
                <w:rFonts w:ascii="Arial" w:cs="Arial" w:eastAsia="Arial" w:hAnsi="Arial"/>
                <w:sz w:val="13"/>
                <w:szCs w:val="13"/>
                <w:b w:val="1"/>
                <w:bCs w:val="1"/>
                <w:color w:val="F0533D"/>
                <w:w w:val="90"/>
              </w:rPr>
              <w:t>($)</w:t>
            </w:r>
            <w:r>
              <w:rPr>
                <w:rFonts w:ascii="Arial" w:cs="Arial" w:eastAsia="Arial" w:hAnsi="Arial"/>
                <w:sz w:val="21"/>
                <w:szCs w:val="21"/>
                <w:b w:val="1"/>
                <w:bCs w:val="1"/>
                <w:color w:val="F0533D"/>
                <w:w w:val="90"/>
                <w:vertAlign w:val="superscript"/>
              </w:rPr>
              <w:t>(4)</w:t>
            </w:r>
          </w:p>
        </w:tc>
        <w:tc>
          <w:tcPr>
            <w:tcW w:w="1000" w:type="dxa"/>
            <w:vAlign w:val="bottom"/>
            <w:tcBorders>
              <w:bottom w:val="single" w:sz="8" w:color="F0533D"/>
            </w:tcBorders>
          </w:tcPr>
          <w:p>
            <w:pPr>
              <w:jc w:val="center"/>
              <w:spacing w:after="0" w:line="203" w:lineRule="exact"/>
              <w:rPr>
                <w:sz w:val="20"/>
                <w:szCs w:val="20"/>
                <w:color w:val="auto"/>
              </w:rPr>
            </w:pPr>
            <w:r>
              <w:rPr>
                <w:rFonts w:ascii="Arial" w:cs="Arial" w:eastAsia="Arial" w:hAnsi="Arial"/>
                <w:sz w:val="13"/>
                <w:szCs w:val="13"/>
                <w:b w:val="1"/>
                <w:bCs w:val="1"/>
                <w:color w:val="F0533D"/>
                <w:w w:val="90"/>
              </w:rPr>
              <w:t>($)</w:t>
            </w:r>
            <w:r>
              <w:rPr>
                <w:rFonts w:ascii="Arial" w:cs="Arial" w:eastAsia="Arial" w:hAnsi="Arial"/>
                <w:sz w:val="21"/>
                <w:szCs w:val="21"/>
                <w:b w:val="1"/>
                <w:bCs w:val="1"/>
                <w:color w:val="F0533D"/>
                <w:w w:val="90"/>
                <w:vertAlign w:val="superscript"/>
              </w:rPr>
              <w:t>(5)</w:t>
            </w:r>
          </w:p>
        </w:tc>
        <w:tc>
          <w:tcPr>
            <w:tcW w:w="1000" w:type="dxa"/>
            <w:vAlign w:val="bottom"/>
            <w:tcBorders>
              <w:bottom w:val="single" w:sz="8" w:color="F0533D"/>
            </w:tcBorders>
          </w:tcPr>
          <w:p>
            <w:pPr>
              <w:jc w:val="center"/>
              <w:spacing w:after="0" w:line="203" w:lineRule="exact"/>
              <w:rPr>
                <w:sz w:val="20"/>
                <w:szCs w:val="20"/>
                <w:color w:val="auto"/>
              </w:rPr>
            </w:pPr>
            <w:r>
              <w:rPr>
                <w:rFonts w:ascii="Arial" w:cs="Arial" w:eastAsia="Arial" w:hAnsi="Arial"/>
                <w:sz w:val="13"/>
                <w:szCs w:val="13"/>
                <w:b w:val="1"/>
                <w:bCs w:val="1"/>
                <w:color w:val="F0533D"/>
                <w:w w:val="84"/>
              </w:rPr>
              <w:t>($)</w:t>
            </w:r>
            <w:r>
              <w:rPr>
                <w:rFonts w:ascii="Arial" w:cs="Arial" w:eastAsia="Arial" w:hAnsi="Arial"/>
                <w:sz w:val="21"/>
                <w:szCs w:val="21"/>
                <w:b w:val="1"/>
                <w:bCs w:val="1"/>
                <w:color w:val="F0533D"/>
                <w:w w:val="84"/>
                <w:vertAlign w:val="superscript"/>
              </w:rPr>
              <w:t>(6)</w:t>
            </w:r>
          </w:p>
        </w:tc>
        <w:tc>
          <w:tcPr>
            <w:tcW w:w="820" w:type="dxa"/>
            <w:vAlign w:val="bottom"/>
            <w:tcBorders>
              <w:bottom w:val="single" w:sz="8" w:color="F0533D"/>
            </w:tcBorders>
          </w:tcPr>
          <w:p>
            <w:pPr>
              <w:jc w:val="right"/>
              <w:ind w:right="294"/>
              <w:spacing w:after="0"/>
              <w:rPr>
                <w:sz w:val="20"/>
                <w:szCs w:val="20"/>
                <w:color w:val="auto"/>
              </w:rPr>
            </w:pPr>
            <w:r>
              <w:rPr>
                <w:rFonts w:ascii="Arial" w:cs="Arial" w:eastAsia="Arial" w:hAnsi="Arial"/>
                <w:sz w:val="13"/>
                <w:szCs w:val="13"/>
                <w:b w:val="1"/>
                <w:bCs w:val="1"/>
                <w:color w:val="F0533D"/>
              </w:rPr>
              <w:t>($)</w:t>
            </w:r>
          </w:p>
        </w:tc>
        <w:tc>
          <w:tcPr>
            <w:tcW w:w="0" w:type="dxa"/>
            <w:vAlign w:val="bottom"/>
          </w:tcPr>
          <w:p>
            <w:pPr>
              <w:spacing w:after="0"/>
              <w:rPr>
                <w:sz w:val="1"/>
                <w:szCs w:val="1"/>
                <w:color w:val="auto"/>
              </w:rPr>
            </w:pPr>
          </w:p>
        </w:tc>
      </w:tr>
      <w:tr>
        <w:trPr>
          <w:trHeight w:val="160"/>
        </w:trPr>
        <w:tc>
          <w:tcPr>
            <w:tcW w:w="2120" w:type="dxa"/>
            <w:vAlign w:val="bottom"/>
          </w:tcPr>
          <w:p>
            <w:pPr>
              <w:ind w:left="140"/>
              <w:spacing w:after="0"/>
              <w:rPr>
                <w:sz w:val="20"/>
                <w:szCs w:val="20"/>
                <w:color w:val="auto"/>
              </w:rPr>
            </w:pPr>
            <w:r>
              <w:rPr>
                <w:rFonts w:ascii="Arial" w:cs="Arial" w:eastAsia="Arial" w:hAnsi="Arial"/>
                <w:sz w:val="13"/>
                <w:szCs w:val="13"/>
                <w:color w:val="auto"/>
              </w:rPr>
              <w:t>Martin Schroeter</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1,325,000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18,000,025</w:t>
            </w:r>
          </w:p>
        </w:tc>
        <w:tc>
          <w:tcPr>
            <w:tcW w:w="560" w:type="dxa"/>
            <w:vAlign w:val="bottom"/>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2,154,360</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286,970</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21,766,355</w:t>
            </w:r>
          </w:p>
        </w:tc>
        <w:tc>
          <w:tcPr>
            <w:tcW w:w="0" w:type="dxa"/>
            <w:vAlign w:val="bottom"/>
          </w:tcPr>
          <w:p>
            <w:pPr>
              <w:spacing w:after="0"/>
              <w:rPr>
                <w:sz w:val="1"/>
                <w:szCs w:val="1"/>
                <w:color w:val="auto"/>
              </w:rPr>
            </w:pPr>
          </w:p>
        </w:tc>
      </w:tr>
      <w:tr>
        <w:trPr>
          <w:trHeight w:val="63"/>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Chairman and Chief</w:t>
            </w:r>
          </w:p>
        </w:tc>
        <w:tc>
          <w:tcPr>
            <w:tcW w:w="380" w:type="dxa"/>
            <w:vAlign w:val="bottom"/>
            <w:tcBorders>
              <w:bottom w:val="single" w:sz="8" w:color="939598"/>
            </w:tcBorders>
          </w:tcPr>
          <w:p>
            <w:pPr>
              <w:spacing w:after="0"/>
              <w:rPr>
                <w:sz w:val="5"/>
                <w:szCs w:val="5"/>
                <w:color w:val="auto"/>
              </w:rPr>
            </w:pPr>
          </w:p>
        </w:tc>
        <w:tc>
          <w:tcPr>
            <w:tcW w:w="680" w:type="dxa"/>
            <w:vAlign w:val="bottom"/>
            <w:tcBorders>
              <w:bottom w:val="single" w:sz="8" w:color="939598"/>
            </w:tcBorders>
          </w:tcPr>
          <w:p>
            <w:pPr>
              <w:spacing w:after="0"/>
              <w:rPr>
                <w:sz w:val="5"/>
                <w:szCs w:val="5"/>
                <w:color w:val="auto"/>
              </w:rPr>
            </w:pPr>
          </w:p>
        </w:tc>
        <w:tc>
          <w:tcPr>
            <w:tcW w:w="560" w:type="dxa"/>
            <w:vAlign w:val="bottom"/>
            <w:tcBorders>
              <w:bottom w:val="single" w:sz="8" w:color="939598"/>
            </w:tcBorders>
          </w:tcPr>
          <w:p>
            <w:pPr>
              <w:spacing w:after="0"/>
              <w:rPr>
                <w:sz w:val="5"/>
                <w:szCs w:val="5"/>
                <w:color w:val="auto"/>
              </w:rPr>
            </w:pPr>
          </w:p>
        </w:tc>
        <w:tc>
          <w:tcPr>
            <w:tcW w:w="740" w:type="dxa"/>
            <w:vAlign w:val="bottom"/>
            <w:tcBorders>
              <w:bottom w:val="single" w:sz="8" w:color="939598"/>
            </w:tcBorders>
          </w:tcPr>
          <w:p>
            <w:pPr>
              <w:spacing w:after="0"/>
              <w:rPr>
                <w:sz w:val="5"/>
                <w:szCs w:val="5"/>
                <w:color w:val="auto"/>
              </w:rPr>
            </w:pPr>
          </w:p>
        </w:tc>
        <w:tc>
          <w:tcPr>
            <w:tcW w:w="560" w:type="dxa"/>
            <w:vAlign w:val="bottom"/>
            <w:tcBorders>
              <w:bottom w:val="single" w:sz="8" w:color="939598"/>
            </w:tcBorders>
          </w:tcPr>
          <w:p>
            <w:pPr>
              <w:spacing w:after="0"/>
              <w:rPr>
                <w:sz w:val="5"/>
                <w:szCs w:val="5"/>
                <w:color w:val="auto"/>
              </w:rPr>
            </w:pPr>
          </w:p>
        </w:tc>
        <w:tc>
          <w:tcPr>
            <w:tcW w:w="1000" w:type="dxa"/>
            <w:vAlign w:val="bottom"/>
            <w:tcBorders>
              <w:bottom w:val="single" w:sz="8" w:color="939598"/>
            </w:tcBorders>
          </w:tcPr>
          <w:p>
            <w:pPr>
              <w:spacing w:after="0"/>
              <w:rPr>
                <w:sz w:val="5"/>
                <w:szCs w:val="5"/>
                <w:color w:val="auto"/>
              </w:rPr>
            </w:pPr>
          </w:p>
        </w:tc>
        <w:tc>
          <w:tcPr>
            <w:tcW w:w="1000" w:type="dxa"/>
            <w:vAlign w:val="bottom"/>
            <w:tcBorders>
              <w:bottom w:val="single" w:sz="8" w:color="939598"/>
            </w:tcBorders>
          </w:tcPr>
          <w:p>
            <w:pPr>
              <w:spacing w:after="0"/>
              <w:rPr>
                <w:sz w:val="5"/>
                <w:szCs w:val="5"/>
                <w:color w:val="auto"/>
              </w:rPr>
            </w:pPr>
          </w:p>
        </w:tc>
        <w:tc>
          <w:tcPr>
            <w:tcW w:w="1000" w:type="dxa"/>
            <w:vAlign w:val="bottom"/>
            <w:tcBorders>
              <w:bottom w:val="single" w:sz="8" w:color="939598"/>
            </w:tcBorders>
          </w:tcPr>
          <w:p>
            <w:pPr>
              <w:spacing w:after="0"/>
              <w:rPr>
                <w:sz w:val="5"/>
                <w:szCs w:val="5"/>
                <w:color w:val="auto"/>
              </w:rPr>
            </w:pPr>
          </w:p>
        </w:tc>
        <w:tc>
          <w:tcPr>
            <w:tcW w:w="820" w:type="dxa"/>
            <w:vAlign w:val="bottom"/>
            <w:tcBorders>
              <w:bottom w:val="single" w:sz="8" w:color="939598"/>
            </w:tcBorders>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120" w:type="dxa"/>
            <w:vAlign w:val="bottom"/>
            <w:vMerge w:val="continue"/>
          </w:tcPr>
          <w:p>
            <w:pPr>
              <w:spacing w:after="0"/>
              <w:rPr>
                <w:sz w:val="5"/>
                <w:szCs w:val="5"/>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2025</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1,175,000</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11,500,025</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color w:val="auto"/>
              </w:rPr>
              <w:t>2,782,562</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346,139</w:t>
            </w: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color w:val="auto"/>
              </w:rPr>
              <w:t>15,803,726</w:t>
            </w:r>
          </w:p>
        </w:tc>
        <w:tc>
          <w:tcPr>
            <w:tcW w:w="0" w:type="dxa"/>
            <w:vAlign w:val="bottom"/>
          </w:tcPr>
          <w:p>
            <w:pPr>
              <w:spacing w:after="0"/>
              <w:rPr>
                <w:sz w:val="1"/>
                <w:szCs w:val="1"/>
                <w:color w:val="auto"/>
              </w:rPr>
            </w:pPr>
          </w:p>
        </w:tc>
      </w:tr>
      <w:tr>
        <w:trPr>
          <w:trHeight w:val="105"/>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Executive Officer</w:t>
            </w:r>
          </w:p>
        </w:tc>
        <w:tc>
          <w:tcPr>
            <w:tcW w:w="38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120" w:type="dxa"/>
            <w:vAlign w:val="bottom"/>
            <w:vMerge w:val="continue"/>
          </w:tcPr>
          <w:p>
            <w:pPr>
              <w:spacing w:after="0"/>
              <w:rPr>
                <w:sz w:val="4"/>
                <w:szCs w:val="4"/>
                <w:color w:val="auto"/>
              </w:rPr>
            </w:pPr>
          </w:p>
        </w:tc>
        <w:tc>
          <w:tcPr>
            <w:tcW w:w="38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74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82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120" w:type="dxa"/>
            <w:vAlign w:val="bottom"/>
            <w:tcBorders>
              <w:bottom w:val="single" w:sz="8" w:color="F0533D"/>
            </w:tcBorders>
          </w:tcPr>
          <w:p>
            <w:pPr>
              <w:spacing w:after="0"/>
              <w:rPr>
                <w:sz w:val="15"/>
                <w:szCs w:val="15"/>
                <w:color w:val="auto"/>
              </w:rPr>
            </w:pPr>
          </w:p>
        </w:tc>
        <w:tc>
          <w:tcPr>
            <w:tcW w:w="3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1,075,000</w:t>
            </w:r>
          </w:p>
        </w:tc>
        <w:tc>
          <w:tcPr>
            <w:tcW w:w="56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10,500,025</w:t>
            </w:r>
          </w:p>
        </w:tc>
        <w:tc>
          <w:tcPr>
            <w:tcW w:w="5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134"/>
              <w:spacing w:after="0"/>
              <w:rPr>
                <w:sz w:val="20"/>
                <w:szCs w:val="20"/>
                <w:color w:val="auto"/>
              </w:rPr>
            </w:pPr>
            <w:r>
              <w:rPr>
                <w:rFonts w:ascii="Arial" w:cs="Arial" w:eastAsia="Arial" w:hAnsi="Arial"/>
                <w:sz w:val="13"/>
                <w:szCs w:val="13"/>
                <w:color w:val="auto"/>
              </w:rPr>
              <w:t>3,483,442</w:t>
            </w:r>
          </w:p>
        </w:tc>
        <w:tc>
          <w:tcPr>
            <w:tcW w:w="10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F0533D"/>
            </w:tcBorders>
          </w:tcPr>
          <w:p>
            <w:pPr>
              <w:jc w:val="right"/>
              <w:ind w:right="154"/>
              <w:spacing w:after="0"/>
              <w:rPr>
                <w:sz w:val="20"/>
                <w:szCs w:val="20"/>
                <w:color w:val="auto"/>
              </w:rPr>
            </w:pPr>
            <w:r>
              <w:rPr>
                <w:rFonts w:ascii="Arial" w:cs="Arial" w:eastAsia="Arial" w:hAnsi="Arial"/>
                <w:sz w:val="13"/>
                <w:szCs w:val="13"/>
                <w:color w:val="auto"/>
              </w:rPr>
              <w:t>602,814</w:t>
            </w:r>
          </w:p>
        </w:tc>
        <w:tc>
          <w:tcPr>
            <w:tcW w:w="820" w:type="dxa"/>
            <w:vAlign w:val="bottom"/>
            <w:tcBorders>
              <w:bottom w:val="single" w:sz="8" w:color="F0533D"/>
            </w:tcBorders>
          </w:tcPr>
          <w:p>
            <w:pPr>
              <w:jc w:val="right"/>
              <w:ind w:right="54"/>
              <w:spacing w:after="0"/>
              <w:rPr>
                <w:sz w:val="20"/>
                <w:szCs w:val="20"/>
                <w:color w:val="auto"/>
              </w:rPr>
            </w:pPr>
            <w:r>
              <w:rPr>
                <w:rFonts w:ascii="Arial" w:cs="Arial" w:eastAsia="Arial" w:hAnsi="Arial"/>
                <w:sz w:val="13"/>
                <w:szCs w:val="13"/>
                <w:color w:val="auto"/>
              </w:rPr>
              <w:t>15,661,281</w:t>
            </w:r>
          </w:p>
        </w:tc>
        <w:tc>
          <w:tcPr>
            <w:tcW w:w="0" w:type="dxa"/>
            <w:vAlign w:val="bottom"/>
          </w:tcPr>
          <w:p>
            <w:pPr>
              <w:spacing w:after="0"/>
              <w:rPr>
                <w:sz w:val="1"/>
                <w:szCs w:val="1"/>
                <w:color w:val="auto"/>
              </w:rPr>
            </w:pPr>
          </w:p>
        </w:tc>
      </w:tr>
      <w:tr>
        <w:trPr>
          <w:trHeight w:val="152"/>
        </w:trPr>
        <w:tc>
          <w:tcPr>
            <w:tcW w:w="2120" w:type="dxa"/>
            <w:vAlign w:val="bottom"/>
          </w:tcPr>
          <w:p>
            <w:pPr>
              <w:ind w:left="140"/>
              <w:spacing w:after="0"/>
              <w:rPr>
                <w:sz w:val="20"/>
                <w:szCs w:val="20"/>
                <w:color w:val="auto"/>
              </w:rPr>
            </w:pPr>
            <w:r>
              <w:rPr>
                <w:rFonts w:ascii="Arial" w:cs="Arial" w:eastAsia="Arial" w:hAnsi="Arial"/>
                <w:sz w:val="13"/>
                <w:szCs w:val="13"/>
                <w:color w:val="auto"/>
              </w:rPr>
              <w:t>Harsh Chugh</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756,997</w:t>
            </w:r>
          </w:p>
        </w:tc>
        <w:tc>
          <w:tcPr>
            <w:tcW w:w="560" w:type="dxa"/>
            <w:vAlign w:val="bottom"/>
          </w:tcPr>
          <w:p>
            <w:pPr>
              <w:jc w:val="right"/>
              <w:spacing w:after="0"/>
              <w:rPr>
                <w:sz w:val="20"/>
                <w:szCs w:val="20"/>
                <w:color w:val="auto"/>
              </w:rPr>
            </w:pPr>
            <w:r>
              <w:rPr>
                <w:rFonts w:ascii="Arial" w:cs="Arial" w:eastAsia="Arial" w:hAnsi="Arial"/>
                <w:sz w:val="13"/>
                <w:szCs w:val="13"/>
                <w:color w:val="auto"/>
              </w:rPr>
              <w:t>196,250</w:t>
            </w:r>
          </w:p>
        </w:tc>
        <w:tc>
          <w:tcPr>
            <w:tcW w:w="740" w:type="dxa"/>
            <w:vAlign w:val="bottom"/>
          </w:tcPr>
          <w:p>
            <w:pPr>
              <w:jc w:val="right"/>
              <w:spacing w:after="0"/>
              <w:rPr>
                <w:sz w:val="20"/>
                <w:szCs w:val="20"/>
                <w:color w:val="auto"/>
              </w:rPr>
            </w:pPr>
            <w:r>
              <w:rPr>
                <w:rFonts w:ascii="Arial" w:cs="Arial" w:eastAsia="Arial" w:hAnsi="Arial"/>
                <w:sz w:val="13"/>
                <w:szCs w:val="13"/>
                <w:color w:val="auto"/>
              </w:rPr>
              <w:t>3,000,063</w:t>
            </w:r>
          </w:p>
        </w:tc>
        <w:tc>
          <w:tcPr>
            <w:tcW w:w="560" w:type="dxa"/>
            <w:vAlign w:val="bottom"/>
          </w:tcPr>
          <w:p>
            <w:pPr>
              <w:spacing w:after="0"/>
              <w:rPr>
                <w:sz w:val="13"/>
                <w:szCs w:val="13"/>
                <w:color w:val="auto"/>
              </w:rPr>
            </w:pP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535,541</w:t>
            </w:r>
          </w:p>
        </w:tc>
        <w:tc>
          <w:tcPr>
            <w:tcW w:w="1000" w:type="dxa"/>
            <w:vAlign w:val="bottom"/>
          </w:tcPr>
          <w:p>
            <w:pPr>
              <w:spacing w:after="0"/>
              <w:rPr>
                <w:sz w:val="13"/>
                <w:szCs w:val="13"/>
                <w:color w:val="auto"/>
              </w:rPr>
            </w:pP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24,050</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4,512,901</w:t>
            </w:r>
          </w:p>
        </w:tc>
        <w:tc>
          <w:tcPr>
            <w:tcW w:w="0" w:type="dxa"/>
            <w:vAlign w:val="bottom"/>
          </w:tcPr>
          <w:p>
            <w:pPr>
              <w:spacing w:after="0"/>
              <w:rPr>
                <w:sz w:val="1"/>
                <w:szCs w:val="1"/>
                <w:color w:val="auto"/>
              </w:rPr>
            </w:pPr>
          </w:p>
        </w:tc>
      </w:tr>
      <w:tr>
        <w:trPr>
          <w:trHeight w:val="179"/>
        </w:trPr>
        <w:tc>
          <w:tcPr>
            <w:tcW w:w="2120" w:type="dxa"/>
            <w:vAlign w:val="bottom"/>
            <w:tcBorders>
              <w:bottom w:val="single" w:sz="8" w:color="F0533D"/>
            </w:tcBorders>
          </w:tcPr>
          <w:p>
            <w:pPr>
              <w:ind w:left="320"/>
              <w:spacing w:after="0"/>
              <w:rPr>
                <w:sz w:val="20"/>
                <w:szCs w:val="20"/>
                <w:color w:val="auto"/>
              </w:rPr>
            </w:pPr>
            <w:r>
              <w:rPr>
                <w:rFonts w:ascii="Arial" w:cs="Arial" w:eastAsia="Arial" w:hAnsi="Arial"/>
                <w:sz w:val="13"/>
                <w:szCs w:val="13"/>
                <w:i w:val="1"/>
                <w:iCs w:val="1"/>
                <w:color w:val="auto"/>
              </w:rPr>
              <w:t>Interim Chief Financial Officer</w:t>
            </w:r>
          </w:p>
        </w:tc>
        <w:tc>
          <w:tcPr>
            <w:tcW w:w="38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560" w:type="dxa"/>
            <w:vAlign w:val="bottom"/>
            <w:tcBorders>
              <w:bottom w:val="single" w:sz="8" w:color="F0533D"/>
            </w:tcBorders>
          </w:tcPr>
          <w:p>
            <w:pPr>
              <w:spacing w:after="0"/>
              <w:rPr>
                <w:sz w:val="15"/>
                <w:szCs w:val="15"/>
                <w:color w:val="auto"/>
              </w:rPr>
            </w:pPr>
          </w:p>
        </w:tc>
        <w:tc>
          <w:tcPr>
            <w:tcW w:w="740" w:type="dxa"/>
            <w:vAlign w:val="bottom"/>
            <w:tcBorders>
              <w:bottom w:val="single" w:sz="8" w:color="F0533D"/>
            </w:tcBorders>
          </w:tcPr>
          <w:p>
            <w:pPr>
              <w:spacing w:after="0"/>
              <w:rPr>
                <w:sz w:val="15"/>
                <w:szCs w:val="15"/>
                <w:color w:val="auto"/>
              </w:rPr>
            </w:pPr>
          </w:p>
        </w:tc>
        <w:tc>
          <w:tcPr>
            <w:tcW w:w="560" w:type="dxa"/>
            <w:vAlign w:val="bottom"/>
            <w:tcBorders>
              <w:bottom w:val="single" w:sz="8" w:color="F0533D"/>
            </w:tcBorders>
          </w:tcPr>
          <w:p>
            <w:pPr>
              <w:spacing w:after="0"/>
              <w:rPr>
                <w:sz w:val="15"/>
                <w:szCs w:val="15"/>
                <w:color w:val="auto"/>
              </w:rPr>
            </w:pPr>
          </w:p>
        </w:tc>
        <w:tc>
          <w:tcPr>
            <w:tcW w:w="1000" w:type="dxa"/>
            <w:vAlign w:val="bottom"/>
            <w:tcBorders>
              <w:bottom w:val="single" w:sz="8" w:color="F0533D"/>
            </w:tcBorders>
          </w:tcPr>
          <w:p>
            <w:pPr>
              <w:spacing w:after="0"/>
              <w:rPr>
                <w:sz w:val="15"/>
                <w:szCs w:val="15"/>
                <w:color w:val="auto"/>
              </w:rPr>
            </w:pPr>
          </w:p>
        </w:tc>
        <w:tc>
          <w:tcPr>
            <w:tcW w:w="1000" w:type="dxa"/>
            <w:vAlign w:val="bottom"/>
            <w:tcBorders>
              <w:bottom w:val="single" w:sz="8" w:color="F0533D"/>
            </w:tcBorders>
          </w:tcPr>
          <w:p>
            <w:pPr>
              <w:spacing w:after="0"/>
              <w:rPr>
                <w:sz w:val="15"/>
                <w:szCs w:val="15"/>
                <w:color w:val="auto"/>
              </w:rPr>
            </w:pPr>
          </w:p>
        </w:tc>
        <w:tc>
          <w:tcPr>
            <w:tcW w:w="1000" w:type="dxa"/>
            <w:vAlign w:val="bottom"/>
            <w:tcBorders>
              <w:bottom w:val="single" w:sz="8" w:color="F0533D"/>
            </w:tcBorders>
          </w:tcPr>
          <w:p>
            <w:pPr>
              <w:spacing w:after="0"/>
              <w:rPr>
                <w:sz w:val="15"/>
                <w:szCs w:val="15"/>
                <w:color w:val="auto"/>
              </w:rPr>
            </w:pPr>
          </w:p>
        </w:tc>
        <w:tc>
          <w:tcPr>
            <w:tcW w:w="820" w:type="dxa"/>
            <w:vAlign w:val="bottom"/>
            <w:tcBorders>
              <w:bottom w:val="single" w:sz="8" w:color="F0533D"/>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120" w:type="dxa"/>
            <w:vAlign w:val="bottom"/>
          </w:tcPr>
          <w:p>
            <w:pPr>
              <w:ind w:left="140"/>
              <w:spacing w:after="0"/>
              <w:rPr>
                <w:sz w:val="20"/>
                <w:szCs w:val="20"/>
                <w:color w:val="auto"/>
              </w:rPr>
            </w:pPr>
            <w:r>
              <w:rPr>
                <w:rFonts w:ascii="Arial" w:cs="Arial" w:eastAsia="Arial" w:hAnsi="Arial"/>
                <w:sz w:val="13"/>
                <w:szCs w:val="13"/>
                <w:color w:val="auto"/>
              </w:rPr>
              <w:t>Elly Keinan</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948,200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18,000,065</w:t>
            </w:r>
          </w:p>
        </w:tc>
        <w:tc>
          <w:tcPr>
            <w:tcW w:w="560" w:type="dxa"/>
            <w:vAlign w:val="bottom"/>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1,344,356</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220,898</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20,513,519</w:t>
            </w:r>
          </w:p>
        </w:tc>
        <w:tc>
          <w:tcPr>
            <w:tcW w:w="0" w:type="dxa"/>
            <w:vAlign w:val="bottom"/>
          </w:tcPr>
          <w:p>
            <w:pPr>
              <w:spacing w:after="0"/>
              <w:rPr>
                <w:sz w:val="1"/>
                <w:szCs w:val="1"/>
                <w:color w:val="auto"/>
              </w:rPr>
            </w:pPr>
          </w:p>
        </w:tc>
      </w:tr>
      <w:tr>
        <w:trPr>
          <w:trHeight w:val="77"/>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Group President</w:t>
            </w:r>
          </w:p>
        </w:tc>
        <w:tc>
          <w:tcPr>
            <w:tcW w:w="380" w:type="dxa"/>
            <w:vAlign w:val="bottom"/>
            <w:tcBorders>
              <w:bottom w:val="single" w:sz="8" w:color="939598"/>
            </w:tcBorders>
          </w:tcPr>
          <w:p>
            <w:pPr>
              <w:spacing w:after="0"/>
              <w:rPr>
                <w:sz w:val="6"/>
                <w:szCs w:val="6"/>
                <w:color w:val="auto"/>
              </w:rPr>
            </w:pPr>
          </w:p>
        </w:tc>
        <w:tc>
          <w:tcPr>
            <w:tcW w:w="68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74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8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120" w:type="dxa"/>
            <w:vAlign w:val="bottom"/>
            <w:vMerge w:val="continue"/>
          </w:tcPr>
          <w:p>
            <w:pPr>
              <w:spacing w:after="0"/>
              <w:rPr>
                <w:sz w:val="6"/>
                <w:szCs w:val="6"/>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2025</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879,800</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7,600,069</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color w:val="auto"/>
              </w:rPr>
              <w:t>2,083,474</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242,831</w:t>
            </w: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color w:val="auto"/>
              </w:rPr>
              <w:t>10,806,174</w:t>
            </w:r>
          </w:p>
        </w:tc>
        <w:tc>
          <w:tcPr>
            <w:tcW w:w="0" w:type="dxa"/>
            <w:vAlign w:val="bottom"/>
          </w:tcPr>
          <w:p>
            <w:pPr>
              <w:spacing w:after="0"/>
              <w:rPr>
                <w:sz w:val="1"/>
                <w:szCs w:val="1"/>
                <w:color w:val="auto"/>
              </w:rPr>
            </w:pPr>
          </w:p>
        </w:tc>
      </w:tr>
      <w:tr>
        <w:trPr>
          <w:trHeight w:val="94"/>
        </w:trPr>
        <w:tc>
          <w:tcPr>
            <w:tcW w:w="2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120" w:type="dxa"/>
            <w:vAlign w:val="bottom"/>
          </w:tcPr>
          <w:p>
            <w:pPr>
              <w:spacing w:after="0"/>
              <w:rPr>
                <w:sz w:val="4"/>
                <w:szCs w:val="4"/>
                <w:color w:val="auto"/>
              </w:rPr>
            </w:pPr>
          </w:p>
        </w:tc>
        <w:tc>
          <w:tcPr>
            <w:tcW w:w="38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74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82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120" w:type="dxa"/>
            <w:vAlign w:val="bottom"/>
            <w:tcBorders>
              <w:bottom w:val="single" w:sz="8" w:color="F0533D"/>
            </w:tcBorders>
          </w:tcPr>
          <w:p>
            <w:pPr>
              <w:spacing w:after="0"/>
              <w:rPr>
                <w:sz w:val="15"/>
                <w:szCs w:val="15"/>
                <w:color w:val="auto"/>
              </w:rPr>
            </w:pPr>
          </w:p>
        </w:tc>
        <w:tc>
          <w:tcPr>
            <w:tcW w:w="3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822,500</w:t>
            </w:r>
          </w:p>
        </w:tc>
        <w:tc>
          <w:tcPr>
            <w:tcW w:w="56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7,600,008</w:t>
            </w:r>
          </w:p>
        </w:tc>
        <w:tc>
          <w:tcPr>
            <w:tcW w:w="5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134"/>
              <w:spacing w:after="0"/>
              <w:rPr>
                <w:sz w:val="20"/>
                <w:szCs w:val="20"/>
                <w:color w:val="auto"/>
              </w:rPr>
            </w:pPr>
            <w:r>
              <w:rPr>
                <w:rFonts w:ascii="Arial" w:cs="Arial" w:eastAsia="Arial" w:hAnsi="Arial"/>
                <w:sz w:val="13"/>
                <w:szCs w:val="13"/>
                <w:color w:val="auto"/>
              </w:rPr>
              <w:t>2,665,033</w:t>
            </w:r>
          </w:p>
        </w:tc>
        <w:tc>
          <w:tcPr>
            <w:tcW w:w="10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F0533D"/>
            </w:tcBorders>
          </w:tcPr>
          <w:p>
            <w:pPr>
              <w:jc w:val="right"/>
              <w:ind w:right="154"/>
              <w:spacing w:after="0"/>
              <w:rPr>
                <w:sz w:val="20"/>
                <w:szCs w:val="20"/>
                <w:color w:val="auto"/>
              </w:rPr>
            </w:pPr>
            <w:r>
              <w:rPr>
                <w:rFonts w:ascii="Arial" w:cs="Arial" w:eastAsia="Arial" w:hAnsi="Arial"/>
                <w:sz w:val="13"/>
                <w:szCs w:val="13"/>
                <w:color w:val="auto"/>
              </w:rPr>
              <w:t>184,932</w:t>
            </w:r>
          </w:p>
        </w:tc>
        <w:tc>
          <w:tcPr>
            <w:tcW w:w="820" w:type="dxa"/>
            <w:vAlign w:val="bottom"/>
            <w:tcBorders>
              <w:bottom w:val="single" w:sz="8" w:color="F0533D"/>
            </w:tcBorders>
          </w:tcPr>
          <w:p>
            <w:pPr>
              <w:jc w:val="right"/>
              <w:ind w:right="74"/>
              <w:spacing w:after="0"/>
              <w:rPr>
                <w:sz w:val="20"/>
                <w:szCs w:val="20"/>
                <w:color w:val="auto"/>
              </w:rPr>
            </w:pPr>
            <w:r>
              <w:rPr>
                <w:rFonts w:ascii="Arial" w:cs="Arial" w:eastAsia="Arial" w:hAnsi="Arial"/>
                <w:sz w:val="13"/>
                <w:szCs w:val="13"/>
                <w:color w:val="auto"/>
              </w:rPr>
              <w:t>11,272,473</w:t>
            </w:r>
          </w:p>
        </w:tc>
        <w:tc>
          <w:tcPr>
            <w:tcW w:w="0" w:type="dxa"/>
            <w:vAlign w:val="bottom"/>
          </w:tcPr>
          <w:p>
            <w:pPr>
              <w:spacing w:after="0"/>
              <w:rPr>
                <w:sz w:val="1"/>
                <w:szCs w:val="1"/>
                <w:color w:val="auto"/>
              </w:rPr>
            </w:pPr>
          </w:p>
        </w:tc>
      </w:tr>
      <w:tr>
        <w:trPr>
          <w:trHeight w:val="152"/>
        </w:trPr>
        <w:tc>
          <w:tcPr>
            <w:tcW w:w="2120" w:type="dxa"/>
            <w:vAlign w:val="bottom"/>
          </w:tcPr>
          <w:p>
            <w:pPr>
              <w:ind w:left="140"/>
              <w:spacing w:after="0"/>
              <w:rPr>
                <w:sz w:val="20"/>
                <w:szCs w:val="20"/>
                <w:color w:val="auto"/>
              </w:rPr>
            </w:pPr>
            <w:r>
              <w:rPr>
                <w:rFonts w:ascii="Arial" w:cs="Arial" w:eastAsia="Arial" w:hAnsi="Arial"/>
                <w:sz w:val="13"/>
                <w:szCs w:val="13"/>
                <w:color w:val="auto"/>
              </w:rPr>
              <w:t>Maryjo Charbonnier</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691,250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1,500,031</w:t>
            </w:r>
          </w:p>
        </w:tc>
        <w:tc>
          <w:tcPr>
            <w:tcW w:w="560" w:type="dxa"/>
            <w:vAlign w:val="bottom"/>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599,987</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106,118</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2,897,386</w:t>
            </w:r>
          </w:p>
        </w:tc>
        <w:tc>
          <w:tcPr>
            <w:tcW w:w="0" w:type="dxa"/>
            <w:vAlign w:val="bottom"/>
          </w:tcPr>
          <w:p>
            <w:pPr>
              <w:spacing w:after="0"/>
              <w:rPr>
                <w:sz w:val="1"/>
                <w:szCs w:val="1"/>
                <w:color w:val="auto"/>
              </w:rPr>
            </w:pPr>
          </w:p>
        </w:tc>
      </w:tr>
      <w:tr>
        <w:trPr>
          <w:trHeight w:val="77"/>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Former Chief Human</w:t>
            </w:r>
          </w:p>
        </w:tc>
        <w:tc>
          <w:tcPr>
            <w:tcW w:w="380" w:type="dxa"/>
            <w:vAlign w:val="bottom"/>
            <w:tcBorders>
              <w:bottom w:val="single" w:sz="8" w:color="939598"/>
            </w:tcBorders>
          </w:tcPr>
          <w:p>
            <w:pPr>
              <w:spacing w:after="0"/>
              <w:rPr>
                <w:sz w:val="6"/>
                <w:szCs w:val="6"/>
                <w:color w:val="auto"/>
              </w:rPr>
            </w:pPr>
          </w:p>
        </w:tc>
        <w:tc>
          <w:tcPr>
            <w:tcW w:w="68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74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8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120" w:type="dxa"/>
            <w:vAlign w:val="bottom"/>
            <w:vMerge w:val="continue"/>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2025</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674,375</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1,000,085</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color w:val="auto"/>
              </w:rPr>
              <w:t>998,108</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122,468</w:t>
            </w: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color w:val="auto"/>
              </w:rPr>
              <w:t>2,795,036</w:t>
            </w:r>
          </w:p>
        </w:tc>
        <w:tc>
          <w:tcPr>
            <w:tcW w:w="0" w:type="dxa"/>
            <w:vAlign w:val="bottom"/>
          </w:tcPr>
          <w:p>
            <w:pPr>
              <w:spacing w:after="0"/>
              <w:rPr>
                <w:sz w:val="1"/>
                <w:szCs w:val="1"/>
                <w:color w:val="auto"/>
              </w:rPr>
            </w:pPr>
          </w:p>
        </w:tc>
      </w:tr>
      <w:tr>
        <w:trPr>
          <w:trHeight w:val="119"/>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Resources Officer</w:t>
            </w: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120" w:type="dxa"/>
            <w:vAlign w:val="bottom"/>
            <w:vMerge w:val="continue"/>
          </w:tcPr>
          <w:p>
            <w:pPr>
              <w:spacing w:after="0"/>
              <w:rPr>
                <w:sz w:val="4"/>
                <w:szCs w:val="4"/>
                <w:color w:val="auto"/>
              </w:rPr>
            </w:pPr>
          </w:p>
        </w:tc>
        <w:tc>
          <w:tcPr>
            <w:tcW w:w="38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74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82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120" w:type="dxa"/>
            <w:vAlign w:val="bottom"/>
            <w:tcBorders>
              <w:bottom w:val="single" w:sz="8" w:color="F0533D"/>
            </w:tcBorders>
          </w:tcPr>
          <w:p>
            <w:pPr>
              <w:spacing w:after="0"/>
              <w:rPr>
                <w:sz w:val="15"/>
                <w:szCs w:val="15"/>
                <w:color w:val="auto"/>
              </w:rPr>
            </w:pPr>
          </w:p>
        </w:tc>
        <w:tc>
          <w:tcPr>
            <w:tcW w:w="3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641,250</w:t>
            </w:r>
          </w:p>
        </w:tc>
        <w:tc>
          <w:tcPr>
            <w:tcW w:w="56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1,000,039</w:t>
            </w:r>
          </w:p>
        </w:tc>
        <w:tc>
          <w:tcPr>
            <w:tcW w:w="5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134"/>
              <w:spacing w:after="0"/>
              <w:rPr>
                <w:sz w:val="20"/>
                <w:szCs w:val="20"/>
                <w:color w:val="auto"/>
              </w:rPr>
            </w:pPr>
            <w:r>
              <w:rPr>
                <w:rFonts w:ascii="Arial" w:cs="Arial" w:eastAsia="Arial" w:hAnsi="Arial"/>
                <w:sz w:val="13"/>
                <w:szCs w:val="13"/>
                <w:color w:val="auto"/>
              </w:rPr>
              <w:t>1,298,628</w:t>
            </w:r>
          </w:p>
        </w:tc>
        <w:tc>
          <w:tcPr>
            <w:tcW w:w="10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F0533D"/>
            </w:tcBorders>
          </w:tcPr>
          <w:p>
            <w:pPr>
              <w:jc w:val="right"/>
              <w:ind w:right="154"/>
              <w:spacing w:after="0"/>
              <w:rPr>
                <w:sz w:val="20"/>
                <w:szCs w:val="20"/>
                <w:color w:val="auto"/>
              </w:rPr>
            </w:pPr>
            <w:r>
              <w:rPr>
                <w:rFonts w:ascii="Arial" w:cs="Arial" w:eastAsia="Arial" w:hAnsi="Arial"/>
                <w:sz w:val="13"/>
                <w:szCs w:val="13"/>
                <w:color w:val="auto"/>
              </w:rPr>
              <w:t>88,075</w:t>
            </w:r>
          </w:p>
        </w:tc>
        <w:tc>
          <w:tcPr>
            <w:tcW w:w="820" w:type="dxa"/>
            <w:vAlign w:val="bottom"/>
            <w:tcBorders>
              <w:bottom w:val="single" w:sz="8" w:color="F0533D"/>
            </w:tcBorders>
          </w:tcPr>
          <w:p>
            <w:pPr>
              <w:jc w:val="right"/>
              <w:ind w:right="54"/>
              <w:spacing w:after="0"/>
              <w:rPr>
                <w:sz w:val="20"/>
                <w:szCs w:val="20"/>
                <w:color w:val="auto"/>
              </w:rPr>
            </w:pPr>
            <w:r>
              <w:rPr>
                <w:rFonts w:ascii="Arial" w:cs="Arial" w:eastAsia="Arial" w:hAnsi="Arial"/>
                <w:sz w:val="13"/>
                <w:szCs w:val="13"/>
                <w:color w:val="auto"/>
              </w:rPr>
              <w:t>3,027,992</w:t>
            </w:r>
          </w:p>
        </w:tc>
        <w:tc>
          <w:tcPr>
            <w:tcW w:w="0" w:type="dxa"/>
            <w:vAlign w:val="bottom"/>
          </w:tcPr>
          <w:p>
            <w:pPr>
              <w:spacing w:after="0"/>
              <w:rPr>
                <w:sz w:val="1"/>
                <w:szCs w:val="1"/>
                <w:color w:val="auto"/>
              </w:rPr>
            </w:pPr>
          </w:p>
        </w:tc>
      </w:tr>
      <w:tr>
        <w:trPr>
          <w:trHeight w:val="152"/>
        </w:trPr>
        <w:tc>
          <w:tcPr>
            <w:tcW w:w="2120" w:type="dxa"/>
            <w:vAlign w:val="bottom"/>
          </w:tcPr>
          <w:p>
            <w:pPr>
              <w:ind w:left="140"/>
              <w:spacing w:after="0"/>
              <w:rPr>
                <w:sz w:val="20"/>
                <w:szCs w:val="20"/>
                <w:color w:val="auto"/>
              </w:rPr>
            </w:pPr>
            <w:r>
              <w:rPr>
                <w:rFonts w:ascii="Arial" w:cs="Arial" w:eastAsia="Arial" w:hAnsi="Arial"/>
                <w:sz w:val="13"/>
                <w:szCs w:val="13"/>
                <w:color w:val="auto"/>
              </w:rPr>
              <w:t>Mark Ringes</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472,711</w:t>
            </w:r>
          </w:p>
        </w:tc>
        <w:tc>
          <w:tcPr>
            <w:tcW w:w="560" w:type="dxa"/>
            <w:vAlign w:val="bottom"/>
          </w:tcPr>
          <w:p>
            <w:pPr>
              <w:jc w:val="right"/>
              <w:spacing w:after="0"/>
              <w:rPr>
                <w:sz w:val="20"/>
                <w:szCs w:val="20"/>
                <w:color w:val="auto"/>
              </w:rPr>
            </w:pPr>
            <w:r>
              <w:rPr>
                <w:rFonts w:ascii="Arial" w:cs="Arial" w:eastAsia="Arial" w:hAnsi="Arial"/>
                <w:sz w:val="13"/>
                <w:szCs w:val="13"/>
                <w:color w:val="auto"/>
              </w:rPr>
              <w:t>112,831</w:t>
            </w:r>
          </w:p>
        </w:tc>
        <w:tc>
          <w:tcPr>
            <w:tcW w:w="740" w:type="dxa"/>
            <w:vAlign w:val="bottom"/>
          </w:tcPr>
          <w:p>
            <w:pPr>
              <w:jc w:val="right"/>
              <w:spacing w:after="0"/>
              <w:rPr>
                <w:sz w:val="20"/>
                <w:szCs w:val="20"/>
                <w:color w:val="auto"/>
              </w:rPr>
            </w:pPr>
            <w:r>
              <w:rPr>
                <w:rFonts w:ascii="Arial" w:cs="Arial" w:eastAsia="Arial" w:hAnsi="Arial"/>
                <w:sz w:val="13"/>
                <w:szCs w:val="13"/>
                <w:color w:val="auto"/>
              </w:rPr>
              <w:t>1,160,047</w:t>
            </w:r>
          </w:p>
        </w:tc>
        <w:tc>
          <w:tcPr>
            <w:tcW w:w="560" w:type="dxa"/>
            <w:vAlign w:val="bottom"/>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328,189</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77,863</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2,151,641</w:t>
            </w:r>
          </w:p>
        </w:tc>
        <w:tc>
          <w:tcPr>
            <w:tcW w:w="0" w:type="dxa"/>
            <w:vAlign w:val="bottom"/>
          </w:tcPr>
          <w:p>
            <w:pPr>
              <w:spacing w:after="0"/>
              <w:rPr>
                <w:sz w:val="1"/>
                <w:szCs w:val="1"/>
                <w:color w:val="auto"/>
              </w:rPr>
            </w:pPr>
          </w:p>
        </w:tc>
      </w:tr>
      <w:tr>
        <w:trPr>
          <w:trHeight w:val="149"/>
        </w:trPr>
        <w:tc>
          <w:tcPr>
            <w:tcW w:w="2120" w:type="dxa"/>
            <w:vAlign w:val="bottom"/>
          </w:tcPr>
          <w:p>
            <w:pPr>
              <w:ind w:left="320"/>
              <w:spacing w:after="0"/>
              <w:rPr>
                <w:sz w:val="20"/>
                <w:szCs w:val="20"/>
                <w:color w:val="auto"/>
              </w:rPr>
            </w:pPr>
            <w:r>
              <w:rPr>
                <w:rFonts w:ascii="Arial" w:cs="Arial" w:eastAsia="Arial" w:hAnsi="Arial"/>
                <w:sz w:val="13"/>
                <w:szCs w:val="13"/>
                <w:i w:val="1"/>
                <w:iCs w:val="1"/>
                <w:color w:val="auto"/>
              </w:rPr>
              <w:t>Interim General Counsel and</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120" w:type="dxa"/>
            <w:vAlign w:val="bottom"/>
            <w:tcBorders>
              <w:bottom w:val="single" w:sz="8" w:color="F0533D"/>
            </w:tcBorders>
          </w:tcPr>
          <w:p>
            <w:pPr>
              <w:ind w:left="320"/>
              <w:spacing w:after="0"/>
              <w:rPr>
                <w:sz w:val="20"/>
                <w:szCs w:val="20"/>
                <w:color w:val="auto"/>
              </w:rPr>
            </w:pPr>
            <w:r>
              <w:rPr>
                <w:rFonts w:ascii="Arial" w:cs="Arial" w:eastAsia="Arial" w:hAnsi="Arial"/>
                <w:sz w:val="13"/>
                <w:szCs w:val="13"/>
                <w:i w:val="1"/>
                <w:iCs w:val="1"/>
                <w:color w:val="auto"/>
              </w:rPr>
              <w:t>Secretary</w:t>
            </w:r>
          </w:p>
        </w:tc>
        <w:tc>
          <w:tcPr>
            <w:tcW w:w="38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560" w:type="dxa"/>
            <w:vAlign w:val="bottom"/>
            <w:tcBorders>
              <w:bottom w:val="single" w:sz="8" w:color="F0533D"/>
            </w:tcBorders>
          </w:tcPr>
          <w:p>
            <w:pPr>
              <w:spacing w:after="0"/>
              <w:rPr>
                <w:sz w:val="15"/>
                <w:szCs w:val="15"/>
                <w:color w:val="auto"/>
              </w:rPr>
            </w:pPr>
          </w:p>
        </w:tc>
        <w:tc>
          <w:tcPr>
            <w:tcW w:w="740" w:type="dxa"/>
            <w:vAlign w:val="bottom"/>
            <w:tcBorders>
              <w:bottom w:val="single" w:sz="8" w:color="F0533D"/>
            </w:tcBorders>
          </w:tcPr>
          <w:p>
            <w:pPr>
              <w:spacing w:after="0"/>
              <w:rPr>
                <w:sz w:val="15"/>
                <w:szCs w:val="15"/>
                <w:color w:val="auto"/>
              </w:rPr>
            </w:pPr>
          </w:p>
        </w:tc>
        <w:tc>
          <w:tcPr>
            <w:tcW w:w="560" w:type="dxa"/>
            <w:vAlign w:val="bottom"/>
            <w:tcBorders>
              <w:bottom w:val="single" w:sz="8" w:color="F0533D"/>
            </w:tcBorders>
          </w:tcPr>
          <w:p>
            <w:pPr>
              <w:spacing w:after="0"/>
              <w:rPr>
                <w:sz w:val="15"/>
                <w:szCs w:val="15"/>
                <w:color w:val="auto"/>
              </w:rPr>
            </w:pPr>
          </w:p>
        </w:tc>
        <w:tc>
          <w:tcPr>
            <w:tcW w:w="1000" w:type="dxa"/>
            <w:vAlign w:val="bottom"/>
            <w:tcBorders>
              <w:bottom w:val="single" w:sz="8" w:color="F0533D"/>
            </w:tcBorders>
          </w:tcPr>
          <w:p>
            <w:pPr>
              <w:spacing w:after="0"/>
              <w:rPr>
                <w:sz w:val="15"/>
                <w:szCs w:val="15"/>
                <w:color w:val="auto"/>
              </w:rPr>
            </w:pPr>
          </w:p>
        </w:tc>
        <w:tc>
          <w:tcPr>
            <w:tcW w:w="1000" w:type="dxa"/>
            <w:vAlign w:val="bottom"/>
            <w:tcBorders>
              <w:bottom w:val="single" w:sz="8" w:color="F0533D"/>
            </w:tcBorders>
          </w:tcPr>
          <w:p>
            <w:pPr>
              <w:spacing w:after="0"/>
              <w:rPr>
                <w:sz w:val="15"/>
                <w:szCs w:val="15"/>
                <w:color w:val="auto"/>
              </w:rPr>
            </w:pPr>
          </w:p>
        </w:tc>
        <w:tc>
          <w:tcPr>
            <w:tcW w:w="1000" w:type="dxa"/>
            <w:vAlign w:val="bottom"/>
            <w:tcBorders>
              <w:bottom w:val="single" w:sz="8" w:color="F0533D"/>
            </w:tcBorders>
          </w:tcPr>
          <w:p>
            <w:pPr>
              <w:spacing w:after="0"/>
              <w:rPr>
                <w:sz w:val="15"/>
                <w:szCs w:val="15"/>
                <w:color w:val="auto"/>
              </w:rPr>
            </w:pPr>
          </w:p>
        </w:tc>
        <w:tc>
          <w:tcPr>
            <w:tcW w:w="820" w:type="dxa"/>
            <w:vAlign w:val="bottom"/>
            <w:tcBorders>
              <w:bottom w:val="single" w:sz="8" w:color="F0533D"/>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120" w:type="dxa"/>
            <w:vAlign w:val="bottom"/>
          </w:tcPr>
          <w:p>
            <w:pPr>
              <w:ind w:left="140"/>
              <w:spacing w:after="0"/>
              <w:rPr>
                <w:sz w:val="20"/>
                <w:szCs w:val="20"/>
                <w:color w:val="auto"/>
              </w:rPr>
            </w:pPr>
            <w:r>
              <w:rPr>
                <w:rFonts w:ascii="Arial" w:cs="Arial" w:eastAsia="Arial" w:hAnsi="Arial"/>
                <w:sz w:val="13"/>
                <w:szCs w:val="13"/>
                <w:color w:val="auto"/>
              </w:rPr>
              <w:t>David Wyshner</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908,125</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5,000,053</w:t>
            </w:r>
          </w:p>
        </w:tc>
        <w:tc>
          <w:tcPr>
            <w:tcW w:w="560" w:type="dxa"/>
            <w:vAlign w:val="bottom"/>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680,143</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1,535,640</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8,123,961</w:t>
            </w:r>
          </w:p>
        </w:tc>
        <w:tc>
          <w:tcPr>
            <w:tcW w:w="0" w:type="dxa"/>
            <w:vAlign w:val="bottom"/>
          </w:tcPr>
          <w:p>
            <w:pPr>
              <w:spacing w:after="0"/>
              <w:rPr>
                <w:sz w:val="1"/>
                <w:szCs w:val="1"/>
                <w:color w:val="auto"/>
              </w:rPr>
            </w:pPr>
          </w:p>
        </w:tc>
      </w:tr>
      <w:tr>
        <w:trPr>
          <w:trHeight w:val="77"/>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Former Chief Financial</w:t>
            </w:r>
          </w:p>
        </w:tc>
        <w:tc>
          <w:tcPr>
            <w:tcW w:w="380" w:type="dxa"/>
            <w:vAlign w:val="bottom"/>
            <w:tcBorders>
              <w:bottom w:val="single" w:sz="8" w:color="939598"/>
            </w:tcBorders>
          </w:tcPr>
          <w:p>
            <w:pPr>
              <w:spacing w:after="0"/>
              <w:rPr>
                <w:sz w:val="6"/>
                <w:szCs w:val="6"/>
                <w:color w:val="auto"/>
              </w:rPr>
            </w:pPr>
          </w:p>
        </w:tc>
        <w:tc>
          <w:tcPr>
            <w:tcW w:w="68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74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8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120" w:type="dxa"/>
            <w:vAlign w:val="bottom"/>
            <w:vMerge w:val="continue"/>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2025</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855,938</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4,000,076</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color w:val="auto"/>
              </w:rPr>
              <w:t>1,266,829</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25,350</w:t>
            </w: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color w:val="auto"/>
              </w:rPr>
              <w:t>6,148,193</w:t>
            </w:r>
          </w:p>
        </w:tc>
        <w:tc>
          <w:tcPr>
            <w:tcW w:w="0" w:type="dxa"/>
            <w:vAlign w:val="bottom"/>
          </w:tcPr>
          <w:p>
            <w:pPr>
              <w:spacing w:after="0"/>
              <w:rPr>
                <w:sz w:val="1"/>
                <w:szCs w:val="1"/>
                <w:color w:val="auto"/>
              </w:rPr>
            </w:pPr>
          </w:p>
        </w:tc>
      </w:tr>
      <w:tr>
        <w:trPr>
          <w:trHeight w:val="119"/>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Officer</w:t>
            </w: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120" w:type="dxa"/>
            <w:vAlign w:val="bottom"/>
            <w:vMerge w:val="continue"/>
          </w:tcPr>
          <w:p>
            <w:pPr>
              <w:spacing w:after="0"/>
              <w:rPr>
                <w:sz w:val="4"/>
                <w:szCs w:val="4"/>
                <w:color w:val="auto"/>
              </w:rPr>
            </w:pPr>
          </w:p>
        </w:tc>
        <w:tc>
          <w:tcPr>
            <w:tcW w:w="38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74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82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120" w:type="dxa"/>
            <w:vAlign w:val="bottom"/>
            <w:tcBorders>
              <w:bottom w:val="single" w:sz="8" w:color="F0533D"/>
            </w:tcBorders>
          </w:tcPr>
          <w:p>
            <w:pPr>
              <w:spacing w:after="0"/>
              <w:rPr>
                <w:sz w:val="15"/>
                <w:szCs w:val="15"/>
                <w:color w:val="auto"/>
              </w:rPr>
            </w:pPr>
          </w:p>
        </w:tc>
        <w:tc>
          <w:tcPr>
            <w:tcW w:w="3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813,750</w:t>
            </w:r>
          </w:p>
        </w:tc>
        <w:tc>
          <w:tcPr>
            <w:tcW w:w="56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4,000,037</w:t>
            </w:r>
          </w:p>
        </w:tc>
        <w:tc>
          <w:tcPr>
            <w:tcW w:w="5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134"/>
              <w:spacing w:after="0"/>
              <w:rPr>
                <w:sz w:val="20"/>
                <w:szCs w:val="20"/>
                <w:color w:val="auto"/>
              </w:rPr>
            </w:pPr>
            <w:r>
              <w:rPr>
                <w:rFonts w:ascii="Arial" w:cs="Arial" w:eastAsia="Arial" w:hAnsi="Arial"/>
                <w:sz w:val="13"/>
                <w:szCs w:val="13"/>
                <w:color w:val="auto"/>
              </w:rPr>
              <w:t>1,647,968</w:t>
            </w:r>
          </w:p>
        </w:tc>
        <w:tc>
          <w:tcPr>
            <w:tcW w:w="10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F0533D"/>
            </w:tcBorders>
          </w:tcPr>
          <w:p>
            <w:pPr>
              <w:jc w:val="right"/>
              <w:ind w:right="154"/>
              <w:spacing w:after="0"/>
              <w:rPr>
                <w:sz w:val="20"/>
                <w:szCs w:val="20"/>
                <w:color w:val="auto"/>
              </w:rPr>
            </w:pPr>
            <w:r>
              <w:rPr>
                <w:rFonts w:ascii="Arial" w:cs="Arial" w:eastAsia="Arial" w:hAnsi="Arial"/>
                <w:sz w:val="13"/>
                <w:szCs w:val="13"/>
                <w:color w:val="auto"/>
              </w:rPr>
              <w:t>20,802</w:t>
            </w:r>
          </w:p>
        </w:tc>
        <w:tc>
          <w:tcPr>
            <w:tcW w:w="820" w:type="dxa"/>
            <w:vAlign w:val="bottom"/>
            <w:tcBorders>
              <w:bottom w:val="single" w:sz="8" w:color="F0533D"/>
            </w:tcBorders>
          </w:tcPr>
          <w:p>
            <w:pPr>
              <w:jc w:val="right"/>
              <w:ind w:right="54"/>
              <w:spacing w:after="0"/>
              <w:rPr>
                <w:sz w:val="20"/>
                <w:szCs w:val="20"/>
                <w:color w:val="auto"/>
              </w:rPr>
            </w:pPr>
            <w:r>
              <w:rPr>
                <w:rFonts w:ascii="Arial" w:cs="Arial" w:eastAsia="Arial" w:hAnsi="Arial"/>
                <w:sz w:val="13"/>
                <w:szCs w:val="13"/>
                <w:color w:val="auto"/>
              </w:rPr>
              <w:t>6,482,557</w:t>
            </w:r>
          </w:p>
        </w:tc>
        <w:tc>
          <w:tcPr>
            <w:tcW w:w="0" w:type="dxa"/>
            <w:vAlign w:val="bottom"/>
          </w:tcPr>
          <w:p>
            <w:pPr>
              <w:spacing w:after="0"/>
              <w:rPr>
                <w:sz w:val="1"/>
                <w:szCs w:val="1"/>
                <w:color w:val="auto"/>
              </w:rPr>
            </w:pPr>
          </w:p>
        </w:tc>
      </w:tr>
      <w:tr>
        <w:trPr>
          <w:trHeight w:val="152"/>
        </w:trPr>
        <w:tc>
          <w:tcPr>
            <w:tcW w:w="2120" w:type="dxa"/>
            <w:vAlign w:val="bottom"/>
          </w:tcPr>
          <w:p>
            <w:pPr>
              <w:ind w:left="140"/>
              <w:spacing w:after="0"/>
              <w:rPr>
                <w:sz w:val="20"/>
                <w:szCs w:val="20"/>
                <w:color w:val="auto"/>
              </w:rPr>
            </w:pPr>
            <w:r>
              <w:rPr>
                <w:rFonts w:ascii="Arial" w:cs="Arial" w:eastAsia="Arial" w:hAnsi="Arial"/>
                <w:sz w:val="13"/>
                <w:szCs w:val="13"/>
                <w:color w:val="auto"/>
              </w:rPr>
              <w:t>Edward Sebold</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742,500</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2,000,029</w:t>
            </w:r>
          </w:p>
        </w:tc>
        <w:tc>
          <w:tcPr>
            <w:tcW w:w="560" w:type="dxa"/>
            <w:vAlign w:val="bottom"/>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547,947</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1,336,566</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4,627,042</w:t>
            </w:r>
          </w:p>
        </w:tc>
        <w:tc>
          <w:tcPr>
            <w:tcW w:w="0" w:type="dxa"/>
            <w:vAlign w:val="bottom"/>
          </w:tcPr>
          <w:p>
            <w:pPr>
              <w:spacing w:after="0"/>
              <w:rPr>
                <w:sz w:val="1"/>
                <w:szCs w:val="1"/>
                <w:color w:val="auto"/>
              </w:rPr>
            </w:pPr>
          </w:p>
        </w:tc>
      </w:tr>
      <w:tr>
        <w:trPr>
          <w:trHeight w:val="77"/>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Former General Counsel and</w:t>
            </w:r>
          </w:p>
        </w:tc>
        <w:tc>
          <w:tcPr>
            <w:tcW w:w="380" w:type="dxa"/>
            <w:vAlign w:val="bottom"/>
            <w:tcBorders>
              <w:bottom w:val="single" w:sz="8" w:color="939598"/>
            </w:tcBorders>
          </w:tcPr>
          <w:p>
            <w:pPr>
              <w:spacing w:after="0"/>
              <w:rPr>
                <w:sz w:val="6"/>
                <w:szCs w:val="6"/>
                <w:color w:val="auto"/>
              </w:rPr>
            </w:pPr>
          </w:p>
        </w:tc>
        <w:tc>
          <w:tcPr>
            <w:tcW w:w="68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740" w:type="dxa"/>
            <w:vAlign w:val="bottom"/>
            <w:tcBorders>
              <w:bottom w:val="single" w:sz="8" w:color="939598"/>
            </w:tcBorders>
          </w:tcPr>
          <w:p>
            <w:pPr>
              <w:spacing w:after="0"/>
              <w:rPr>
                <w:sz w:val="6"/>
                <w:szCs w:val="6"/>
                <w:color w:val="auto"/>
              </w:rPr>
            </w:pPr>
          </w:p>
        </w:tc>
        <w:tc>
          <w:tcPr>
            <w:tcW w:w="56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1000" w:type="dxa"/>
            <w:vAlign w:val="bottom"/>
            <w:tcBorders>
              <w:bottom w:val="single" w:sz="8" w:color="939598"/>
            </w:tcBorders>
          </w:tcPr>
          <w:p>
            <w:pPr>
              <w:spacing w:after="0"/>
              <w:rPr>
                <w:sz w:val="6"/>
                <w:szCs w:val="6"/>
                <w:color w:val="auto"/>
              </w:rPr>
            </w:pPr>
          </w:p>
        </w:tc>
        <w:tc>
          <w:tcPr>
            <w:tcW w:w="820" w:type="dxa"/>
            <w:vAlign w:val="bottom"/>
            <w:tcBorders>
              <w:bottom w:val="single" w:sz="8" w:color="939598"/>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120" w:type="dxa"/>
            <w:vAlign w:val="bottom"/>
            <w:vMerge w:val="continue"/>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2025</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726,250</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1,500,047</w:t>
            </w:r>
          </w:p>
        </w:tc>
        <w:tc>
          <w:tcPr>
            <w:tcW w:w="56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1000" w:type="dxa"/>
            <w:vAlign w:val="bottom"/>
            <w:vMerge w:val="restart"/>
          </w:tcPr>
          <w:p>
            <w:pPr>
              <w:jc w:val="right"/>
              <w:ind w:right="134"/>
              <w:spacing w:after="0"/>
              <w:rPr>
                <w:sz w:val="20"/>
                <w:szCs w:val="20"/>
                <w:color w:val="auto"/>
              </w:rPr>
            </w:pPr>
            <w:r>
              <w:rPr>
                <w:rFonts w:ascii="Arial" w:cs="Arial" w:eastAsia="Arial" w:hAnsi="Arial"/>
                <w:sz w:val="13"/>
                <w:szCs w:val="13"/>
                <w:color w:val="auto"/>
              </w:rPr>
              <w:t>1,074,885</w:t>
            </w:r>
          </w:p>
        </w:tc>
        <w:tc>
          <w:tcPr>
            <w:tcW w:w="1000" w:type="dxa"/>
            <w:vAlign w:val="bottom"/>
            <w:vMerge w:val="restart"/>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vMerge w:val="restart"/>
          </w:tcPr>
          <w:p>
            <w:pPr>
              <w:jc w:val="right"/>
              <w:ind w:right="154"/>
              <w:spacing w:after="0"/>
              <w:rPr>
                <w:sz w:val="20"/>
                <w:szCs w:val="20"/>
                <w:color w:val="auto"/>
              </w:rPr>
            </w:pPr>
            <w:r>
              <w:rPr>
                <w:rFonts w:ascii="Arial" w:cs="Arial" w:eastAsia="Arial" w:hAnsi="Arial"/>
                <w:sz w:val="13"/>
                <w:szCs w:val="13"/>
                <w:color w:val="auto"/>
              </w:rPr>
              <w:t>142,093</w:t>
            </w:r>
          </w:p>
        </w:tc>
        <w:tc>
          <w:tcPr>
            <w:tcW w:w="820" w:type="dxa"/>
            <w:vAlign w:val="bottom"/>
            <w:vMerge w:val="restart"/>
          </w:tcPr>
          <w:p>
            <w:pPr>
              <w:jc w:val="right"/>
              <w:ind w:right="54"/>
              <w:spacing w:after="0"/>
              <w:rPr>
                <w:sz w:val="20"/>
                <w:szCs w:val="20"/>
                <w:color w:val="auto"/>
              </w:rPr>
            </w:pPr>
            <w:r>
              <w:rPr>
                <w:rFonts w:ascii="Arial" w:cs="Arial" w:eastAsia="Arial" w:hAnsi="Arial"/>
                <w:sz w:val="13"/>
                <w:szCs w:val="13"/>
                <w:color w:val="auto"/>
              </w:rPr>
              <w:t>3,443,275</w:t>
            </w:r>
          </w:p>
        </w:tc>
        <w:tc>
          <w:tcPr>
            <w:tcW w:w="0" w:type="dxa"/>
            <w:vAlign w:val="bottom"/>
          </w:tcPr>
          <w:p>
            <w:pPr>
              <w:spacing w:after="0"/>
              <w:rPr>
                <w:sz w:val="1"/>
                <w:szCs w:val="1"/>
                <w:color w:val="auto"/>
              </w:rPr>
            </w:pPr>
          </w:p>
        </w:tc>
      </w:tr>
      <w:tr>
        <w:trPr>
          <w:trHeight w:val="119"/>
        </w:trPr>
        <w:tc>
          <w:tcPr>
            <w:tcW w:w="2120" w:type="dxa"/>
            <w:vAlign w:val="bottom"/>
            <w:vMerge w:val="restart"/>
          </w:tcPr>
          <w:p>
            <w:pPr>
              <w:ind w:left="320"/>
              <w:spacing w:after="0"/>
              <w:rPr>
                <w:sz w:val="20"/>
                <w:szCs w:val="20"/>
                <w:color w:val="auto"/>
              </w:rPr>
            </w:pPr>
            <w:r>
              <w:rPr>
                <w:rFonts w:ascii="Arial" w:cs="Arial" w:eastAsia="Arial" w:hAnsi="Arial"/>
                <w:sz w:val="13"/>
                <w:szCs w:val="13"/>
                <w:i w:val="1"/>
                <w:iCs w:val="1"/>
                <w:color w:val="auto"/>
              </w:rPr>
              <w:t>Secretary</w:t>
            </w: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120" w:type="dxa"/>
            <w:vAlign w:val="bottom"/>
            <w:vMerge w:val="continue"/>
          </w:tcPr>
          <w:p>
            <w:pPr>
              <w:spacing w:after="0"/>
              <w:rPr>
                <w:sz w:val="4"/>
                <w:szCs w:val="4"/>
                <w:color w:val="auto"/>
              </w:rPr>
            </w:pPr>
          </w:p>
        </w:tc>
        <w:tc>
          <w:tcPr>
            <w:tcW w:w="380" w:type="dxa"/>
            <w:vAlign w:val="bottom"/>
            <w:tcBorders>
              <w:bottom w:val="single" w:sz="8" w:color="939598"/>
            </w:tcBorders>
          </w:tcPr>
          <w:p>
            <w:pPr>
              <w:spacing w:after="0"/>
              <w:rPr>
                <w:sz w:val="4"/>
                <w:szCs w:val="4"/>
                <w:color w:val="auto"/>
              </w:rPr>
            </w:pPr>
          </w:p>
        </w:tc>
        <w:tc>
          <w:tcPr>
            <w:tcW w:w="68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740" w:type="dxa"/>
            <w:vAlign w:val="bottom"/>
            <w:tcBorders>
              <w:bottom w:val="single" w:sz="8" w:color="939598"/>
            </w:tcBorders>
          </w:tcPr>
          <w:p>
            <w:pPr>
              <w:spacing w:after="0"/>
              <w:rPr>
                <w:sz w:val="4"/>
                <w:szCs w:val="4"/>
                <w:color w:val="auto"/>
              </w:rPr>
            </w:pPr>
          </w:p>
        </w:tc>
        <w:tc>
          <w:tcPr>
            <w:tcW w:w="56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1000" w:type="dxa"/>
            <w:vAlign w:val="bottom"/>
            <w:tcBorders>
              <w:bottom w:val="single" w:sz="8" w:color="939598"/>
            </w:tcBorders>
          </w:tcPr>
          <w:p>
            <w:pPr>
              <w:spacing w:after="0"/>
              <w:rPr>
                <w:sz w:val="4"/>
                <w:szCs w:val="4"/>
                <w:color w:val="auto"/>
              </w:rPr>
            </w:pPr>
          </w:p>
        </w:tc>
        <w:tc>
          <w:tcPr>
            <w:tcW w:w="82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120" w:type="dxa"/>
            <w:vAlign w:val="bottom"/>
            <w:tcBorders>
              <w:bottom w:val="single" w:sz="8" w:color="F0533D"/>
            </w:tcBorders>
          </w:tcPr>
          <w:p>
            <w:pPr>
              <w:spacing w:after="0"/>
              <w:rPr>
                <w:sz w:val="15"/>
                <w:szCs w:val="15"/>
                <w:color w:val="auto"/>
              </w:rPr>
            </w:pPr>
          </w:p>
        </w:tc>
        <w:tc>
          <w:tcPr>
            <w:tcW w:w="3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2024</w:t>
            </w:r>
          </w:p>
        </w:tc>
        <w:tc>
          <w:tcPr>
            <w:tcW w:w="68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691,667</w:t>
            </w:r>
          </w:p>
        </w:tc>
        <w:tc>
          <w:tcPr>
            <w:tcW w:w="56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1,500,046</w:t>
            </w:r>
          </w:p>
        </w:tc>
        <w:tc>
          <w:tcPr>
            <w:tcW w:w="5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134"/>
              <w:spacing w:after="0"/>
              <w:rPr>
                <w:sz w:val="20"/>
                <w:szCs w:val="20"/>
                <w:color w:val="auto"/>
              </w:rPr>
            </w:pPr>
            <w:r>
              <w:rPr>
                <w:rFonts w:ascii="Arial" w:cs="Arial" w:eastAsia="Arial" w:hAnsi="Arial"/>
                <w:sz w:val="13"/>
                <w:szCs w:val="13"/>
                <w:color w:val="auto"/>
              </w:rPr>
              <w:t>1,400,717</w:t>
            </w:r>
          </w:p>
        </w:tc>
        <w:tc>
          <w:tcPr>
            <w:tcW w:w="10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Borders>
              <w:bottom w:val="single" w:sz="8" w:color="F0533D"/>
            </w:tcBorders>
          </w:tcPr>
          <w:p>
            <w:pPr>
              <w:jc w:val="right"/>
              <w:ind w:right="154"/>
              <w:spacing w:after="0"/>
              <w:rPr>
                <w:sz w:val="20"/>
                <w:szCs w:val="20"/>
                <w:color w:val="auto"/>
              </w:rPr>
            </w:pPr>
            <w:r>
              <w:rPr>
                <w:rFonts w:ascii="Arial" w:cs="Arial" w:eastAsia="Arial" w:hAnsi="Arial"/>
                <w:sz w:val="13"/>
                <w:szCs w:val="13"/>
                <w:color w:val="auto"/>
              </w:rPr>
              <w:t>101,253</w:t>
            </w:r>
          </w:p>
        </w:tc>
        <w:tc>
          <w:tcPr>
            <w:tcW w:w="820" w:type="dxa"/>
            <w:vAlign w:val="bottom"/>
            <w:tcBorders>
              <w:bottom w:val="single" w:sz="8" w:color="F0533D"/>
            </w:tcBorders>
          </w:tcPr>
          <w:p>
            <w:pPr>
              <w:jc w:val="right"/>
              <w:ind w:right="54"/>
              <w:spacing w:after="0"/>
              <w:rPr>
                <w:sz w:val="20"/>
                <w:szCs w:val="20"/>
                <w:color w:val="auto"/>
              </w:rPr>
            </w:pPr>
            <w:r>
              <w:rPr>
                <w:rFonts w:ascii="Arial" w:cs="Arial" w:eastAsia="Arial" w:hAnsi="Arial"/>
                <w:sz w:val="13"/>
                <w:szCs w:val="13"/>
                <w:color w:val="auto"/>
              </w:rPr>
              <w:t>3,693,683</w:t>
            </w:r>
          </w:p>
        </w:tc>
        <w:tc>
          <w:tcPr>
            <w:tcW w:w="0" w:type="dxa"/>
            <w:vAlign w:val="bottom"/>
          </w:tcPr>
          <w:p>
            <w:pPr>
              <w:spacing w:after="0"/>
              <w:rPr>
                <w:sz w:val="1"/>
                <w:szCs w:val="1"/>
                <w:color w:val="auto"/>
              </w:rPr>
            </w:pPr>
          </w:p>
        </w:tc>
      </w:tr>
      <w:tr>
        <w:trPr>
          <w:trHeight w:val="152"/>
        </w:trPr>
        <w:tc>
          <w:tcPr>
            <w:tcW w:w="2120" w:type="dxa"/>
            <w:vAlign w:val="bottom"/>
          </w:tcPr>
          <w:p>
            <w:pPr>
              <w:ind w:left="140"/>
              <w:spacing w:after="0"/>
              <w:rPr>
                <w:sz w:val="20"/>
                <w:szCs w:val="20"/>
                <w:color w:val="auto"/>
              </w:rPr>
            </w:pPr>
            <w:r>
              <w:rPr>
                <w:rFonts w:ascii="Arial" w:cs="Arial" w:eastAsia="Arial" w:hAnsi="Arial"/>
                <w:sz w:val="13"/>
                <w:szCs w:val="13"/>
                <w:color w:val="auto"/>
              </w:rPr>
              <w:t>Vineet Khurana</w:t>
            </w:r>
          </w:p>
        </w:tc>
        <w:tc>
          <w:tcPr>
            <w:tcW w:w="380" w:type="dxa"/>
            <w:vAlign w:val="bottom"/>
          </w:tcPr>
          <w:p>
            <w:pPr>
              <w:jc w:val="right"/>
              <w:spacing w:after="0"/>
              <w:rPr>
                <w:sz w:val="20"/>
                <w:szCs w:val="20"/>
                <w:color w:val="auto"/>
              </w:rPr>
            </w:pPr>
            <w:r>
              <w:rPr>
                <w:rFonts w:ascii="Arial" w:cs="Arial" w:eastAsia="Arial" w:hAnsi="Arial"/>
                <w:sz w:val="13"/>
                <w:szCs w:val="13"/>
                <w:color w:val="auto"/>
              </w:rPr>
              <w:t>2026</w:t>
            </w:r>
          </w:p>
        </w:tc>
        <w:tc>
          <w:tcPr>
            <w:tcW w:w="680" w:type="dxa"/>
            <w:vAlign w:val="bottom"/>
          </w:tcPr>
          <w:p>
            <w:pPr>
              <w:jc w:val="right"/>
              <w:spacing w:after="0"/>
              <w:rPr>
                <w:sz w:val="20"/>
                <w:szCs w:val="20"/>
                <w:color w:val="auto"/>
              </w:rPr>
            </w:pPr>
            <w:r>
              <w:rPr>
                <w:rFonts w:ascii="Arial" w:cs="Arial" w:eastAsia="Arial" w:hAnsi="Arial"/>
                <w:sz w:val="13"/>
                <w:szCs w:val="13"/>
                <w:color w:val="auto"/>
              </w:rPr>
              <w:t>517,125</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1,760,081</w:t>
            </w:r>
          </w:p>
        </w:tc>
        <w:tc>
          <w:tcPr>
            <w:tcW w:w="560" w:type="dxa"/>
            <w:vAlign w:val="bottom"/>
          </w:tcPr>
          <w:p>
            <w:pPr>
              <w:jc w:val="center"/>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4"/>
              <w:spacing w:after="0"/>
              <w:rPr>
                <w:sz w:val="20"/>
                <w:szCs w:val="20"/>
                <w:color w:val="auto"/>
              </w:rPr>
            </w:pPr>
            <w:r>
              <w:rPr>
                <w:rFonts w:ascii="Arial" w:cs="Arial" w:eastAsia="Arial" w:hAnsi="Arial"/>
                <w:sz w:val="13"/>
                <w:szCs w:val="13"/>
                <w:color w:val="auto"/>
              </w:rPr>
              <w:t>359,541</w:t>
            </w:r>
          </w:p>
        </w:tc>
        <w:tc>
          <w:tcPr>
            <w:tcW w:w="10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85,058</w:t>
            </w:r>
          </w:p>
        </w:tc>
        <w:tc>
          <w:tcPr>
            <w:tcW w:w="820" w:type="dxa"/>
            <w:vAlign w:val="bottom"/>
          </w:tcPr>
          <w:p>
            <w:pPr>
              <w:jc w:val="right"/>
              <w:ind w:right="54"/>
              <w:spacing w:after="0"/>
              <w:rPr>
                <w:sz w:val="20"/>
                <w:szCs w:val="20"/>
                <w:color w:val="auto"/>
              </w:rPr>
            </w:pPr>
            <w:r>
              <w:rPr>
                <w:rFonts w:ascii="Arial" w:cs="Arial" w:eastAsia="Arial" w:hAnsi="Arial"/>
                <w:sz w:val="13"/>
                <w:szCs w:val="13"/>
                <w:color w:val="auto"/>
              </w:rPr>
              <w:t>2,721,805</w:t>
            </w:r>
          </w:p>
        </w:tc>
        <w:tc>
          <w:tcPr>
            <w:tcW w:w="0" w:type="dxa"/>
            <w:vAlign w:val="bottom"/>
          </w:tcPr>
          <w:p>
            <w:pPr>
              <w:spacing w:after="0"/>
              <w:rPr>
                <w:sz w:val="1"/>
                <w:szCs w:val="1"/>
                <w:color w:val="auto"/>
              </w:rPr>
            </w:pPr>
          </w:p>
        </w:tc>
      </w:tr>
      <w:tr>
        <w:trPr>
          <w:trHeight w:val="148"/>
        </w:trPr>
        <w:tc>
          <w:tcPr>
            <w:tcW w:w="2120" w:type="dxa"/>
            <w:vAlign w:val="bottom"/>
          </w:tcPr>
          <w:p>
            <w:pPr>
              <w:ind w:left="320"/>
              <w:spacing w:after="0"/>
              <w:rPr>
                <w:sz w:val="20"/>
                <w:szCs w:val="20"/>
                <w:color w:val="auto"/>
              </w:rPr>
            </w:pPr>
            <w:r>
              <w:rPr>
                <w:rFonts w:ascii="Arial" w:cs="Arial" w:eastAsia="Arial" w:hAnsi="Arial"/>
                <w:sz w:val="13"/>
                <w:szCs w:val="13"/>
                <w:i w:val="1"/>
                <w:iCs w:val="1"/>
                <w:color w:val="auto"/>
              </w:rPr>
              <w:t>Former Senior Vice President</w:t>
            </w:r>
          </w:p>
        </w:tc>
        <w:tc>
          <w:tcPr>
            <w:tcW w:w="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20" w:type="dxa"/>
            <w:vAlign w:val="bottom"/>
            <w:tcBorders>
              <w:bottom w:val="single" w:sz="8" w:color="F0533D"/>
            </w:tcBorders>
          </w:tcPr>
          <w:p>
            <w:pPr>
              <w:ind w:left="320"/>
              <w:spacing w:after="0"/>
              <w:rPr>
                <w:sz w:val="20"/>
                <w:szCs w:val="20"/>
                <w:color w:val="auto"/>
              </w:rPr>
            </w:pPr>
            <w:r>
              <w:rPr>
                <w:rFonts w:ascii="Arial" w:cs="Arial" w:eastAsia="Arial" w:hAnsi="Arial"/>
                <w:sz w:val="13"/>
                <w:szCs w:val="13"/>
                <w:i w:val="1"/>
                <w:iCs w:val="1"/>
                <w:color w:val="auto"/>
              </w:rPr>
              <w:t>and Global Controller</w:t>
            </w:r>
          </w:p>
        </w:tc>
        <w:tc>
          <w:tcPr>
            <w:tcW w:w="380" w:type="dxa"/>
            <w:vAlign w:val="bottom"/>
            <w:tcBorders>
              <w:bottom w:val="single" w:sz="8" w:color="F0533D"/>
            </w:tcBorders>
          </w:tcPr>
          <w:p>
            <w:pPr>
              <w:spacing w:after="0"/>
              <w:rPr>
                <w:sz w:val="13"/>
                <w:szCs w:val="13"/>
                <w:color w:val="auto"/>
              </w:rPr>
            </w:pPr>
          </w:p>
        </w:tc>
        <w:tc>
          <w:tcPr>
            <w:tcW w:w="680" w:type="dxa"/>
            <w:vAlign w:val="bottom"/>
            <w:tcBorders>
              <w:bottom w:val="single" w:sz="8" w:color="F0533D"/>
            </w:tcBorders>
          </w:tcPr>
          <w:p>
            <w:pPr>
              <w:spacing w:after="0"/>
              <w:rPr>
                <w:sz w:val="13"/>
                <w:szCs w:val="13"/>
                <w:color w:val="auto"/>
              </w:rPr>
            </w:pPr>
          </w:p>
        </w:tc>
        <w:tc>
          <w:tcPr>
            <w:tcW w:w="560" w:type="dxa"/>
            <w:vAlign w:val="bottom"/>
            <w:tcBorders>
              <w:bottom w:val="single" w:sz="8" w:color="F0533D"/>
            </w:tcBorders>
          </w:tcPr>
          <w:p>
            <w:pPr>
              <w:spacing w:after="0"/>
              <w:rPr>
                <w:sz w:val="13"/>
                <w:szCs w:val="13"/>
                <w:color w:val="auto"/>
              </w:rPr>
            </w:pPr>
          </w:p>
        </w:tc>
        <w:tc>
          <w:tcPr>
            <w:tcW w:w="740" w:type="dxa"/>
            <w:vAlign w:val="bottom"/>
            <w:tcBorders>
              <w:bottom w:val="single" w:sz="8" w:color="F0533D"/>
            </w:tcBorders>
          </w:tcPr>
          <w:p>
            <w:pPr>
              <w:spacing w:after="0"/>
              <w:rPr>
                <w:sz w:val="13"/>
                <w:szCs w:val="13"/>
                <w:color w:val="auto"/>
              </w:rPr>
            </w:pPr>
          </w:p>
        </w:tc>
        <w:tc>
          <w:tcPr>
            <w:tcW w:w="560" w:type="dxa"/>
            <w:vAlign w:val="bottom"/>
            <w:tcBorders>
              <w:bottom w:val="single" w:sz="8" w:color="F0533D"/>
            </w:tcBorders>
          </w:tcPr>
          <w:p>
            <w:pPr>
              <w:spacing w:after="0"/>
              <w:rPr>
                <w:sz w:val="13"/>
                <w:szCs w:val="13"/>
                <w:color w:val="auto"/>
              </w:rPr>
            </w:pPr>
          </w:p>
        </w:tc>
        <w:tc>
          <w:tcPr>
            <w:tcW w:w="1000" w:type="dxa"/>
            <w:vAlign w:val="bottom"/>
            <w:tcBorders>
              <w:bottom w:val="single" w:sz="8" w:color="F0533D"/>
            </w:tcBorders>
          </w:tcPr>
          <w:p>
            <w:pPr>
              <w:spacing w:after="0"/>
              <w:rPr>
                <w:sz w:val="13"/>
                <w:szCs w:val="13"/>
                <w:color w:val="auto"/>
              </w:rPr>
            </w:pPr>
          </w:p>
        </w:tc>
        <w:tc>
          <w:tcPr>
            <w:tcW w:w="1000" w:type="dxa"/>
            <w:vAlign w:val="bottom"/>
            <w:tcBorders>
              <w:bottom w:val="single" w:sz="8" w:color="F0533D"/>
            </w:tcBorders>
          </w:tcPr>
          <w:p>
            <w:pPr>
              <w:spacing w:after="0"/>
              <w:rPr>
                <w:sz w:val="13"/>
                <w:szCs w:val="13"/>
                <w:color w:val="auto"/>
              </w:rPr>
            </w:pPr>
          </w:p>
        </w:tc>
        <w:tc>
          <w:tcPr>
            <w:tcW w:w="1000" w:type="dxa"/>
            <w:vAlign w:val="bottom"/>
            <w:tcBorders>
              <w:bottom w:val="single" w:sz="8" w:color="F0533D"/>
            </w:tcBorders>
          </w:tcPr>
          <w:p>
            <w:pPr>
              <w:spacing w:after="0"/>
              <w:rPr>
                <w:sz w:val="13"/>
                <w:szCs w:val="13"/>
                <w:color w:val="auto"/>
              </w:rPr>
            </w:pPr>
          </w:p>
        </w:tc>
        <w:tc>
          <w:tcPr>
            <w:tcW w:w="820" w:type="dxa"/>
            <w:vAlign w:val="bottom"/>
            <w:tcBorders>
              <w:bottom w:val="single" w:sz="8" w:color="F0533D"/>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40" w:right="299" w:hanging="356"/>
        <w:spacing w:after="0" w:line="206" w:lineRule="auto"/>
        <w:tabs>
          <w:tab w:leader="none" w:pos="540" w:val="left"/>
        </w:tabs>
        <w:numPr>
          <w:ilvl w:val="0"/>
          <w:numId w:val="80"/>
        </w:numPr>
        <w:rPr>
          <w:rFonts w:ascii="Arial" w:cs="Arial" w:eastAsia="Arial" w:hAnsi="Arial"/>
          <w:sz w:val="23"/>
          <w:szCs w:val="23"/>
          <w:color w:val="auto"/>
          <w:vertAlign w:val="superscript"/>
        </w:rPr>
      </w:pPr>
      <w:r>
        <w:rPr>
          <w:rFonts w:ascii="Arial" w:cs="Arial" w:eastAsia="Arial" w:hAnsi="Arial"/>
          <w:sz w:val="15"/>
          <w:szCs w:val="15"/>
          <w:color w:val="auto"/>
        </w:rPr>
        <w:t>Amounts in this column reflect the salary earned during the relevant fiscal period, whether paid or deferred under our Excess Plan. The fiscal 2026 base salaries for the NEOs (as described under “Compensation Discussion and Analysis — Elements of Compensation and Compensation Decisions — Base Salaries”) became effective July 1, 2025.</w:t>
      </w:r>
    </w:p>
    <w:p>
      <w:pPr>
        <w:spacing w:after="0" w:line="70" w:lineRule="exact"/>
        <w:rPr>
          <w:rFonts w:ascii="Arial" w:cs="Arial" w:eastAsia="Arial" w:hAnsi="Arial"/>
          <w:sz w:val="23"/>
          <w:szCs w:val="23"/>
          <w:color w:val="auto"/>
          <w:vertAlign w:val="superscript"/>
        </w:rPr>
      </w:pPr>
    </w:p>
    <w:p>
      <w:pPr>
        <w:ind w:left="540" w:right="99" w:hanging="356"/>
        <w:spacing w:after="0"/>
        <w:tabs>
          <w:tab w:leader="none" w:pos="540" w:val="left"/>
        </w:tabs>
        <w:numPr>
          <w:ilvl w:val="0"/>
          <w:numId w:val="80"/>
        </w:numPr>
        <w:rPr>
          <w:rFonts w:ascii="Arial" w:cs="Arial" w:eastAsia="Arial" w:hAnsi="Arial"/>
          <w:sz w:val="23"/>
          <w:szCs w:val="23"/>
          <w:color w:val="auto"/>
          <w:vertAlign w:val="superscript"/>
        </w:rPr>
      </w:pPr>
      <w:r>
        <w:rPr>
          <w:rFonts w:ascii="Arial" w:cs="Arial" w:eastAsia="Arial" w:hAnsi="Arial"/>
          <w:sz w:val="15"/>
          <w:szCs w:val="15"/>
          <w:color w:val="auto"/>
        </w:rPr>
        <w:t>Amounts in this column reflect for Messrs. Chugh and Ringes: (1) supplemental monthly cash bonus payments in connection with their appointment in February 2026 as Interim Chief Financial Officer and Interim General Counsel, respectively, while they serve in their new roles (as described under “Compensation Discussion and Analysis — Elements of Compensation and Compensation Decisions — Supplemental Monthly Cash Bonus Payment”) and (2) long-term cash awards that vested during fiscal 2026 under a long-term cash award previously granted in 2022, 2023 and 2024 (as described under “Compensation Discussion and Analysis — Elements of Compensation and Compensation Decisions — Executive Long-Term Cash Awards”).</w:t>
      </w:r>
    </w:p>
    <w:p>
      <w:pPr>
        <w:spacing w:after="0" w:line="115" w:lineRule="exact"/>
        <w:rPr>
          <w:rFonts w:ascii="Arial" w:cs="Arial" w:eastAsia="Arial" w:hAnsi="Arial"/>
          <w:sz w:val="23"/>
          <w:szCs w:val="23"/>
          <w:color w:val="auto"/>
          <w:vertAlign w:val="superscript"/>
        </w:rPr>
      </w:pPr>
    </w:p>
    <w:p>
      <w:pPr>
        <w:ind w:left="540" w:right="139" w:hanging="356"/>
        <w:spacing w:after="0" w:line="212" w:lineRule="auto"/>
        <w:tabs>
          <w:tab w:leader="none" w:pos="540" w:val="left"/>
        </w:tabs>
        <w:numPr>
          <w:ilvl w:val="0"/>
          <w:numId w:val="80"/>
        </w:numPr>
        <w:rPr>
          <w:rFonts w:ascii="Arial" w:cs="Arial" w:eastAsia="Arial" w:hAnsi="Arial"/>
          <w:sz w:val="23"/>
          <w:szCs w:val="23"/>
          <w:color w:val="auto"/>
          <w:vertAlign w:val="superscript"/>
        </w:rPr>
      </w:pPr>
      <w:r>
        <w:rPr>
          <w:rFonts w:ascii="Arial" w:cs="Arial" w:eastAsia="Arial" w:hAnsi="Arial"/>
          <w:sz w:val="15"/>
          <w:szCs w:val="15"/>
          <w:color w:val="auto"/>
        </w:rPr>
        <w:t>Amounts in this column reflect the aggregate grant date fair value of stock awards granted to the NEOs during each of the periods presented, computed in accordance with Topic 718. The grant date fair value of the RSUs and PSUs issued was determined using the assumptions discussed under “Stock-Based Compensation” in Note 1 — “Significant Accounting Policies” and Note 16 — “Stock-Based Compensation” to the financial statements for the fiscal year ended March 31, 2026 included in our Fiscal 2026 Form 10-K. The amounts for the PSUs granted in fiscal 2026 included within the total amount in the “Stock Awards” column reflect the grant date fair value based upon the probable outcome of the performance conditions (as described under “Compensation Discussion and Analysis — Elements of Compensation and Compensation Decisions</w:t>
      </w:r>
    </w:p>
    <w:p>
      <w:pPr>
        <w:ind w:left="540" w:right="179"/>
        <w:spacing w:after="0" w:line="232" w:lineRule="auto"/>
        <w:rPr>
          <w:rFonts w:ascii="Arial" w:cs="Arial" w:eastAsia="Arial" w:hAnsi="Arial"/>
          <w:sz w:val="23"/>
          <w:szCs w:val="23"/>
          <w:color w:val="auto"/>
          <w:vertAlign w:val="superscript"/>
        </w:rPr>
      </w:pPr>
      <w:r>
        <w:rPr>
          <w:rFonts w:ascii="Arial" w:cs="Arial" w:eastAsia="Arial" w:hAnsi="Arial"/>
          <w:sz w:val="15"/>
          <w:szCs w:val="15"/>
          <w:color w:val="auto"/>
        </w:rPr>
        <w:t>— Long-Term Equity Incentives”) as of the grant date. If the highest level of performance was achieved, then the aggregate grant date fair value of the PSUs granted in fiscal 2026 would have been the following amounts: Mr. Schroeter — $21,060,008; Mr. Chugh — $1,521,016; Mr. Keinan — $10,530,004; Ms. Charbonnier — $1,755,034; Mr. Ringes — $1,064,782; Mr. Wyshner — $5,850,086; Mr. Sebold — $2,340,058; and Mr. Khurana — $936,031. In addition, this column also reflects the grant date fair value of the</w:t>
      </w:r>
    </w:p>
    <w:p>
      <w:pPr>
        <w:spacing w:after="0" w:line="19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8" w:name="page69"/>
    <w:bookmarkEnd w:id="6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540" w:right="359"/>
        <w:spacing w:after="0" w:line="238" w:lineRule="auto"/>
        <w:rPr>
          <w:sz w:val="20"/>
          <w:szCs w:val="20"/>
          <w:color w:val="auto"/>
        </w:rPr>
      </w:pPr>
      <w:r>
        <w:rPr>
          <w:rFonts w:ascii="Arial" w:cs="Arial" w:eastAsia="Arial" w:hAnsi="Arial"/>
          <w:sz w:val="15"/>
          <w:szCs w:val="15"/>
          <w:color w:val="auto"/>
        </w:rPr>
        <w:t>following special one-time RSU awards (as described under “Compensation Discussion and Analysis — Elements of Compensation and Compensation Decisions — Long-Term Equity Incentives”): Mr. Chugh — $1,200,010; Mr. Keinan — $9,000,033; and Mr. Khurana — $ 960,031. Messrs. Wyshner and Sebold forfeited their 2026 stock awards as a result of their departure from the Company on February 5, 2026.</w:t>
      </w:r>
    </w:p>
    <w:p>
      <w:pPr>
        <w:spacing w:after="0" w:line="72" w:lineRule="exact"/>
        <w:rPr>
          <w:sz w:val="20"/>
          <w:szCs w:val="20"/>
          <w:color w:val="auto"/>
        </w:rPr>
      </w:pPr>
    </w:p>
    <w:p>
      <w:pPr>
        <w:ind w:left="540" w:right="439" w:hanging="356"/>
        <w:spacing w:after="0" w:line="199" w:lineRule="auto"/>
        <w:tabs>
          <w:tab w:leader="none" w:pos="54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Reflects the cash incentive bonuses earned by the NEOs. See “Compensation Discussion and Analysis — Elements of Compensation and Compensation Decisions — Annual Cash Bonus.”</w:t>
      </w:r>
    </w:p>
    <w:p>
      <w:pPr>
        <w:spacing w:after="0" w:line="69" w:lineRule="exact"/>
        <w:rPr>
          <w:rFonts w:ascii="Arial" w:cs="Arial" w:eastAsia="Arial" w:hAnsi="Arial"/>
          <w:sz w:val="23"/>
          <w:szCs w:val="23"/>
          <w:color w:val="auto"/>
          <w:vertAlign w:val="superscript"/>
        </w:rPr>
      </w:pPr>
    </w:p>
    <w:p>
      <w:pPr>
        <w:ind w:left="540" w:right="819" w:hanging="356"/>
        <w:spacing w:after="0" w:line="199" w:lineRule="auto"/>
        <w:tabs>
          <w:tab w:leader="none" w:pos="54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We do not provide any of our executives with any above-market or preferential earnings on non-qualified deferred compensation.</w:t>
      </w:r>
    </w:p>
    <w:p>
      <w:pPr>
        <w:spacing w:after="0" w:line="69" w:lineRule="exact"/>
        <w:rPr>
          <w:rFonts w:ascii="Arial" w:cs="Arial" w:eastAsia="Arial" w:hAnsi="Arial"/>
          <w:sz w:val="23"/>
          <w:szCs w:val="23"/>
          <w:color w:val="auto"/>
          <w:vertAlign w:val="superscript"/>
        </w:rPr>
      </w:pPr>
    </w:p>
    <w:p>
      <w:pPr>
        <w:ind w:left="540" w:right="99" w:hanging="356"/>
        <w:spacing w:after="0" w:line="213" w:lineRule="auto"/>
        <w:tabs>
          <w:tab w:leader="none" w:pos="540" w:val="left"/>
        </w:tabs>
        <w:numPr>
          <w:ilvl w:val="0"/>
          <w:numId w:val="81"/>
        </w:numPr>
        <w:rPr>
          <w:rFonts w:ascii="Arial" w:cs="Arial" w:eastAsia="Arial" w:hAnsi="Arial"/>
          <w:sz w:val="23"/>
          <w:szCs w:val="23"/>
          <w:color w:val="auto"/>
          <w:vertAlign w:val="superscript"/>
        </w:rPr>
      </w:pPr>
      <w:r>
        <w:rPr>
          <w:rFonts w:ascii="Arial" w:cs="Arial" w:eastAsia="Arial" w:hAnsi="Arial"/>
          <w:sz w:val="15"/>
          <w:szCs w:val="15"/>
          <w:color w:val="auto"/>
        </w:rPr>
        <w:t>Amounts shown in this column include the following for fiscal 2026: For Messrs. Schroeter, Chugh, Keinan, Ringes, Wyshner, Sebold and Khurana, and Ms. Charbonnier, 401(k) matching contributions of $21,000, $10,500, $21,000, $21,000, $10,500, $21,000, $21,000 and $21,000, respectively; for Messrs. Schroeter, Keinan, Ringes, Sebold and Khurana and Ms. Charbonnier, automatic contributions by us to the Kyndryl Excess Plan of $225,454, $160,900, $41,863, $88,043, $45,775 and $80,362, respectively.</w:t>
      </w:r>
    </w:p>
    <w:p>
      <w:pPr>
        <w:spacing w:after="0" w:line="71" w:lineRule="exact"/>
        <w:rPr>
          <w:sz w:val="20"/>
          <w:szCs w:val="20"/>
          <w:color w:val="auto"/>
        </w:rPr>
      </w:pPr>
    </w:p>
    <w:p>
      <w:pPr>
        <w:ind w:left="540" w:right="219" w:hanging="356"/>
        <w:spacing w:after="0" w:line="228" w:lineRule="auto"/>
        <w:tabs>
          <w:tab w:leader="none" w:pos="5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Amounts shown in this column also include the following perquisites for fiscal 2026, each of which was below the SEC threshold for individual quantification: For Mr. Schroeter, personal financial planning, personal travel on Company-provided aircraft, personal use of Company-provided car and driver, spousal travel and miscellaneous gifts; for Mr. Chugh, personal financial planning and miscellaneous gifts; for Mr. Keinan, personal financial planning, annual executive physical, personal use of Company-provided car and driver, spousal travel and miscellaneous gifts; for Ms. Charbonnier, annual executive physical and personal use of Company-provided ground transportation; for Mr. Ringes, personal financial planning; for</w:t>
      </w:r>
    </w:p>
    <w:p>
      <w:pPr>
        <w:spacing w:after="0" w:line="2" w:lineRule="exact"/>
        <w:rPr>
          <w:rFonts w:ascii="Arial" w:cs="Arial" w:eastAsia="Arial" w:hAnsi="Arial"/>
          <w:sz w:val="15"/>
          <w:szCs w:val="15"/>
          <w:color w:val="auto"/>
        </w:rPr>
      </w:pPr>
    </w:p>
    <w:p>
      <w:pPr>
        <w:ind w:left="540" w:right="99"/>
        <w:spacing w:after="0" w:line="244" w:lineRule="auto"/>
        <w:rPr>
          <w:rFonts w:ascii="Arial" w:cs="Arial" w:eastAsia="Arial" w:hAnsi="Arial"/>
          <w:sz w:val="15"/>
          <w:szCs w:val="15"/>
          <w:color w:val="auto"/>
        </w:rPr>
      </w:pPr>
      <w:r>
        <w:rPr>
          <w:rFonts w:ascii="Arial" w:cs="Arial" w:eastAsia="Arial" w:hAnsi="Arial"/>
          <w:sz w:val="15"/>
          <w:szCs w:val="15"/>
          <w:color w:val="auto"/>
        </w:rPr>
        <w:t>Mr. Wyshner, personal financial planning; for Mr. Sebold, personal financial planning; and for Mr. Khurana, personal financial planning, annual executive physical and personal use of Company-provided ground transportation.</w:t>
      </w:r>
    </w:p>
    <w:p>
      <w:pPr>
        <w:spacing w:after="0" w:line="67" w:lineRule="exact"/>
        <w:rPr>
          <w:rFonts w:ascii="Arial" w:cs="Arial" w:eastAsia="Arial" w:hAnsi="Arial"/>
          <w:sz w:val="15"/>
          <w:szCs w:val="15"/>
          <w:color w:val="auto"/>
        </w:rPr>
      </w:pPr>
    </w:p>
    <w:p>
      <w:pPr>
        <w:ind w:left="540" w:right="319" w:hanging="356"/>
        <w:spacing w:after="0" w:line="238" w:lineRule="auto"/>
        <w:tabs>
          <w:tab w:leader="none" w:pos="5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Mr. Schroeter’s personal travel on Company-provided aircraft is limited to an aggregate incremental cost to the Company not to exceed $200,000 per year. The aggregate incremental cost to the Company is calculated based on the Company's variable operating costs (such as fuel, maintenance, landing fees, crew expenses, catering and en route charges) or the actual invoiced amount from a third-party provider for the variable costs incurred on each trip.</w:t>
      </w:r>
    </w:p>
    <w:p>
      <w:pPr>
        <w:spacing w:after="0" w:line="71" w:lineRule="exact"/>
        <w:rPr>
          <w:rFonts w:ascii="Arial" w:cs="Arial" w:eastAsia="Arial" w:hAnsi="Arial"/>
          <w:sz w:val="15"/>
          <w:szCs w:val="15"/>
          <w:color w:val="auto"/>
        </w:rPr>
      </w:pPr>
    </w:p>
    <w:p>
      <w:pPr>
        <w:ind w:left="540" w:right="159" w:hanging="356"/>
        <w:spacing w:after="0" w:line="264" w:lineRule="auto"/>
        <w:tabs>
          <w:tab w:leader="none" w:pos="5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In addition, and in limited circumstances, Messrs. Schroeter and Keinan had family members accompany each on business travel on a Company-provided aircraft for which we incurred no incremental costs.</w:t>
      </w:r>
    </w:p>
    <w:p>
      <w:pPr>
        <w:spacing w:after="0" w:line="52" w:lineRule="exact"/>
        <w:rPr>
          <w:rFonts w:ascii="Arial" w:cs="Arial" w:eastAsia="Arial" w:hAnsi="Arial"/>
          <w:sz w:val="15"/>
          <w:szCs w:val="15"/>
          <w:color w:val="auto"/>
        </w:rPr>
      </w:pPr>
    </w:p>
    <w:p>
      <w:pPr>
        <w:ind w:left="540" w:right="99" w:hanging="356"/>
        <w:spacing w:after="0" w:line="264" w:lineRule="auto"/>
        <w:tabs>
          <w:tab w:leader="none" w:pos="5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NEOs are fully responsible for all personal income taxes associated with these perquisites and no gross-up payment for these taxes is made by the Company.</w:t>
      </w:r>
    </w:p>
    <w:p>
      <w:pPr>
        <w:spacing w:after="0" w:line="52" w:lineRule="exact"/>
        <w:rPr>
          <w:rFonts w:ascii="Arial" w:cs="Arial" w:eastAsia="Arial" w:hAnsi="Arial"/>
          <w:sz w:val="15"/>
          <w:szCs w:val="15"/>
          <w:color w:val="auto"/>
        </w:rPr>
      </w:pPr>
    </w:p>
    <w:p>
      <w:pPr>
        <w:ind w:left="540" w:right="99" w:hanging="356"/>
        <w:spacing w:after="0" w:line="229" w:lineRule="auto"/>
        <w:tabs>
          <w:tab w:leader="none" w:pos="5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Additionally, amounts shown in this column for Messrs. Wyshner and Sebold include certain separation-related payments and benefits. Mr. Wyshner received the following payments and benefits during fiscal year 2026 in connection with his departure from the Company: a cash severance payment of $1,425,000, a payment of $60,288 made upon his departure for unused vacation in accordance with the Company’s vacation policy, COBRA premiums at a cost to the Company for fiscal year 2026 of $3,195, certain continued financial advisory services worth $1,875 for fiscal year 2026, and outplacement and other continuing benefits worth $21,657 for fiscal year 2026. Mr. Sebold received the following payments and benefits during fiscal year 2026 in connection with his departure from the Company: a cash severance payment of $1,125,000, a payment of $63,101 made upon his departure for unused vacation in accordance with the Company’s vacation policy, COBRA premiums at a cost to the Company for fiscal year 2026 of $2,765, certain continued financial advisory services worth $1,875 for fiscal year 2026, and outplacement and other continuing benefits worth $21,657 for fiscal year 2026. See “Potential Payments upon Termination or Change in Control,” for a description of all payments made and benefits provided to Messrs. Wyshner and Sebold in connection with their departures from the Company.</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9" w:name="page70"/>
    <w:bookmarkEnd w:id="6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Grants of Plan-Based Awards in Fiscal 2026</w:t>
      </w:r>
    </w:p>
    <w:p>
      <w:pPr>
        <w:spacing w:after="0" w:line="173" w:lineRule="exact"/>
        <w:rPr>
          <w:sz w:val="20"/>
          <w:szCs w:val="20"/>
          <w:color w:val="auto"/>
        </w:rPr>
      </w:pPr>
    </w:p>
    <w:p>
      <w:pPr>
        <w:ind w:left="80" w:right="299"/>
        <w:spacing w:after="0" w:line="245" w:lineRule="auto"/>
        <w:rPr>
          <w:sz w:val="20"/>
          <w:szCs w:val="20"/>
          <w:color w:val="auto"/>
        </w:rPr>
      </w:pPr>
      <w:r>
        <w:rPr>
          <w:rFonts w:ascii="Arial" w:cs="Arial" w:eastAsia="Arial" w:hAnsi="Arial"/>
          <w:sz w:val="17"/>
          <w:szCs w:val="17"/>
          <w:color w:val="auto"/>
        </w:rPr>
        <w:t>The following table sets forth grants of plan-based awards to the NEOs during the fiscal year that ended March 31, 2026.</w:t>
      </w:r>
    </w:p>
    <w:tbl>
      <w:tblPr>
        <w:tblLayout w:type="fixed"/>
        <w:tblInd w:w="80" w:type="dxa"/>
        <w:tblCellMar>
          <w:top w:w="0" w:type="dxa"/>
          <w:left w:w="0" w:type="dxa"/>
          <w:bottom w:w="0" w:type="dxa"/>
          <w:right w:w="0" w:type="dxa"/>
        </w:tblCellMar>
      </w:tblPr>
      <w:tr>
        <w:trPr>
          <w:trHeight w:val="135"/>
        </w:trPr>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F0533D"/>
              </w:rPr>
              <w:t>All Other</w:t>
            </w:r>
          </w:p>
        </w:tc>
        <w:tc>
          <w:tcPr>
            <w:tcW w:w="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F0533D"/>
              </w:rPr>
              <w:t>Grant</w:t>
            </w: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3"/>
                <w:szCs w:val="13"/>
                <w:b w:val="1"/>
                <w:bCs w:val="1"/>
                <w:color w:val="F0533D"/>
              </w:rPr>
              <w:t>Stock</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Estimated Future Payouts</w:t>
            </w:r>
          </w:p>
        </w:tc>
        <w:tc>
          <w:tcPr>
            <w:tcW w:w="40" w:type="dxa"/>
            <w:vAlign w:val="bottom"/>
          </w:tcPr>
          <w:p>
            <w:pPr>
              <w:spacing w:after="0"/>
              <w:rPr>
                <w:sz w:val="15"/>
                <w:szCs w:val="15"/>
                <w:color w:val="auto"/>
              </w:rPr>
            </w:pP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Estimated Future Payouts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Awards:</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F0533D"/>
                <w:w w:val="99"/>
              </w:rPr>
              <w:t>Date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Under Non-Equity</w:t>
            </w:r>
          </w:p>
        </w:tc>
        <w:tc>
          <w:tcPr>
            <w:tcW w:w="40" w:type="dxa"/>
            <w:vAlign w:val="bottom"/>
          </w:tcPr>
          <w:p>
            <w:pPr>
              <w:spacing w:after="0"/>
              <w:rPr>
                <w:sz w:val="12"/>
                <w:szCs w:val="12"/>
                <w:color w:val="auto"/>
              </w:rPr>
            </w:pP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Under Equity</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Number</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F0533D"/>
              </w:rPr>
              <w:t>Fair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F0533D"/>
              </w:rPr>
              <w:t>Incentive Plan Awards</w:t>
            </w:r>
            <w:r>
              <w:rPr>
                <w:rFonts w:ascii="Arial" w:cs="Arial" w:eastAsia="Arial" w:hAnsi="Arial"/>
                <w:sz w:val="17"/>
                <w:szCs w:val="17"/>
                <w:b w:val="1"/>
                <w:bCs w:val="1"/>
                <w:color w:val="F0533D"/>
                <w:vertAlign w:val="superscript"/>
              </w:rPr>
              <w:t>(1)</w:t>
            </w:r>
          </w:p>
        </w:tc>
        <w:tc>
          <w:tcPr>
            <w:tcW w:w="40" w:type="dxa"/>
            <w:vAlign w:val="bottom"/>
          </w:tcPr>
          <w:p>
            <w:pPr>
              <w:spacing w:after="0"/>
              <w:rPr>
                <w:sz w:val="12"/>
                <w:szCs w:val="12"/>
                <w:color w:val="auto"/>
              </w:rPr>
            </w:pPr>
          </w:p>
        </w:tc>
        <w:tc>
          <w:tcPr>
            <w:tcW w:w="192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Incentive Plan Awards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w w:val="97"/>
              </w:rPr>
              <w:t>of</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F0533D"/>
              </w:rPr>
              <w:t>Value of</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Borders>
              <w:bottom w:val="single" w:sz="8" w:color="F0533D"/>
            </w:tcBorders>
          </w:tcPr>
          <w:p>
            <w:pPr>
              <w:spacing w:after="0"/>
              <w:rPr>
                <w:sz w:val="4"/>
                <w:szCs w:val="4"/>
                <w:color w:val="auto"/>
              </w:rPr>
            </w:pPr>
          </w:p>
        </w:tc>
        <w:tc>
          <w:tcPr>
            <w:tcW w:w="660" w:type="dxa"/>
            <w:vAlign w:val="bottom"/>
            <w:tcBorders>
              <w:bottom w:val="single" w:sz="8" w:color="F0533D"/>
            </w:tcBorders>
          </w:tcPr>
          <w:p>
            <w:pPr>
              <w:spacing w:after="0"/>
              <w:rPr>
                <w:sz w:val="4"/>
                <w:szCs w:val="4"/>
                <w:color w:val="auto"/>
              </w:rPr>
            </w:pPr>
          </w:p>
        </w:tc>
        <w:tc>
          <w:tcPr>
            <w:tcW w:w="660" w:type="dxa"/>
            <w:vAlign w:val="bottom"/>
            <w:tcBorders>
              <w:bottom w:val="single" w:sz="8" w:color="F0533D"/>
            </w:tcBorders>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Borders>
              <w:bottom w:val="single" w:sz="8" w:color="F0533D"/>
            </w:tcBorders>
          </w:tcPr>
          <w:p>
            <w:pPr>
              <w:spacing w:after="0"/>
              <w:rPr>
                <w:sz w:val="4"/>
                <w:szCs w:val="4"/>
                <w:color w:val="auto"/>
              </w:rPr>
            </w:pPr>
          </w:p>
        </w:tc>
        <w:tc>
          <w:tcPr>
            <w:tcW w:w="540" w:type="dxa"/>
            <w:vAlign w:val="bottom"/>
            <w:tcBorders>
              <w:bottom w:val="single" w:sz="8" w:color="F0533D"/>
            </w:tcBorders>
          </w:tcPr>
          <w:p>
            <w:pPr>
              <w:spacing w:after="0"/>
              <w:rPr>
                <w:sz w:val="4"/>
                <w:szCs w:val="4"/>
                <w:color w:val="auto"/>
              </w:rPr>
            </w:pPr>
          </w:p>
        </w:tc>
        <w:tc>
          <w:tcPr>
            <w:tcW w:w="680" w:type="dxa"/>
            <w:vAlign w:val="bottom"/>
            <w:tcBorders>
              <w:bottom w:val="single" w:sz="8" w:color="F0533D"/>
            </w:tcBorders>
          </w:tcPr>
          <w:p>
            <w:pPr>
              <w:spacing w:after="0"/>
              <w:rPr>
                <w:sz w:val="4"/>
                <w:szCs w:val="4"/>
                <w:color w:val="auto"/>
              </w:rPr>
            </w:pPr>
          </w:p>
        </w:tc>
        <w:tc>
          <w:tcPr>
            <w:tcW w:w="7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F0533D"/>
              </w:rPr>
              <w:t>Shares</w:t>
            </w:r>
          </w:p>
        </w:tc>
        <w:tc>
          <w:tcPr>
            <w:tcW w:w="84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F0533D"/>
              </w:rPr>
              <w:t>Stock and</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F0533D"/>
              </w:rPr>
              <w:t>Approval</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Award</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F0533D"/>
              </w:rPr>
              <w:t>Threshold</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Target</w:t>
            </w:r>
          </w:p>
        </w:tc>
        <w:tc>
          <w:tcPr>
            <w:tcW w:w="14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F0533D"/>
              </w:rPr>
              <w:t>Maximum Threshold</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Target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F0533D"/>
              </w:rPr>
              <w:t>Maximum</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of Stock</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F0533D"/>
              </w:rPr>
              <w:t>Option</w:t>
            </w:r>
          </w:p>
        </w:tc>
        <w:tc>
          <w:tcPr>
            <w:tcW w:w="0" w:type="dxa"/>
            <w:vAlign w:val="bottom"/>
          </w:tcPr>
          <w:p>
            <w:pPr>
              <w:spacing w:after="0"/>
              <w:rPr>
                <w:sz w:val="1"/>
                <w:szCs w:val="1"/>
                <w:color w:val="auto"/>
              </w:rPr>
            </w:pPr>
          </w:p>
        </w:tc>
      </w:tr>
      <w:tr>
        <w:trPr>
          <w:trHeight w:val="161"/>
        </w:trPr>
        <w:tc>
          <w:tcPr>
            <w:tcW w:w="920" w:type="dxa"/>
            <w:vAlign w:val="bottom"/>
            <w:vMerge w:val="restart"/>
          </w:tcPr>
          <w:p>
            <w:pPr>
              <w:ind w:left="100"/>
              <w:spacing w:after="0"/>
              <w:rPr>
                <w:sz w:val="20"/>
                <w:szCs w:val="20"/>
                <w:color w:val="auto"/>
              </w:rPr>
            </w:pPr>
            <w:r>
              <w:rPr>
                <w:rFonts w:ascii="Arial" w:cs="Arial" w:eastAsia="Arial" w:hAnsi="Arial"/>
                <w:sz w:val="13"/>
                <w:szCs w:val="13"/>
                <w:b w:val="1"/>
                <w:bCs w:val="1"/>
                <w:color w:val="F0533D"/>
              </w:rPr>
              <w:t>Name</w:t>
            </w:r>
          </w:p>
        </w:tc>
        <w:tc>
          <w:tcPr>
            <w:tcW w:w="860" w:type="dxa"/>
            <w:vAlign w:val="bottom"/>
            <w:vMerge w:val="restart"/>
          </w:tcPr>
          <w:p>
            <w:pPr>
              <w:ind w:left="60"/>
              <w:spacing w:after="0"/>
              <w:rPr>
                <w:sz w:val="20"/>
                <w:szCs w:val="20"/>
                <w:color w:val="auto"/>
              </w:rPr>
            </w:pPr>
            <w:r>
              <w:rPr>
                <w:rFonts w:ascii="Arial" w:cs="Arial" w:eastAsia="Arial" w:hAnsi="Arial"/>
                <w:sz w:val="13"/>
                <w:szCs w:val="13"/>
                <w:b w:val="1"/>
                <w:bCs w:val="1"/>
                <w:color w:val="F0533D"/>
              </w:rPr>
              <w:t>Grant Date</w:t>
            </w:r>
          </w:p>
        </w:tc>
        <w:tc>
          <w:tcPr>
            <w:tcW w:w="8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or Units</w:t>
            </w:r>
          </w:p>
        </w:tc>
        <w:tc>
          <w:tcPr>
            <w:tcW w:w="840" w:type="dxa"/>
            <w:vAlign w:val="bottom"/>
          </w:tcPr>
          <w:p>
            <w:pPr>
              <w:jc w:val="center"/>
              <w:spacing w:after="0" w:line="161" w:lineRule="exact"/>
              <w:rPr>
                <w:sz w:val="20"/>
                <w:szCs w:val="20"/>
                <w:color w:val="auto"/>
              </w:rPr>
            </w:pPr>
            <w:r>
              <w:rPr>
                <w:rFonts w:ascii="Arial" w:cs="Arial" w:eastAsia="Arial" w:hAnsi="Arial"/>
                <w:sz w:val="11"/>
                <w:szCs w:val="11"/>
                <w:b w:val="1"/>
                <w:bCs w:val="1"/>
                <w:color w:val="F0533D"/>
              </w:rPr>
              <w:t>Awards</w:t>
            </w:r>
            <w:r>
              <w:rPr>
                <w:rFonts w:ascii="Arial" w:cs="Arial" w:eastAsia="Arial" w:hAnsi="Arial"/>
                <w:sz w:val="18"/>
                <w:szCs w:val="18"/>
                <w:b w:val="1"/>
                <w:bCs w:val="1"/>
                <w:color w:val="F0533D"/>
                <w:vertAlign w:val="superscript"/>
              </w:rPr>
              <w:t>(2)</w:t>
            </w:r>
          </w:p>
        </w:tc>
        <w:tc>
          <w:tcPr>
            <w:tcW w:w="0" w:type="dxa"/>
            <w:vAlign w:val="bottom"/>
          </w:tcPr>
          <w:p>
            <w:pPr>
              <w:spacing w:after="0"/>
              <w:rPr>
                <w:sz w:val="1"/>
                <w:szCs w:val="1"/>
                <w:color w:val="auto"/>
              </w:rPr>
            </w:pPr>
          </w:p>
        </w:tc>
      </w:tr>
      <w:tr>
        <w:trPr>
          <w:trHeight w:val="188"/>
        </w:trPr>
        <w:tc>
          <w:tcPr>
            <w:tcW w:w="920" w:type="dxa"/>
            <w:vAlign w:val="bottom"/>
            <w:tcBorders>
              <w:bottom w:val="single" w:sz="8" w:color="F0533D"/>
            </w:tcBorders>
            <w:vMerge w:val="continue"/>
          </w:tcPr>
          <w:p>
            <w:pPr>
              <w:spacing w:after="0"/>
              <w:rPr>
                <w:sz w:val="16"/>
                <w:szCs w:val="16"/>
                <w:color w:val="auto"/>
              </w:rPr>
            </w:pPr>
          </w:p>
        </w:tc>
        <w:tc>
          <w:tcPr>
            <w:tcW w:w="860" w:type="dxa"/>
            <w:vAlign w:val="bottom"/>
            <w:tcBorders>
              <w:bottom w:val="single" w:sz="8" w:color="F0533D"/>
            </w:tcBorders>
            <w:vMerge w:val="continue"/>
          </w:tcPr>
          <w:p>
            <w:pPr>
              <w:spacing w:after="0"/>
              <w:rPr>
                <w:sz w:val="16"/>
                <w:szCs w:val="16"/>
                <w:color w:val="auto"/>
              </w:rPr>
            </w:pPr>
          </w:p>
        </w:tc>
        <w:tc>
          <w:tcPr>
            <w:tcW w:w="800" w:type="dxa"/>
            <w:vAlign w:val="bottom"/>
            <w:tcBorders>
              <w:bottom w:val="single" w:sz="8" w:color="F0533D"/>
            </w:tcBorders>
          </w:tcPr>
          <w:p>
            <w:pPr>
              <w:jc w:val="right"/>
              <w:ind w:right="193"/>
              <w:spacing w:after="0"/>
              <w:rPr>
                <w:sz w:val="20"/>
                <w:szCs w:val="20"/>
                <w:color w:val="auto"/>
              </w:rPr>
            </w:pPr>
            <w:r>
              <w:rPr>
                <w:rFonts w:ascii="Arial" w:cs="Arial" w:eastAsia="Arial" w:hAnsi="Arial"/>
                <w:sz w:val="13"/>
                <w:szCs w:val="13"/>
                <w:b w:val="1"/>
                <w:bCs w:val="1"/>
                <w:color w:val="F0533D"/>
              </w:rPr>
              <w:t>Date</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w w:val="98"/>
              </w:rPr>
              <w:t>Type</w:t>
            </w:r>
          </w:p>
        </w:tc>
        <w:tc>
          <w:tcPr>
            <w:tcW w:w="700" w:type="dxa"/>
            <w:vAlign w:val="bottom"/>
            <w:tcBorders>
              <w:bottom w:val="single" w:sz="8" w:color="F0533D"/>
            </w:tcBorders>
          </w:tcPr>
          <w:p>
            <w:pPr>
              <w:jc w:val="right"/>
              <w:ind w:right="214"/>
              <w:spacing w:after="0"/>
              <w:rPr>
                <w:sz w:val="20"/>
                <w:szCs w:val="20"/>
                <w:color w:val="auto"/>
              </w:rPr>
            </w:pPr>
            <w:r>
              <w:rPr>
                <w:rFonts w:ascii="Arial" w:cs="Arial" w:eastAsia="Arial" w:hAnsi="Arial"/>
                <w:sz w:val="13"/>
                <w:szCs w:val="13"/>
                <w:b w:val="1"/>
                <w:bCs w:val="1"/>
                <w:color w:val="F0533D"/>
              </w:rPr>
              <w:t>($)</w:t>
            </w:r>
          </w:p>
        </w:tc>
        <w:tc>
          <w:tcPr>
            <w:tcW w:w="660" w:type="dxa"/>
            <w:vAlign w:val="bottom"/>
            <w:tcBorders>
              <w:bottom w:val="single" w:sz="8" w:color="F0533D"/>
            </w:tcBorders>
          </w:tcPr>
          <w:p>
            <w:pPr>
              <w:jc w:val="right"/>
              <w:ind w:right="193"/>
              <w:spacing w:after="0"/>
              <w:rPr>
                <w:sz w:val="20"/>
                <w:szCs w:val="20"/>
                <w:color w:val="auto"/>
              </w:rPr>
            </w:pPr>
            <w:r>
              <w:rPr>
                <w:rFonts w:ascii="Arial" w:cs="Arial" w:eastAsia="Arial" w:hAnsi="Arial"/>
                <w:sz w:val="13"/>
                <w:szCs w:val="13"/>
                <w:b w:val="1"/>
                <w:bCs w:val="1"/>
                <w:color w:val="F0533D"/>
              </w:rPr>
              <w:t>($)</w:t>
            </w:r>
          </w:p>
        </w:tc>
        <w:tc>
          <w:tcPr>
            <w:tcW w:w="66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b w:val="1"/>
                <w:bCs w:val="1"/>
                <w:color w:val="F0533D"/>
              </w:rPr>
              <w:t>($)</w:t>
            </w:r>
          </w:p>
        </w:tc>
        <w:tc>
          <w:tcPr>
            <w:tcW w:w="740" w:type="dxa"/>
            <w:vAlign w:val="bottom"/>
            <w:tcBorders>
              <w:bottom w:val="single" w:sz="8" w:color="F0533D"/>
            </w:tcBorders>
            <w:gridSpan w:val="2"/>
          </w:tcPr>
          <w:p>
            <w:pPr>
              <w:jc w:val="right"/>
              <w:ind w:right="213"/>
              <w:spacing w:after="0"/>
              <w:rPr>
                <w:sz w:val="20"/>
                <w:szCs w:val="20"/>
                <w:color w:val="auto"/>
              </w:rPr>
            </w:pPr>
            <w:r>
              <w:rPr>
                <w:rFonts w:ascii="Arial" w:cs="Arial" w:eastAsia="Arial" w:hAnsi="Arial"/>
                <w:sz w:val="13"/>
                <w:szCs w:val="13"/>
                <w:b w:val="1"/>
                <w:bCs w:val="1"/>
                <w:color w:val="F0533D"/>
              </w:rPr>
              <w:t>(#)</w:t>
            </w:r>
          </w:p>
        </w:tc>
        <w:tc>
          <w:tcPr>
            <w:tcW w:w="540" w:type="dxa"/>
            <w:vAlign w:val="bottom"/>
            <w:tcBorders>
              <w:bottom w:val="single" w:sz="8" w:color="F0533D"/>
            </w:tcBorders>
          </w:tcPr>
          <w:p>
            <w:pPr>
              <w:jc w:val="right"/>
              <w:ind w:right="113"/>
              <w:spacing w:after="0"/>
              <w:rPr>
                <w:sz w:val="20"/>
                <w:szCs w:val="20"/>
                <w:color w:val="auto"/>
              </w:rPr>
            </w:pPr>
            <w:r>
              <w:rPr>
                <w:rFonts w:ascii="Arial" w:cs="Arial" w:eastAsia="Arial" w:hAnsi="Arial"/>
                <w:sz w:val="13"/>
                <w:szCs w:val="13"/>
                <w:b w:val="1"/>
                <w:bCs w:val="1"/>
                <w:color w:val="F0533D"/>
              </w:rPr>
              <w:t>(#)</w:t>
            </w:r>
          </w:p>
        </w:tc>
        <w:tc>
          <w:tcPr>
            <w:tcW w:w="68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b w:val="1"/>
                <w:bCs w:val="1"/>
                <w:color w:val="F0533D"/>
              </w:rPr>
              <w:t>(#)</w:t>
            </w:r>
          </w:p>
        </w:tc>
        <w:tc>
          <w:tcPr>
            <w:tcW w:w="7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8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0" w:type="dxa"/>
            <w:vAlign w:val="bottom"/>
          </w:tcPr>
          <w:p>
            <w:pPr>
              <w:spacing w:after="0"/>
              <w:rPr>
                <w:sz w:val="1"/>
                <w:szCs w:val="1"/>
                <w:color w:val="auto"/>
              </w:rPr>
            </w:pPr>
          </w:p>
        </w:tc>
      </w:tr>
      <w:tr>
        <w:trPr>
          <w:trHeight w:val="158"/>
        </w:trPr>
        <w:tc>
          <w:tcPr>
            <w:tcW w:w="920" w:type="dxa"/>
            <w:vAlign w:val="bottom"/>
          </w:tcPr>
          <w:p>
            <w:pPr>
              <w:ind w:left="100"/>
              <w:spacing w:after="0"/>
              <w:rPr>
                <w:sz w:val="20"/>
                <w:szCs w:val="20"/>
                <w:color w:val="auto"/>
              </w:rPr>
            </w:pPr>
            <w:r>
              <w:rPr>
                <w:rFonts w:ascii="Arial" w:cs="Arial" w:eastAsia="Arial" w:hAnsi="Arial"/>
                <w:sz w:val="13"/>
                <w:szCs w:val="13"/>
                <w:color w:val="auto"/>
              </w:rPr>
              <w:t>Martin</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100"/>
              <w:spacing w:after="0"/>
              <w:rPr>
                <w:sz w:val="20"/>
                <w:szCs w:val="20"/>
                <w:color w:val="auto"/>
              </w:rPr>
            </w:pPr>
            <w:r>
              <w:rPr>
                <w:rFonts w:ascii="Arial" w:cs="Arial" w:eastAsia="Arial" w:hAnsi="Arial"/>
                <w:sz w:val="13"/>
                <w:szCs w:val="13"/>
                <w:color w:val="auto"/>
              </w:rPr>
              <w:t>Schroeter</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195,750</w:t>
            </w:r>
          </w:p>
        </w:tc>
        <w:tc>
          <w:tcPr>
            <w:tcW w:w="132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3,262,500 6,525,000</w:t>
            </w: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148,214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296,428</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533,570</w:t>
            </w:r>
          </w:p>
        </w:tc>
        <w:tc>
          <w:tcPr>
            <w:tcW w:w="7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11,700,013</w:t>
            </w:r>
          </w:p>
        </w:tc>
        <w:tc>
          <w:tcPr>
            <w:tcW w:w="0" w:type="dxa"/>
            <w:vAlign w:val="bottom"/>
          </w:tcPr>
          <w:p>
            <w:pPr>
              <w:spacing w:after="0"/>
              <w:rPr>
                <w:sz w:val="1"/>
                <w:szCs w:val="1"/>
                <w:color w:val="auto"/>
              </w:rPr>
            </w:pPr>
          </w:p>
        </w:tc>
      </w:tr>
      <w:tr>
        <w:trPr>
          <w:trHeight w:val="176"/>
        </w:trPr>
        <w:tc>
          <w:tcPr>
            <w:tcW w:w="920" w:type="dxa"/>
            <w:vAlign w:val="bottom"/>
            <w:tcBorders>
              <w:bottom w:val="single" w:sz="8" w:color="F0533D"/>
            </w:tcBorders>
          </w:tcPr>
          <w:p>
            <w:pPr>
              <w:spacing w:after="0"/>
              <w:rPr>
                <w:sz w:val="15"/>
                <w:szCs w:val="15"/>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4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spacing w:after="0"/>
              <w:rPr>
                <w:sz w:val="15"/>
                <w:szCs w:val="15"/>
                <w:color w:val="auto"/>
              </w:rPr>
            </w:pPr>
          </w:p>
        </w:tc>
        <w:tc>
          <w:tcPr>
            <w:tcW w:w="54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162,791</w:t>
            </w:r>
          </w:p>
        </w:tc>
        <w:tc>
          <w:tcPr>
            <w:tcW w:w="8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6,300,012</w:t>
            </w:r>
          </w:p>
        </w:tc>
        <w:tc>
          <w:tcPr>
            <w:tcW w:w="0" w:type="dxa"/>
            <w:vAlign w:val="bottom"/>
          </w:tcPr>
          <w:p>
            <w:pPr>
              <w:spacing w:after="0"/>
              <w:rPr>
                <w:sz w:val="1"/>
                <w:szCs w:val="1"/>
                <w:color w:val="auto"/>
              </w:rPr>
            </w:pPr>
          </w:p>
        </w:tc>
      </w:tr>
      <w:tr>
        <w:trPr>
          <w:trHeight w:val="149"/>
        </w:trPr>
        <w:tc>
          <w:tcPr>
            <w:tcW w:w="920" w:type="dxa"/>
            <w:vAlign w:val="bottom"/>
          </w:tcPr>
          <w:p>
            <w:pPr>
              <w:ind w:left="100"/>
              <w:spacing w:after="0"/>
              <w:rPr>
                <w:sz w:val="20"/>
                <w:szCs w:val="20"/>
                <w:color w:val="auto"/>
              </w:rPr>
            </w:pPr>
            <w:r>
              <w:rPr>
                <w:rFonts w:ascii="Arial" w:cs="Arial" w:eastAsia="Arial" w:hAnsi="Arial"/>
                <w:sz w:val="13"/>
                <w:szCs w:val="13"/>
                <w:color w:val="auto"/>
              </w:rPr>
              <w:t>Harsh Chugh</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tcPr>
          <w:p>
            <w:pPr>
              <w:jc w:val="right"/>
              <w:ind w:right="74"/>
              <w:spacing w:after="0"/>
              <w:rPr>
                <w:sz w:val="20"/>
                <w:szCs w:val="20"/>
                <w:color w:val="auto"/>
              </w:rPr>
            </w:pPr>
            <w:r>
              <w:rPr>
                <w:rFonts w:ascii="Arial" w:cs="Arial" w:eastAsia="Arial" w:hAnsi="Arial"/>
                <w:sz w:val="13"/>
                <w:szCs w:val="13"/>
                <w:color w:val="auto"/>
              </w:rPr>
              <w:t>49,500</w:t>
            </w:r>
          </w:p>
        </w:tc>
        <w:tc>
          <w:tcPr>
            <w:tcW w:w="132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825,000 1,650,000</w:t>
            </w: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10,705</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21,409</w:t>
            </w:r>
          </w:p>
        </w:tc>
        <w:tc>
          <w:tcPr>
            <w:tcW w:w="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38,536</w:t>
            </w:r>
          </w:p>
        </w:tc>
        <w:tc>
          <w:tcPr>
            <w:tcW w:w="7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845,013</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860" w:type="dxa"/>
            <w:vAlign w:val="bottom"/>
            <w:tcBorders>
              <w:bottom w:val="single" w:sz="8" w:color="939598"/>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11,758</w:t>
            </w: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455,035</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860" w:type="dxa"/>
            <w:vAlign w:val="bottom"/>
            <w:tcBorders>
              <w:bottom w:val="single" w:sz="8" w:color="939598"/>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31,008</w:t>
            </w:r>
          </w:p>
        </w:tc>
        <w:tc>
          <w:tcPr>
            <w:tcW w:w="8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1,200,010</w:t>
            </w:r>
          </w:p>
        </w:tc>
        <w:tc>
          <w:tcPr>
            <w:tcW w:w="0" w:type="dxa"/>
            <w:vAlign w:val="bottom"/>
          </w:tcPr>
          <w:p>
            <w:pPr>
              <w:spacing w:after="0"/>
              <w:rPr>
                <w:sz w:val="1"/>
                <w:szCs w:val="1"/>
                <w:color w:val="auto"/>
              </w:rPr>
            </w:pPr>
          </w:p>
        </w:tc>
      </w:tr>
      <w:tr>
        <w:trPr>
          <w:trHeight w:val="183"/>
        </w:trPr>
        <w:tc>
          <w:tcPr>
            <w:tcW w:w="920" w:type="dxa"/>
            <w:vAlign w:val="bottom"/>
            <w:tcBorders>
              <w:bottom w:val="single" w:sz="8" w:color="F0533D"/>
            </w:tcBorders>
          </w:tcPr>
          <w:p>
            <w:pPr>
              <w:spacing w:after="0"/>
              <w:rPr>
                <w:sz w:val="15"/>
                <w:szCs w:val="15"/>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3/2/2026</w:t>
            </w:r>
          </w:p>
        </w:tc>
        <w:tc>
          <w:tcPr>
            <w:tcW w:w="8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2/16/2026</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4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spacing w:after="0"/>
              <w:rPr>
                <w:sz w:val="15"/>
                <w:szCs w:val="15"/>
                <w:color w:val="auto"/>
              </w:rPr>
            </w:pPr>
          </w:p>
        </w:tc>
        <w:tc>
          <w:tcPr>
            <w:tcW w:w="54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39,841</w:t>
            </w:r>
          </w:p>
        </w:tc>
        <w:tc>
          <w:tcPr>
            <w:tcW w:w="840" w:type="dxa"/>
            <w:vAlign w:val="bottom"/>
            <w:tcBorders>
              <w:bottom w:val="single" w:sz="8" w:color="F0533D"/>
            </w:tcBorders>
          </w:tcPr>
          <w:p>
            <w:pPr>
              <w:jc w:val="right"/>
              <w:ind w:right="53"/>
              <w:spacing w:after="0"/>
              <w:rPr>
                <w:sz w:val="20"/>
                <w:szCs w:val="20"/>
                <w:color w:val="auto"/>
              </w:rPr>
            </w:pPr>
            <w:r>
              <w:rPr>
                <w:rFonts w:ascii="Arial" w:cs="Arial" w:eastAsia="Arial" w:hAnsi="Arial"/>
                <w:sz w:val="13"/>
                <w:szCs w:val="13"/>
                <w:color w:val="auto"/>
              </w:rPr>
              <w:t>500,005</w:t>
            </w:r>
          </w:p>
        </w:tc>
        <w:tc>
          <w:tcPr>
            <w:tcW w:w="0" w:type="dxa"/>
            <w:vAlign w:val="bottom"/>
          </w:tcPr>
          <w:p>
            <w:pPr>
              <w:spacing w:after="0"/>
              <w:rPr>
                <w:sz w:val="1"/>
                <w:szCs w:val="1"/>
                <w:color w:val="auto"/>
              </w:rPr>
            </w:pPr>
          </w:p>
        </w:tc>
      </w:tr>
      <w:tr>
        <w:trPr>
          <w:trHeight w:val="149"/>
        </w:trPr>
        <w:tc>
          <w:tcPr>
            <w:tcW w:w="920" w:type="dxa"/>
            <w:vAlign w:val="bottom"/>
          </w:tcPr>
          <w:p>
            <w:pPr>
              <w:ind w:left="100"/>
              <w:spacing w:after="0"/>
              <w:rPr>
                <w:sz w:val="20"/>
                <w:szCs w:val="20"/>
                <w:color w:val="auto"/>
              </w:rPr>
            </w:pPr>
            <w:r>
              <w:rPr>
                <w:rFonts w:ascii="Arial" w:cs="Arial" w:eastAsia="Arial" w:hAnsi="Arial"/>
                <w:sz w:val="13"/>
                <w:szCs w:val="13"/>
                <w:color w:val="auto"/>
              </w:rPr>
              <w:t>Elly Keinan</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tcPr>
          <w:p>
            <w:pPr>
              <w:jc w:val="right"/>
              <w:ind w:right="54"/>
              <w:spacing w:after="0"/>
              <w:rPr>
                <w:sz w:val="20"/>
                <w:szCs w:val="20"/>
                <w:color w:val="auto"/>
              </w:rPr>
            </w:pPr>
            <w:r>
              <w:rPr>
                <w:rFonts w:ascii="Arial" w:cs="Arial" w:eastAsia="Arial" w:hAnsi="Arial"/>
                <w:sz w:val="13"/>
                <w:szCs w:val="13"/>
                <w:color w:val="auto"/>
              </w:rPr>
              <w:t>120,000</w:t>
            </w:r>
          </w:p>
        </w:tc>
        <w:tc>
          <w:tcPr>
            <w:tcW w:w="132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2,000,000 4,000,000</w:t>
            </w: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74,107</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148,214</w:t>
            </w:r>
          </w:p>
        </w:tc>
        <w:tc>
          <w:tcPr>
            <w:tcW w:w="68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266,785</w:t>
            </w:r>
          </w:p>
        </w:tc>
        <w:tc>
          <w:tcPr>
            <w:tcW w:w="7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5,850,007</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860" w:type="dxa"/>
            <w:vAlign w:val="bottom"/>
            <w:tcBorders>
              <w:bottom w:val="single" w:sz="8" w:color="939598"/>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81,396</w:t>
            </w:r>
          </w:p>
        </w:tc>
        <w:tc>
          <w:tcPr>
            <w:tcW w:w="8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3,150,025</w:t>
            </w:r>
          </w:p>
        </w:tc>
        <w:tc>
          <w:tcPr>
            <w:tcW w:w="0" w:type="dxa"/>
            <w:vAlign w:val="bottom"/>
          </w:tcPr>
          <w:p>
            <w:pPr>
              <w:spacing w:after="0"/>
              <w:rPr>
                <w:sz w:val="1"/>
                <w:szCs w:val="1"/>
                <w:color w:val="auto"/>
              </w:rPr>
            </w:pPr>
          </w:p>
        </w:tc>
      </w:tr>
      <w:tr>
        <w:trPr>
          <w:trHeight w:val="183"/>
        </w:trPr>
        <w:tc>
          <w:tcPr>
            <w:tcW w:w="920" w:type="dxa"/>
            <w:vAlign w:val="bottom"/>
            <w:tcBorders>
              <w:bottom w:val="single" w:sz="8" w:color="F0533D"/>
            </w:tcBorders>
          </w:tcPr>
          <w:p>
            <w:pPr>
              <w:spacing w:after="0"/>
              <w:rPr>
                <w:sz w:val="15"/>
                <w:szCs w:val="15"/>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4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spacing w:after="0"/>
              <w:rPr>
                <w:sz w:val="15"/>
                <w:szCs w:val="15"/>
                <w:color w:val="auto"/>
              </w:rPr>
            </w:pPr>
          </w:p>
        </w:tc>
        <w:tc>
          <w:tcPr>
            <w:tcW w:w="54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232,559</w:t>
            </w:r>
          </w:p>
        </w:tc>
        <w:tc>
          <w:tcPr>
            <w:tcW w:w="8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9,000,033</w:t>
            </w:r>
          </w:p>
        </w:tc>
        <w:tc>
          <w:tcPr>
            <w:tcW w:w="0" w:type="dxa"/>
            <w:vAlign w:val="bottom"/>
          </w:tcPr>
          <w:p>
            <w:pPr>
              <w:spacing w:after="0"/>
              <w:rPr>
                <w:sz w:val="1"/>
                <w:szCs w:val="1"/>
                <w:color w:val="auto"/>
              </w:rPr>
            </w:pPr>
          </w:p>
        </w:tc>
      </w:tr>
      <w:tr>
        <w:trPr>
          <w:trHeight w:val="149"/>
        </w:trPr>
        <w:tc>
          <w:tcPr>
            <w:tcW w:w="920" w:type="dxa"/>
            <w:vAlign w:val="bottom"/>
          </w:tcPr>
          <w:p>
            <w:pPr>
              <w:ind w:left="100"/>
              <w:spacing w:after="0"/>
              <w:rPr>
                <w:sz w:val="20"/>
                <w:szCs w:val="20"/>
                <w:color w:val="auto"/>
              </w:rPr>
            </w:pPr>
            <w:r>
              <w:rPr>
                <w:rFonts w:ascii="Arial" w:cs="Arial" w:eastAsia="Arial" w:hAnsi="Arial"/>
                <w:sz w:val="13"/>
                <w:szCs w:val="13"/>
                <w:color w:val="auto"/>
              </w:rPr>
              <w:t>Maryjo</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100"/>
              <w:spacing w:after="0"/>
              <w:rPr>
                <w:sz w:val="20"/>
                <w:szCs w:val="20"/>
                <w:color w:val="auto"/>
              </w:rPr>
            </w:pPr>
            <w:r>
              <w:rPr>
                <w:rFonts w:ascii="Arial" w:cs="Arial" w:eastAsia="Arial" w:hAnsi="Arial"/>
                <w:sz w:val="13"/>
                <w:szCs w:val="13"/>
                <w:color w:val="auto"/>
              </w:rPr>
              <w:t>Charbonnier</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tcPr>
          <w:p>
            <w:pPr>
              <w:jc w:val="right"/>
              <w:ind w:right="74"/>
              <w:spacing w:after="0"/>
              <w:rPr>
                <w:sz w:val="20"/>
                <w:szCs w:val="20"/>
                <w:color w:val="auto"/>
              </w:rPr>
            </w:pPr>
            <w:r>
              <w:rPr>
                <w:rFonts w:ascii="Arial" w:cs="Arial" w:eastAsia="Arial" w:hAnsi="Arial"/>
                <w:sz w:val="13"/>
                <w:szCs w:val="13"/>
                <w:color w:val="auto"/>
              </w:rPr>
              <w:t>52,500</w:t>
            </w:r>
          </w:p>
        </w:tc>
        <w:tc>
          <w:tcPr>
            <w:tcW w:w="132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875,000 1,750,000</w:t>
            </w: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12,352</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24,703</w:t>
            </w:r>
          </w:p>
        </w:tc>
        <w:tc>
          <w:tcPr>
            <w:tcW w:w="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44,465</w:t>
            </w:r>
          </w:p>
        </w:tc>
        <w:tc>
          <w:tcPr>
            <w:tcW w:w="7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975,027</w:t>
            </w:r>
          </w:p>
        </w:tc>
        <w:tc>
          <w:tcPr>
            <w:tcW w:w="0" w:type="dxa"/>
            <w:vAlign w:val="bottom"/>
          </w:tcPr>
          <w:p>
            <w:pPr>
              <w:spacing w:after="0"/>
              <w:rPr>
                <w:sz w:val="1"/>
                <w:szCs w:val="1"/>
                <w:color w:val="auto"/>
              </w:rPr>
            </w:pPr>
          </w:p>
        </w:tc>
      </w:tr>
      <w:tr>
        <w:trPr>
          <w:trHeight w:val="176"/>
        </w:trPr>
        <w:tc>
          <w:tcPr>
            <w:tcW w:w="920" w:type="dxa"/>
            <w:vAlign w:val="bottom"/>
            <w:tcBorders>
              <w:bottom w:val="single" w:sz="8" w:color="F0533D"/>
            </w:tcBorders>
          </w:tcPr>
          <w:p>
            <w:pPr>
              <w:spacing w:after="0"/>
              <w:rPr>
                <w:sz w:val="15"/>
                <w:szCs w:val="15"/>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4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spacing w:after="0"/>
              <w:rPr>
                <w:sz w:val="15"/>
                <w:szCs w:val="15"/>
                <w:color w:val="auto"/>
              </w:rPr>
            </w:pPr>
          </w:p>
        </w:tc>
        <w:tc>
          <w:tcPr>
            <w:tcW w:w="54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13,566</w:t>
            </w:r>
          </w:p>
        </w:tc>
        <w:tc>
          <w:tcPr>
            <w:tcW w:w="840" w:type="dxa"/>
            <w:vAlign w:val="bottom"/>
            <w:tcBorders>
              <w:bottom w:val="single" w:sz="8" w:color="F0533D"/>
            </w:tcBorders>
          </w:tcPr>
          <w:p>
            <w:pPr>
              <w:jc w:val="right"/>
              <w:ind w:right="53"/>
              <w:spacing w:after="0"/>
              <w:rPr>
                <w:sz w:val="20"/>
                <w:szCs w:val="20"/>
                <w:color w:val="auto"/>
              </w:rPr>
            </w:pPr>
            <w:r>
              <w:rPr>
                <w:rFonts w:ascii="Arial" w:cs="Arial" w:eastAsia="Arial" w:hAnsi="Arial"/>
                <w:sz w:val="13"/>
                <w:szCs w:val="13"/>
                <w:color w:val="auto"/>
              </w:rPr>
              <w:t>525,004</w:t>
            </w:r>
          </w:p>
        </w:tc>
        <w:tc>
          <w:tcPr>
            <w:tcW w:w="0" w:type="dxa"/>
            <w:vAlign w:val="bottom"/>
          </w:tcPr>
          <w:p>
            <w:pPr>
              <w:spacing w:after="0"/>
              <w:rPr>
                <w:sz w:val="1"/>
                <w:szCs w:val="1"/>
                <w:color w:val="auto"/>
              </w:rPr>
            </w:pPr>
          </w:p>
        </w:tc>
      </w:tr>
      <w:tr>
        <w:trPr>
          <w:trHeight w:val="149"/>
        </w:trPr>
        <w:tc>
          <w:tcPr>
            <w:tcW w:w="920" w:type="dxa"/>
            <w:vAlign w:val="bottom"/>
          </w:tcPr>
          <w:p>
            <w:pPr>
              <w:ind w:left="100"/>
              <w:spacing w:after="0"/>
              <w:rPr>
                <w:sz w:val="20"/>
                <w:szCs w:val="20"/>
                <w:color w:val="auto"/>
              </w:rPr>
            </w:pPr>
            <w:r>
              <w:rPr>
                <w:rFonts w:ascii="Arial" w:cs="Arial" w:eastAsia="Arial" w:hAnsi="Arial"/>
                <w:sz w:val="13"/>
                <w:szCs w:val="13"/>
                <w:color w:val="auto"/>
              </w:rPr>
              <w:t>Mark Ringes</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tcPr>
          <w:p>
            <w:pPr>
              <w:jc w:val="right"/>
              <w:ind w:right="74"/>
              <w:spacing w:after="0"/>
              <w:rPr>
                <w:sz w:val="20"/>
                <w:szCs w:val="20"/>
                <w:color w:val="auto"/>
              </w:rPr>
            </w:pPr>
            <w:r>
              <w:rPr>
                <w:rFonts w:ascii="Arial" w:cs="Arial" w:eastAsia="Arial" w:hAnsi="Arial"/>
                <w:sz w:val="13"/>
                <w:szCs w:val="13"/>
                <w:color w:val="auto"/>
              </w:rPr>
              <w:t>28,713</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478,547</w:t>
            </w:r>
          </w:p>
        </w:tc>
        <w:tc>
          <w:tcPr>
            <w:tcW w:w="6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957,094</w:t>
            </w: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7,494</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14,987</w:t>
            </w:r>
          </w:p>
        </w:tc>
        <w:tc>
          <w:tcPr>
            <w:tcW w:w="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26,977</w:t>
            </w:r>
          </w:p>
        </w:tc>
        <w:tc>
          <w:tcPr>
            <w:tcW w:w="7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591,537</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860" w:type="dxa"/>
            <w:vAlign w:val="bottom"/>
            <w:tcBorders>
              <w:bottom w:val="single" w:sz="8" w:color="939598"/>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4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54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8,230</w:t>
            </w:r>
          </w:p>
        </w:tc>
        <w:tc>
          <w:tcPr>
            <w:tcW w:w="84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318,501</w:t>
            </w:r>
          </w:p>
        </w:tc>
        <w:tc>
          <w:tcPr>
            <w:tcW w:w="0" w:type="dxa"/>
            <w:vAlign w:val="bottom"/>
          </w:tcPr>
          <w:p>
            <w:pPr>
              <w:spacing w:after="0"/>
              <w:rPr>
                <w:sz w:val="1"/>
                <w:szCs w:val="1"/>
                <w:color w:val="auto"/>
              </w:rPr>
            </w:pPr>
          </w:p>
        </w:tc>
      </w:tr>
      <w:tr>
        <w:trPr>
          <w:trHeight w:val="183"/>
        </w:trPr>
        <w:tc>
          <w:tcPr>
            <w:tcW w:w="920" w:type="dxa"/>
            <w:vAlign w:val="bottom"/>
            <w:tcBorders>
              <w:bottom w:val="single" w:sz="8" w:color="F0533D"/>
            </w:tcBorders>
          </w:tcPr>
          <w:p>
            <w:pPr>
              <w:spacing w:after="0"/>
              <w:rPr>
                <w:sz w:val="15"/>
                <w:szCs w:val="15"/>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3/2/2026</w:t>
            </w:r>
          </w:p>
        </w:tc>
        <w:tc>
          <w:tcPr>
            <w:tcW w:w="8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2/16/2026</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4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spacing w:after="0"/>
              <w:rPr>
                <w:sz w:val="15"/>
                <w:szCs w:val="15"/>
                <w:color w:val="auto"/>
              </w:rPr>
            </w:pPr>
          </w:p>
        </w:tc>
        <w:tc>
          <w:tcPr>
            <w:tcW w:w="54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19,921</w:t>
            </w:r>
          </w:p>
        </w:tc>
        <w:tc>
          <w:tcPr>
            <w:tcW w:w="840" w:type="dxa"/>
            <w:vAlign w:val="bottom"/>
            <w:tcBorders>
              <w:bottom w:val="single" w:sz="8" w:color="F0533D"/>
            </w:tcBorders>
          </w:tcPr>
          <w:p>
            <w:pPr>
              <w:jc w:val="right"/>
              <w:ind w:right="53"/>
              <w:spacing w:after="0"/>
              <w:rPr>
                <w:sz w:val="20"/>
                <w:szCs w:val="20"/>
                <w:color w:val="auto"/>
              </w:rPr>
            </w:pPr>
            <w:r>
              <w:rPr>
                <w:rFonts w:ascii="Arial" w:cs="Arial" w:eastAsia="Arial" w:hAnsi="Arial"/>
                <w:sz w:val="13"/>
                <w:szCs w:val="13"/>
                <w:color w:val="auto"/>
              </w:rPr>
              <w:t>250,009</w:t>
            </w:r>
          </w:p>
        </w:tc>
        <w:tc>
          <w:tcPr>
            <w:tcW w:w="0" w:type="dxa"/>
            <w:vAlign w:val="bottom"/>
          </w:tcPr>
          <w:p>
            <w:pPr>
              <w:spacing w:after="0"/>
              <w:rPr>
                <w:sz w:val="1"/>
                <w:szCs w:val="1"/>
                <w:color w:val="auto"/>
              </w:rPr>
            </w:pPr>
          </w:p>
        </w:tc>
      </w:tr>
      <w:tr>
        <w:trPr>
          <w:trHeight w:val="149"/>
        </w:trPr>
        <w:tc>
          <w:tcPr>
            <w:tcW w:w="920" w:type="dxa"/>
            <w:vAlign w:val="bottom"/>
          </w:tcPr>
          <w:p>
            <w:pPr>
              <w:ind w:left="100"/>
              <w:spacing w:after="0"/>
              <w:rPr>
                <w:sz w:val="20"/>
                <w:szCs w:val="20"/>
                <w:color w:val="auto"/>
              </w:rPr>
            </w:pPr>
            <w:r>
              <w:rPr>
                <w:rFonts w:ascii="Arial" w:cs="Arial" w:eastAsia="Arial" w:hAnsi="Arial"/>
                <w:sz w:val="13"/>
                <w:szCs w:val="13"/>
                <w:color w:val="auto"/>
              </w:rPr>
              <w:t>David</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20" w:type="dxa"/>
            <w:vAlign w:val="bottom"/>
          </w:tcPr>
          <w:p>
            <w:pPr>
              <w:ind w:left="100"/>
              <w:spacing w:after="0" w:line="175" w:lineRule="exact"/>
              <w:rPr>
                <w:sz w:val="20"/>
                <w:szCs w:val="20"/>
                <w:color w:val="auto"/>
              </w:rPr>
            </w:pPr>
            <w:r>
              <w:rPr>
                <w:rFonts w:ascii="Arial" w:cs="Arial" w:eastAsia="Arial" w:hAnsi="Arial"/>
                <w:sz w:val="12"/>
                <w:szCs w:val="12"/>
                <w:color w:val="auto"/>
              </w:rPr>
              <w:t>Wyshner</w:t>
            </w:r>
            <w:r>
              <w:rPr>
                <w:rFonts w:ascii="Arial" w:cs="Arial" w:eastAsia="Arial" w:hAnsi="Arial"/>
                <w:sz w:val="20"/>
                <w:szCs w:val="20"/>
                <w:color w:val="auto"/>
                <w:vertAlign w:val="superscript"/>
              </w:rPr>
              <w:t>(4)</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vMerge w:val="restart"/>
          </w:tcPr>
          <w:p>
            <w:pPr>
              <w:jc w:val="right"/>
              <w:ind w:right="74"/>
              <w:spacing w:after="0"/>
              <w:rPr>
                <w:sz w:val="20"/>
                <w:szCs w:val="20"/>
                <w:color w:val="auto"/>
              </w:rPr>
            </w:pPr>
            <w:r>
              <w:rPr>
                <w:rFonts w:ascii="Arial" w:cs="Arial" w:eastAsia="Arial" w:hAnsi="Arial"/>
                <w:sz w:val="13"/>
                <w:szCs w:val="13"/>
                <w:color w:val="auto"/>
              </w:rPr>
              <w:t>71,250</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1,187,500 2,375,000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860" w:type="dxa"/>
            <w:vAlign w:val="bottom"/>
            <w:tcBorders>
              <w:bottom w:val="single" w:sz="8" w:color="939598"/>
            </w:tcBorders>
          </w:tcPr>
          <w:p>
            <w:pPr>
              <w:spacing w:after="0"/>
              <w:rPr>
                <w:sz w:val="14"/>
                <w:szCs w:val="14"/>
                <w:color w:val="auto"/>
              </w:rPr>
            </w:pPr>
          </w:p>
        </w:tc>
        <w:tc>
          <w:tcPr>
            <w:tcW w:w="80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vMerge w:val="continue"/>
          </w:tcPr>
          <w:p>
            <w:pPr>
              <w:spacing w:after="0"/>
              <w:rPr>
                <w:sz w:val="14"/>
                <w:szCs w:val="14"/>
                <w:color w:val="auto"/>
              </w:rPr>
            </w:pPr>
          </w:p>
        </w:tc>
        <w:tc>
          <w:tcPr>
            <w:tcW w:w="1320" w:type="dxa"/>
            <w:vAlign w:val="bottom"/>
            <w:tcBorders>
              <w:bottom w:val="single" w:sz="8" w:color="939598"/>
            </w:tcBorders>
            <w:gridSpan w:val="2"/>
            <w:vMerge w:val="continue"/>
          </w:tcPr>
          <w:p>
            <w:pPr>
              <w:spacing w:after="0"/>
              <w:rPr>
                <w:sz w:val="14"/>
                <w:szCs w:val="14"/>
                <w:color w:val="auto"/>
              </w:rPr>
            </w:pPr>
          </w:p>
        </w:tc>
        <w:tc>
          <w:tcPr>
            <w:tcW w:w="4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spacing w:after="0"/>
              <w:rPr>
                <w:sz w:val="14"/>
                <w:szCs w:val="14"/>
                <w:color w:val="auto"/>
              </w:rPr>
            </w:pPr>
          </w:p>
        </w:tc>
        <w:tc>
          <w:tcPr>
            <w:tcW w:w="540" w:type="dxa"/>
            <w:vAlign w:val="bottom"/>
            <w:tcBorders>
              <w:bottom w:val="single" w:sz="8" w:color="939598"/>
            </w:tcBorders>
          </w:tcPr>
          <w:p>
            <w:pPr>
              <w:spacing w:after="0"/>
              <w:rPr>
                <w:sz w:val="14"/>
                <w:szCs w:val="14"/>
                <w:color w:val="auto"/>
              </w:rPr>
            </w:pP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spacing w:after="0"/>
              <w:rPr>
                <w:sz w:val="14"/>
                <w:szCs w:val="14"/>
                <w:color w:val="auto"/>
              </w:rPr>
            </w:pPr>
          </w:p>
        </w:tc>
        <w:tc>
          <w:tcPr>
            <w:tcW w:w="84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3"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41,171</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82,342</w:t>
            </w:r>
          </w:p>
        </w:tc>
        <w:tc>
          <w:tcPr>
            <w:tcW w:w="680" w:type="dxa"/>
            <w:vAlign w:val="bottom"/>
            <w:tcBorders>
              <w:bottom w:val="single" w:sz="8" w:color="939598"/>
            </w:tcBorders>
          </w:tcPr>
          <w:p>
            <w:pPr>
              <w:spacing w:after="0"/>
              <w:rPr>
                <w:sz w:val="19"/>
                <w:szCs w:val="19"/>
                <w:color w:val="auto"/>
              </w:rPr>
            </w:pPr>
          </w:p>
        </w:tc>
        <w:tc>
          <w:tcPr>
            <w:tcW w:w="7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148,216</w:t>
            </w:r>
          </w:p>
        </w:tc>
        <w:tc>
          <w:tcPr>
            <w:tcW w:w="8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3,250,039</w:t>
            </w:r>
          </w:p>
        </w:tc>
        <w:tc>
          <w:tcPr>
            <w:tcW w:w="0" w:type="dxa"/>
            <w:vAlign w:val="bottom"/>
          </w:tcPr>
          <w:p>
            <w:pPr>
              <w:spacing w:after="0"/>
              <w:rPr>
                <w:sz w:val="1"/>
                <w:szCs w:val="1"/>
                <w:color w:val="auto"/>
              </w:rPr>
            </w:pPr>
          </w:p>
        </w:tc>
      </w:tr>
      <w:tr>
        <w:trPr>
          <w:trHeight w:val="176"/>
        </w:trPr>
        <w:tc>
          <w:tcPr>
            <w:tcW w:w="920" w:type="dxa"/>
            <w:vAlign w:val="bottom"/>
            <w:tcBorders>
              <w:bottom w:val="single" w:sz="8" w:color="F0533D"/>
            </w:tcBorders>
          </w:tcPr>
          <w:p>
            <w:pPr>
              <w:spacing w:after="0"/>
              <w:rPr>
                <w:sz w:val="15"/>
                <w:szCs w:val="15"/>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660" w:type="dxa"/>
            <w:vAlign w:val="bottom"/>
            <w:tcBorders>
              <w:bottom w:val="single" w:sz="8" w:color="F0533D"/>
            </w:tcBorders>
          </w:tcPr>
          <w:p>
            <w:pPr>
              <w:spacing w:after="0"/>
              <w:rPr>
                <w:sz w:val="15"/>
                <w:szCs w:val="15"/>
                <w:color w:val="auto"/>
              </w:rPr>
            </w:pPr>
          </w:p>
        </w:tc>
        <w:tc>
          <w:tcPr>
            <w:tcW w:w="4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spacing w:after="0"/>
              <w:rPr>
                <w:sz w:val="15"/>
                <w:szCs w:val="15"/>
                <w:color w:val="auto"/>
              </w:rPr>
            </w:pPr>
          </w:p>
        </w:tc>
        <w:tc>
          <w:tcPr>
            <w:tcW w:w="540" w:type="dxa"/>
            <w:vAlign w:val="bottom"/>
            <w:tcBorders>
              <w:bottom w:val="single" w:sz="8" w:color="F0533D"/>
            </w:tcBorders>
          </w:tcPr>
          <w:p>
            <w:pPr>
              <w:spacing w:after="0"/>
              <w:rPr>
                <w:sz w:val="15"/>
                <w:szCs w:val="15"/>
                <w:color w:val="auto"/>
              </w:rPr>
            </w:pPr>
          </w:p>
        </w:tc>
        <w:tc>
          <w:tcPr>
            <w:tcW w:w="680" w:type="dxa"/>
            <w:vAlign w:val="bottom"/>
            <w:tcBorders>
              <w:bottom w:val="single" w:sz="8" w:color="F0533D"/>
            </w:tcBorders>
          </w:tcPr>
          <w:p>
            <w:pPr>
              <w:spacing w:after="0"/>
              <w:rPr>
                <w:sz w:val="15"/>
                <w:szCs w:val="15"/>
                <w:color w:val="auto"/>
              </w:rPr>
            </w:pPr>
          </w:p>
        </w:tc>
        <w:tc>
          <w:tcPr>
            <w:tcW w:w="7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45,220</w:t>
            </w:r>
          </w:p>
        </w:tc>
        <w:tc>
          <w:tcPr>
            <w:tcW w:w="8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1,750,014</w:t>
            </w:r>
          </w:p>
        </w:tc>
        <w:tc>
          <w:tcPr>
            <w:tcW w:w="0" w:type="dxa"/>
            <w:vAlign w:val="bottom"/>
          </w:tcPr>
          <w:p>
            <w:pPr>
              <w:spacing w:after="0"/>
              <w:rPr>
                <w:sz w:val="1"/>
                <w:szCs w:val="1"/>
                <w:color w:val="auto"/>
              </w:rPr>
            </w:pPr>
          </w:p>
        </w:tc>
      </w:tr>
      <w:tr>
        <w:trPr>
          <w:trHeight w:val="149"/>
        </w:trPr>
        <w:tc>
          <w:tcPr>
            <w:tcW w:w="920" w:type="dxa"/>
            <w:vAlign w:val="bottom"/>
          </w:tcPr>
          <w:p>
            <w:pPr>
              <w:ind w:left="100"/>
              <w:spacing w:after="0"/>
              <w:rPr>
                <w:sz w:val="20"/>
                <w:szCs w:val="20"/>
                <w:color w:val="auto"/>
              </w:rPr>
            </w:pPr>
            <w:r>
              <w:rPr>
                <w:rFonts w:ascii="Arial" w:cs="Arial" w:eastAsia="Arial" w:hAnsi="Arial"/>
                <w:sz w:val="13"/>
                <w:szCs w:val="13"/>
                <w:color w:val="auto"/>
              </w:rPr>
              <w:t>Edward</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20" w:type="dxa"/>
            <w:vAlign w:val="bottom"/>
          </w:tcPr>
          <w:p>
            <w:pPr>
              <w:ind w:left="100"/>
              <w:spacing w:after="0" w:line="175" w:lineRule="exact"/>
              <w:rPr>
                <w:sz w:val="20"/>
                <w:szCs w:val="20"/>
                <w:color w:val="auto"/>
              </w:rPr>
            </w:pPr>
            <w:r>
              <w:rPr>
                <w:rFonts w:ascii="Arial" w:cs="Arial" w:eastAsia="Arial" w:hAnsi="Arial"/>
                <w:sz w:val="12"/>
                <w:szCs w:val="12"/>
                <w:color w:val="auto"/>
              </w:rPr>
              <w:t>Sebold</w:t>
            </w:r>
            <w:r>
              <w:rPr>
                <w:rFonts w:ascii="Arial" w:cs="Arial" w:eastAsia="Arial" w:hAnsi="Arial"/>
                <w:sz w:val="20"/>
                <w:szCs w:val="20"/>
                <w:color w:val="auto"/>
                <w:vertAlign w:val="superscript"/>
              </w:rPr>
              <w:t>(4)</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vMerge w:val="restart"/>
          </w:tcPr>
          <w:p>
            <w:pPr>
              <w:jc w:val="right"/>
              <w:ind w:right="74"/>
              <w:spacing w:after="0"/>
              <w:rPr>
                <w:sz w:val="20"/>
                <w:szCs w:val="20"/>
                <w:color w:val="auto"/>
              </w:rPr>
            </w:pPr>
            <w:r>
              <w:rPr>
                <w:rFonts w:ascii="Arial" w:cs="Arial" w:eastAsia="Arial" w:hAnsi="Arial"/>
                <w:sz w:val="13"/>
                <w:szCs w:val="13"/>
                <w:color w:val="auto"/>
              </w:rPr>
              <w:t>56,250</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937,500 1,875,000</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860" w:type="dxa"/>
            <w:vAlign w:val="bottom"/>
            <w:tcBorders>
              <w:bottom w:val="single" w:sz="8" w:color="939598"/>
            </w:tcBorders>
          </w:tcPr>
          <w:p>
            <w:pPr>
              <w:spacing w:after="0"/>
              <w:rPr>
                <w:sz w:val="14"/>
                <w:szCs w:val="14"/>
                <w:color w:val="auto"/>
              </w:rPr>
            </w:pPr>
          </w:p>
        </w:tc>
        <w:tc>
          <w:tcPr>
            <w:tcW w:w="80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vMerge w:val="continue"/>
          </w:tcPr>
          <w:p>
            <w:pPr>
              <w:spacing w:after="0"/>
              <w:rPr>
                <w:sz w:val="14"/>
                <w:szCs w:val="14"/>
                <w:color w:val="auto"/>
              </w:rPr>
            </w:pPr>
          </w:p>
        </w:tc>
        <w:tc>
          <w:tcPr>
            <w:tcW w:w="1320" w:type="dxa"/>
            <w:vAlign w:val="bottom"/>
            <w:tcBorders>
              <w:bottom w:val="single" w:sz="8" w:color="939598"/>
            </w:tcBorders>
            <w:gridSpan w:val="2"/>
            <w:vMerge w:val="continue"/>
          </w:tcPr>
          <w:p>
            <w:pPr>
              <w:spacing w:after="0"/>
              <w:rPr>
                <w:sz w:val="14"/>
                <w:szCs w:val="14"/>
                <w:color w:val="auto"/>
              </w:rPr>
            </w:pPr>
          </w:p>
        </w:tc>
        <w:tc>
          <w:tcPr>
            <w:tcW w:w="4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spacing w:after="0"/>
              <w:rPr>
                <w:sz w:val="14"/>
                <w:szCs w:val="14"/>
                <w:color w:val="auto"/>
              </w:rPr>
            </w:pPr>
          </w:p>
        </w:tc>
        <w:tc>
          <w:tcPr>
            <w:tcW w:w="540" w:type="dxa"/>
            <w:vAlign w:val="bottom"/>
            <w:tcBorders>
              <w:bottom w:val="single" w:sz="8" w:color="939598"/>
            </w:tcBorders>
          </w:tcPr>
          <w:p>
            <w:pPr>
              <w:spacing w:after="0"/>
              <w:rPr>
                <w:sz w:val="14"/>
                <w:szCs w:val="14"/>
                <w:color w:val="auto"/>
              </w:rPr>
            </w:pPr>
          </w:p>
        </w:tc>
        <w:tc>
          <w:tcPr>
            <w:tcW w:w="68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spacing w:after="0"/>
              <w:rPr>
                <w:sz w:val="14"/>
                <w:szCs w:val="14"/>
                <w:color w:val="auto"/>
              </w:rPr>
            </w:pPr>
          </w:p>
        </w:tc>
        <w:tc>
          <w:tcPr>
            <w:tcW w:w="84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3"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660" w:type="dxa"/>
            <w:vAlign w:val="bottom"/>
            <w:tcBorders>
              <w:bottom w:val="single" w:sz="8" w:color="939598"/>
            </w:tcBorders>
          </w:tcPr>
          <w:p>
            <w:pPr>
              <w:spacing w:after="0"/>
              <w:rPr>
                <w:sz w:val="19"/>
                <w:szCs w:val="19"/>
                <w:color w:val="auto"/>
              </w:rPr>
            </w:pPr>
          </w:p>
        </w:tc>
        <w:tc>
          <w:tcPr>
            <w:tcW w:w="74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16,469</w:t>
            </w:r>
          </w:p>
        </w:tc>
        <w:tc>
          <w:tcPr>
            <w:tcW w:w="5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32,937</w:t>
            </w:r>
          </w:p>
        </w:tc>
        <w:tc>
          <w:tcPr>
            <w:tcW w:w="680" w:type="dxa"/>
            <w:vAlign w:val="bottom"/>
            <w:tcBorders>
              <w:bottom w:val="single" w:sz="8" w:color="939598"/>
            </w:tcBorders>
          </w:tcPr>
          <w:p>
            <w:pPr>
              <w:jc w:val="right"/>
              <w:ind w:right="33"/>
              <w:spacing w:after="0"/>
              <w:rPr>
                <w:sz w:val="20"/>
                <w:szCs w:val="20"/>
                <w:color w:val="auto"/>
              </w:rPr>
            </w:pPr>
            <w:r>
              <w:rPr>
                <w:rFonts w:ascii="Arial" w:cs="Arial" w:eastAsia="Arial" w:hAnsi="Arial"/>
                <w:sz w:val="13"/>
                <w:szCs w:val="13"/>
                <w:color w:val="auto"/>
              </w:rPr>
              <w:t>59,287</w:t>
            </w:r>
          </w:p>
        </w:tc>
        <w:tc>
          <w:tcPr>
            <w:tcW w:w="7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1,300,023</w:t>
            </w:r>
          </w:p>
        </w:tc>
        <w:tc>
          <w:tcPr>
            <w:tcW w:w="0" w:type="dxa"/>
            <w:vAlign w:val="bottom"/>
          </w:tcPr>
          <w:p>
            <w:pPr>
              <w:spacing w:after="0"/>
              <w:rPr>
                <w:sz w:val="1"/>
                <w:szCs w:val="1"/>
                <w:color w:val="auto"/>
              </w:rPr>
            </w:pPr>
          </w:p>
        </w:tc>
      </w:tr>
      <w:tr>
        <w:trPr>
          <w:trHeight w:val="156"/>
        </w:trPr>
        <w:tc>
          <w:tcPr>
            <w:tcW w:w="920" w:type="dxa"/>
            <w:vAlign w:val="bottom"/>
            <w:tcBorders>
              <w:bottom w:val="single" w:sz="8" w:color="F0533D"/>
            </w:tcBorders>
          </w:tcPr>
          <w:p>
            <w:pPr>
              <w:spacing w:after="0"/>
              <w:rPr>
                <w:sz w:val="13"/>
                <w:szCs w:val="13"/>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5/29/2025</w:t>
            </w:r>
          </w:p>
        </w:tc>
        <w:tc>
          <w:tcPr>
            <w:tcW w:w="7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3"/>
                <w:szCs w:val="13"/>
                <w:color w:val="auto"/>
              </w:rPr>
            </w:pPr>
          </w:p>
        </w:tc>
        <w:tc>
          <w:tcPr>
            <w:tcW w:w="660" w:type="dxa"/>
            <w:vAlign w:val="bottom"/>
            <w:tcBorders>
              <w:bottom w:val="single" w:sz="8" w:color="F0533D"/>
            </w:tcBorders>
          </w:tcPr>
          <w:p>
            <w:pPr>
              <w:spacing w:after="0"/>
              <w:rPr>
                <w:sz w:val="13"/>
                <w:szCs w:val="13"/>
                <w:color w:val="auto"/>
              </w:rPr>
            </w:pPr>
          </w:p>
        </w:tc>
        <w:tc>
          <w:tcPr>
            <w:tcW w:w="660" w:type="dxa"/>
            <w:vAlign w:val="bottom"/>
            <w:tcBorders>
              <w:bottom w:val="single" w:sz="8" w:color="F0533D"/>
            </w:tcBorders>
          </w:tcPr>
          <w:p>
            <w:pPr>
              <w:spacing w:after="0"/>
              <w:rPr>
                <w:sz w:val="13"/>
                <w:szCs w:val="13"/>
                <w:color w:val="auto"/>
              </w:rPr>
            </w:pPr>
          </w:p>
        </w:tc>
        <w:tc>
          <w:tcPr>
            <w:tcW w:w="40" w:type="dxa"/>
            <w:vAlign w:val="bottom"/>
            <w:tcBorders>
              <w:bottom w:val="single" w:sz="8" w:color="F0533D"/>
            </w:tcBorders>
          </w:tcPr>
          <w:p>
            <w:pPr>
              <w:spacing w:after="0"/>
              <w:rPr>
                <w:sz w:val="13"/>
                <w:szCs w:val="13"/>
                <w:color w:val="auto"/>
              </w:rPr>
            </w:pPr>
          </w:p>
        </w:tc>
        <w:tc>
          <w:tcPr>
            <w:tcW w:w="700" w:type="dxa"/>
            <w:vAlign w:val="bottom"/>
            <w:tcBorders>
              <w:bottom w:val="single" w:sz="8" w:color="F0533D"/>
            </w:tcBorders>
          </w:tcPr>
          <w:p>
            <w:pPr>
              <w:spacing w:after="0"/>
              <w:rPr>
                <w:sz w:val="13"/>
                <w:szCs w:val="13"/>
                <w:color w:val="auto"/>
              </w:rPr>
            </w:pPr>
          </w:p>
        </w:tc>
        <w:tc>
          <w:tcPr>
            <w:tcW w:w="540" w:type="dxa"/>
            <w:vAlign w:val="bottom"/>
            <w:tcBorders>
              <w:bottom w:val="single" w:sz="8" w:color="F0533D"/>
            </w:tcBorders>
          </w:tcPr>
          <w:p>
            <w:pPr>
              <w:spacing w:after="0"/>
              <w:rPr>
                <w:sz w:val="13"/>
                <w:szCs w:val="13"/>
                <w:color w:val="auto"/>
              </w:rPr>
            </w:pPr>
          </w:p>
        </w:tc>
        <w:tc>
          <w:tcPr>
            <w:tcW w:w="680" w:type="dxa"/>
            <w:vAlign w:val="bottom"/>
            <w:tcBorders>
              <w:bottom w:val="single" w:sz="8" w:color="F0533D"/>
            </w:tcBorders>
          </w:tcPr>
          <w:p>
            <w:pPr>
              <w:spacing w:after="0"/>
              <w:rPr>
                <w:sz w:val="13"/>
                <w:szCs w:val="13"/>
                <w:color w:val="auto"/>
              </w:rPr>
            </w:pPr>
          </w:p>
        </w:tc>
        <w:tc>
          <w:tcPr>
            <w:tcW w:w="700" w:type="dxa"/>
            <w:vAlign w:val="bottom"/>
            <w:tcBorders>
              <w:bottom w:val="single" w:sz="8" w:color="F0533D"/>
            </w:tcBorders>
          </w:tcPr>
          <w:p>
            <w:pPr>
              <w:jc w:val="right"/>
              <w:ind w:right="13"/>
              <w:spacing w:after="0"/>
              <w:rPr>
                <w:sz w:val="20"/>
                <w:szCs w:val="20"/>
                <w:color w:val="auto"/>
              </w:rPr>
            </w:pPr>
            <w:r>
              <w:rPr>
                <w:rFonts w:ascii="Arial" w:cs="Arial" w:eastAsia="Arial" w:hAnsi="Arial"/>
                <w:sz w:val="13"/>
                <w:szCs w:val="13"/>
                <w:color w:val="auto"/>
              </w:rPr>
              <w:t>18,088</w:t>
            </w:r>
          </w:p>
        </w:tc>
        <w:tc>
          <w:tcPr>
            <w:tcW w:w="840" w:type="dxa"/>
            <w:vAlign w:val="bottom"/>
            <w:tcBorders>
              <w:bottom w:val="single" w:sz="8" w:color="F0533D"/>
            </w:tcBorders>
          </w:tcPr>
          <w:p>
            <w:pPr>
              <w:jc w:val="right"/>
              <w:ind w:right="53"/>
              <w:spacing w:after="0"/>
              <w:rPr>
                <w:sz w:val="20"/>
                <w:szCs w:val="20"/>
                <w:color w:val="auto"/>
              </w:rPr>
            </w:pPr>
            <w:r>
              <w:rPr>
                <w:rFonts w:ascii="Arial" w:cs="Arial" w:eastAsia="Arial" w:hAnsi="Arial"/>
                <w:sz w:val="13"/>
                <w:szCs w:val="13"/>
                <w:color w:val="auto"/>
              </w:rPr>
              <w:t>700,006</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0" w:name="page71"/>
    <w:bookmarkEnd w:id="7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All Other</w:t>
            </w:r>
          </w:p>
        </w:tc>
        <w:tc>
          <w:tcPr>
            <w:tcW w:w="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F0533D"/>
              </w:rPr>
              <w:t>Grant</w:t>
            </w: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line="136" w:lineRule="exact"/>
              <w:rPr>
                <w:sz w:val="20"/>
                <w:szCs w:val="20"/>
                <w:color w:val="auto"/>
              </w:rPr>
            </w:pPr>
            <w:r>
              <w:rPr>
                <w:rFonts w:ascii="Arial" w:cs="Arial" w:eastAsia="Arial" w:hAnsi="Arial"/>
                <w:sz w:val="13"/>
                <w:szCs w:val="13"/>
                <w:b w:val="1"/>
                <w:bCs w:val="1"/>
                <w:color w:val="F0533D"/>
              </w:rPr>
              <w:t>Stock</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Estimated Future Payouts</w:t>
            </w:r>
          </w:p>
        </w:tc>
        <w:tc>
          <w:tcPr>
            <w:tcW w:w="60" w:type="dxa"/>
            <w:vAlign w:val="bottom"/>
          </w:tcPr>
          <w:p>
            <w:pPr>
              <w:spacing w:after="0"/>
              <w:rPr>
                <w:sz w:val="15"/>
                <w:szCs w:val="15"/>
                <w:color w:val="auto"/>
              </w:rPr>
            </w:pPr>
          </w:p>
        </w:tc>
        <w:tc>
          <w:tcPr>
            <w:tcW w:w="190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Estimated Future Payouts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Awards:</w:t>
            </w:r>
          </w:p>
        </w:tc>
        <w:tc>
          <w:tcPr>
            <w:tcW w:w="840" w:type="dxa"/>
            <w:vAlign w:val="bottom"/>
          </w:tcPr>
          <w:p>
            <w:pPr>
              <w:jc w:val="center"/>
              <w:ind w:right="33"/>
              <w:spacing w:after="0"/>
              <w:rPr>
                <w:sz w:val="20"/>
                <w:szCs w:val="20"/>
                <w:color w:val="auto"/>
              </w:rPr>
            </w:pPr>
            <w:r>
              <w:rPr>
                <w:rFonts w:ascii="Arial" w:cs="Arial" w:eastAsia="Arial" w:hAnsi="Arial"/>
                <w:sz w:val="13"/>
                <w:szCs w:val="13"/>
                <w:b w:val="1"/>
                <w:bCs w:val="1"/>
                <w:color w:val="F0533D"/>
              </w:rPr>
              <w:t>Date</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Under Non-Equity</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2"/>
          </w:tcPr>
          <w:p>
            <w:pPr>
              <w:jc w:val="center"/>
              <w:ind w:right="493"/>
              <w:spacing w:after="0"/>
              <w:rPr>
                <w:sz w:val="20"/>
                <w:szCs w:val="20"/>
                <w:color w:val="auto"/>
              </w:rPr>
            </w:pPr>
            <w:r>
              <w:rPr>
                <w:rFonts w:ascii="Arial" w:cs="Arial" w:eastAsia="Arial" w:hAnsi="Arial"/>
                <w:sz w:val="13"/>
                <w:szCs w:val="13"/>
                <w:b w:val="1"/>
                <w:bCs w:val="1"/>
                <w:color w:val="F0533D"/>
              </w:rPr>
              <w:t>Under Equity</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Number</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F0533D"/>
              </w:rPr>
              <w:t>Fair</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gridSpan w:val="3"/>
          </w:tcPr>
          <w:p>
            <w:pPr>
              <w:jc w:val="center"/>
              <w:spacing w:after="0" w:line="149" w:lineRule="exact"/>
              <w:rPr>
                <w:sz w:val="20"/>
                <w:szCs w:val="20"/>
                <w:color w:val="auto"/>
              </w:rPr>
            </w:pPr>
            <w:r>
              <w:rPr>
                <w:rFonts w:ascii="Arial" w:cs="Arial" w:eastAsia="Arial" w:hAnsi="Arial"/>
                <w:sz w:val="11"/>
                <w:szCs w:val="11"/>
                <w:b w:val="1"/>
                <w:bCs w:val="1"/>
                <w:color w:val="F0533D"/>
              </w:rPr>
              <w:t>Incentive Plan Awards</w:t>
            </w:r>
            <w:r>
              <w:rPr>
                <w:rFonts w:ascii="Arial" w:cs="Arial" w:eastAsia="Arial" w:hAnsi="Arial"/>
                <w:sz w:val="17"/>
                <w:szCs w:val="17"/>
                <w:b w:val="1"/>
                <w:bCs w:val="1"/>
                <w:color w:val="F0533D"/>
                <w:vertAlign w:val="superscript"/>
              </w:rPr>
              <w:t>(1)</w:t>
            </w:r>
          </w:p>
        </w:tc>
        <w:tc>
          <w:tcPr>
            <w:tcW w:w="60" w:type="dxa"/>
            <w:vAlign w:val="bottom"/>
          </w:tcPr>
          <w:p>
            <w:pPr>
              <w:spacing w:after="0"/>
              <w:rPr>
                <w:sz w:val="12"/>
                <w:szCs w:val="12"/>
                <w:color w:val="auto"/>
              </w:rPr>
            </w:pPr>
          </w:p>
        </w:tc>
        <w:tc>
          <w:tcPr>
            <w:tcW w:w="1900" w:type="dxa"/>
            <w:vAlign w:val="bottom"/>
            <w:gridSpan w:val="3"/>
          </w:tcPr>
          <w:p>
            <w:pPr>
              <w:jc w:val="center"/>
              <w:spacing w:after="0"/>
              <w:rPr>
                <w:sz w:val="20"/>
                <w:szCs w:val="20"/>
                <w:color w:val="auto"/>
              </w:rPr>
            </w:pPr>
            <w:r>
              <w:rPr>
                <w:rFonts w:ascii="Arial" w:cs="Arial" w:eastAsia="Arial" w:hAnsi="Arial"/>
                <w:sz w:val="13"/>
                <w:szCs w:val="13"/>
                <w:b w:val="1"/>
                <w:bCs w:val="1"/>
                <w:color w:val="F0533D"/>
              </w:rPr>
              <w:t>Incentive Plan Awards</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w w:val="97"/>
              </w:rPr>
              <w:t>of</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F0533D"/>
              </w:rPr>
              <w:t>Value of</w:t>
            </w: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Borders>
              <w:bottom w:val="single" w:sz="8" w:color="F0533D"/>
            </w:tcBorders>
          </w:tcPr>
          <w:p>
            <w:pPr>
              <w:spacing w:after="0"/>
              <w:rPr>
                <w:sz w:val="4"/>
                <w:szCs w:val="4"/>
                <w:color w:val="auto"/>
              </w:rPr>
            </w:pPr>
          </w:p>
        </w:tc>
        <w:tc>
          <w:tcPr>
            <w:tcW w:w="600" w:type="dxa"/>
            <w:vAlign w:val="bottom"/>
            <w:tcBorders>
              <w:bottom w:val="single" w:sz="8" w:color="F0533D"/>
            </w:tcBorders>
          </w:tcPr>
          <w:p>
            <w:pPr>
              <w:spacing w:after="0"/>
              <w:rPr>
                <w:sz w:val="4"/>
                <w:szCs w:val="4"/>
                <w:color w:val="auto"/>
              </w:rPr>
            </w:pPr>
          </w:p>
        </w:tc>
        <w:tc>
          <w:tcPr>
            <w:tcW w:w="680" w:type="dxa"/>
            <w:vAlign w:val="bottom"/>
            <w:tcBorders>
              <w:bottom w:val="single" w:sz="8" w:color="F0533D"/>
            </w:tcBorders>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bottom w:val="single" w:sz="8" w:color="F0533D"/>
            </w:tcBorders>
          </w:tcPr>
          <w:p>
            <w:pPr>
              <w:spacing w:after="0"/>
              <w:rPr>
                <w:sz w:val="4"/>
                <w:szCs w:val="4"/>
                <w:color w:val="auto"/>
              </w:rPr>
            </w:pPr>
          </w:p>
        </w:tc>
        <w:tc>
          <w:tcPr>
            <w:tcW w:w="720" w:type="dxa"/>
            <w:vAlign w:val="bottom"/>
            <w:tcBorders>
              <w:bottom w:val="single" w:sz="8" w:color="F0533D"/>
            </w:tcBorders>
          </w:tcPr>
          <w:p>
            <w:pPr>
              <w:spacing w:after="0"/>
              <w:rPr>
                <w:sz w:val="4"/>
                <w:szCs w:val="4"/>
                <w:color w:val="auto"/>
              </w:rPr>
            </w:pPr>
          </w:p>
        </w:tc>
        <w:tc>
          <w:tcPr>
            <w:tcW w:w="680" w:type="dxa"/>
            <w:vAlign w:val="bottom"/>
            <w:tcBorders>
              <w:bottom w:val="single" w:sz="8" w:color="F0533D"/>
            </w:tcBorders>
          </w:tcPr>
          <w:p>
            <w:pPr>
              <w:spacing w:after="0"/>
              <w:rPr>
                <w:sz w:val="4"/>
                <w:szCs w:val="4"/>
                <w:color w:val="auto"/>
              </w:rPr>
            </w:pPr>
          </w:p>
        </w:tc>
        <w:tc>
          <w:tcPr>
            <w:tcW w:w="70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F0533D"/>
              </w:rPr>
              <w:t>Shares</w:t>
            </w:r>
          </w:p>
        </w:tc>
        <w:tc>
          <w:tcPr>
            <w:tcW w:w="840" w:type="dxa"/>
            <w:vAlign w:val="bottom"/>
            <w:vMerge w:val="restart"/>
          </w:tcPr>
          <w:p>
            <w:pPr>
              <w:jc w:val="center"/>
              <w:spacing w:after="0" w:line="122" w:lineRule="exact"/>
              <w:rPr>
                <w:sz w:val="20"/>
                <w:szCs w:val="20"/>
                <w:color w:val="auto"/>
              </w:rPr>
            </w:pPr>
            <w:r>
              <w:rPr>
                <w:rFonts w:ascii="Arial" w:cs="Arial" w:eastAsia="Arial" w:hAnsi="Arial"/>
                <w:sz w:val="13"/>
                <w:szCs w:val="13"/>
                <w:b w:val="1"/>
                <w:bCs w:val="1"/>
                <w:color w:val="F0533D"/>
              </w:rPr>
              <w:t>Stock and</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vMerge w:val="restart"/>
          </w:tcPr>
          <w:p>
            <w:pPr>
              <w:ind w:left="100"/>
              <w:spacing w:after="0"/>
              <w:rPr>
                <w:sz w:val="20"/>
                <w:szCs w:val="20"/>
                <w:color w:val="auto"/>
              </w:rPr>
            </w:pPr>
            <w:r>
              <w:rPr>
                <w:rFonts w:ascii="Arial" w:cs="Arial" w:eastAsia="Arial" w:hAnsi="Arial"/>
                <w:sz w:val="13"/>
                <w:szCs w:val="13"/>
                <w:b w:val="1"/>
                <w:bCs w:val="1"/>
                <w:color w:val="F0533D"/>
              </w:rPr>
              <w:t>Approval</w:t>
            </w: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Award</w:t>
            </w: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Threshold</w:t>
            </w:r>
          </w:p>
        </w:tc>
        <w:tc>
          <w:tcPr>
            <w:tcW w:w="60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Target</w:t>
            </w:r>
          </w:p>
        </w:tc>
        <w:tc>
          <w:tcPr>
            <w:tcW w:w="1960" w:type="dxa"/>
            <w:vAlign w:val="bottom"/>
            <w:gridSpan w:val="4"/>
            <w:vMerge w:val="restart"/>
          </w:tcPr>
          <w:p>
            <w:pPr>
              <w:ind w:left="60"/>
              <w:spacing w:after="0"/>
              <w:rPr>
                <w:sz w:val="20"/>
                <w:szCs w:val="20"/>
                <w:color w:val="auto"/>
              </w:rPr>
            </w:pPr>
            <w:r>
              <w:rPr>
                <w:rFonts w:ascii="Arial" w:cs="Arial" w:eastAsia="Arial" w:hAnsi="Arial"/>
                <w:sz w:val="13"/>
                <w:szCs w:val="13"/>
                <w:b w:val="1"/>
                <w:bCs w:val="1"/>
                <w:color w:val="F0533D"/>
              </w:rPr>
              <w:t>Maximum Threshold Target</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Maximum</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of Stock</w:t>
            </w:r>
          </w:p>
        </w:tc>
        <w:tc>
          <w:tcPr>
            <w:tcW w:w="840" w:type="dxa"/>
            <w:vAlign w:val="bottom"/>
          </w:tcPr>
          <w:p>
            <w:pPr>
              <w:jc w:val="center"/>
              <w:ind w:right="13"/>
              <w:spacing w:after="0"/>
              <w:rPr>
                <w:sz w:val="20"/>
                <w:szCs w:val="20"/>
                <w:color w:val="auto"/>
              </w:rPr>
            </w:pPr>
            <w:r>
              <w:rPr>
                <w:rFonts w:ascii="Arial" w:cs="Arial" w:eastAsia="Arial" w:hAnsi="Arial"/>
                <w:sz w:val="13"/>
                <w:szCs w:val="13"/>
                <w:b w:val="1"/>
                <w:bCs w:val="1"/>
                <w:color w:val="F0533D"/>
              </w:rPr>
              <w:t>Option</w:t>
            </w:r>
          </w:p>
        </w:tc>
        <w:tc>
          <w:tcPr>
            <w:tcW w:w="0" w:type="dxa"/>
            <w:vAlign w:val="bottom"/>
          </w:tcPr>
          <w:p>
            <w:pPr>
              <w:spacing w:after="0"/>
              <w:rPr>
                <w:sz w:val="1"/>
                <w:szCs w:val="1"/>
                <w:color w:val="auto"/>
              </w:rPr>
            </w:pPr>
          </w:p>
        </w:tc>
      </w:tr>
      <w:tr>
        <w:trPr>
          <w:trHeight w:val="161"/>
        </w:trPr>
        <w:tc>
          <w:tcPr>
            <w:tcW w:w="920" w:type="dxa"/>
            <w:vAlign w:val="bottom"/>
            <w:vMerge w:val="restart"/>
          </w:tcPr>
          <w:p>
            <w:pPr>
              <w:ind w:left="140"/>
              <w:spacing w:after="0"/>
              <w:rPr>
                <w:sz w:val="20"/>
                <w:szCs w:val="20"/>
                <w:color w:val="auto"/>
              </w:rPr>
            </w:pPr>
            <w:r>
              <w:rPr>
                <w:rFonts w:ascii="Arial" w:cs="Arial" w:eastAsia="Arial" w:hAnsi="Arial"/>
                <w:sz w:val="13"/>
                <w:szCs w:val="13"/>
                <w:b w:val="1"/>
                <w:bCs w:val="1"/>
                <w:color w:val="F0533D"/>
              </w:rPr>
              <w:t>Name</w:t>
            </w:r>
          </w:p>
        </w:tc>
        <w:tc>
          <w:tcPr>
            <w:tcW w:w="860" w:type="dxa"/>
            <w:vAlign w:val="bottom"/>
            <w:vMerge w:val="restart"/>
          </w:tcPr>
          <w:p>
            <w:pPr>
              <w:ind w:left="60"/>
              <w:spacing w:after="0"/>
              <w:rPr>
                <w:sz w:val="20"/>
                <w:szCs w:val="20"/>
                <w:color w:val="auto"/>
              </w:rPr>
            </w:pPr>
            <w:r>
              <w:rPr>
                <w:rFonts w:ascii="Arial" w:cs="Arial" w:eastAsia="Arial" w:hAnsi="Arial"/>
                <w:sz w:val="13"/>
                <w:szCs w:val="13"/>
                <w:b w:val="1"/>
                <w:bCs w:val="1"/>
                <w:color w:val="F0533D"/>
              </w:rPr>
              <w:t>Grant Date</w:t>
            </w:r>
          </w:p>
        </w:tc>
        <w:tc>
          <w:tcPr>
            <w:tcW w:w="8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1960" w:type="dxa"/>
            <w:vAlign w:val="bottom"/>
            <w:gridSpan w:val="4"/>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or Units</w:t>
            </w:r>
          </w:p>
        </w:tc>
        <w:tc>
          <w:tcPr>
            <w:tcW w:w="840" w:type="dxa"/>
            <w:vAlign w:val="bottom"/>
          </w:tcPr>
          <w:p>
            <w:pPr>
              <w:jc w:val="center"/>
              <w:ind w:right="33"/>
              <w:spacing w:after="0" w:line="161" w:lineRule="exact"/>
              <w:rPr>
                <w:sz w:val="20"/>
                <w:szCs w:val="20"/>
                <w:color w:val="auto"/>
              </w:rPr>
            </w:pPr>
            <w:r>
              <w:rPr>
                <w:rFonts w:ascii="Arial" w:cs="Arial" w:eastAsia="Arial" w:hAnsi="Arial"/>
                <w:sz w:val="11"/>
                <w:szCs w:val="11"/>
                <w:b w:val="1"/>
                <w:bCs w:val="1"/>
                <w:color w:val="F0533D"/>
              </w:rPr>
              <w:t>Awards</w:t>
            </w:r>
            <w:r>
              <w:rPr>
                <w:rFonts w:ascii="Arial" w:cs="Arial" w:eastAsia="Arial" w:hAnsi="Arial"/>
                <w:sz w:val="18"/>
                <w:szCs w:val="18"/>
                <w:b w:val="1"/>
                <w:bCs w:val="1"/>
                <w:color w:val="F0533D"/>
                <w:vertAlign w:val="superscript"/>
              </w:rPr>
              <w:t>(2)</w:t>
            </w:r>
          </w:p>
        </w:tc>
        <w:tc>
          <w:tcPr>
            <w:tcW w:w="0" w:type="dxa"/>
            <w:vAlign w:val="bottom"/>
          </w:tcPr>
          <w:p>
            <w:pPr>
              <w:spacing w:after="0"/>
              <w:rPr>
                <w:sz w:val="1"/>
                <w:szCs w:val="1"/>
                <w:color w:val="auto"/>
              </w:rPr>
            </w:pPr>
          </w:p>
        </w:tc>
      </w:tr>
      <w:tr>
        <w:trPr>
          <w:trHeight w:val="188"/>
        </w:trPr>
        <w:tc>
          <w:tcPr>
            <w:tcW w:w="920" w:type="dxa"/>
            <w:vAlign w:val="bottom"/>
            <w:tcBorders>
              <w:bottom w:val="single" w:sz="8" w:color="F0533D"/>
            </w:tcBorders>
            <w:vMerge w:val="continue"/>
          </w:tcPr>
          <w:p>
            <w:pPr>
              <w:spacing w:after="0"/>
              <w:rPr>
                <w:sz w:val="16"/>
                <w:szCs w:val="16"/>
                <w:color w:val="auto"/>
              </w:rPr>
            </w:pPr>
          </w:p>
        </w:tc>
        <w:tc>
          <w:tcPr>
            <w:tcW w:w="860" w:type="dxa"/>
            <w:vAlign w:val="bottom"/>
            <w:tcBorders>
              <w:bottom w:val="single" w:sz="8" w:color="F0533D"/>
            </w:tcBorders>
            <w:vMerge w:val="continue"/>
          </w:tcPr>
          <w:p>
            <w:pPr>
              <w:spacing w:after="0"/>
              <w:rPr>
                <w:sz w:val="16"/>
                <w:szCs w:val="16"/>
                <w:color w:val="auto"/>
              </w:rPr>
            </w:pPr>
          </w:p>
        </w:tc>
        <w:tc>
          <w:tcPr>
            <w:tcW w:w="8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Date</w:t>
            </w:r>
          </w:p>
        </w:tc>
        <w:tc>
          <w:tcPr>
            <w:tcW w:w="8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w w:val="98"/>
              </w:rPr>
              <w:t>Type</w:t>
            </w:r>
          </w:p>
        </w:tc>
        <w:tc>
          <w:tcPr>
            <w:tcW w:w="7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600" w:type="dxa"/>
            <w:vAlign w:val="bottom"/>
            <w:tcBorders>
              <w:bottom w:val="single" w:sz="8" w:color="F0533D"/>
            </w:tcBorders>
          </w:tcPr>
          <w:p>
            <w:pPr>
              <w:jc w:val="right"/>
              <w:ind w:right="153"/>
              <w:spacing w:after="0"/>
              <w:rPr>
                <w:sz w:val="20"/>
                <w:szCs w:val="20"/>
                <w:color w:val="auto"/>
              </w:rPr>
            </w:pPr>
            <w:r>
              <w:rPr>
                <w:rFonts w:ascii="Arial" w:cs="Arial" w:eastAsia="Arial" w:hAnsi="Arial"/>
                <w:sz w:val="13"/>
                <w:szCs w:val="13"/>
                <w:b w:val="1"/>
                <w:bCs w:val="1"/>
                <w:color w:val="F0533D"/>
              </w:rPr>
              <w:t>($)</w:t>
            </w:r>
          </w:p>
        </w:tc>
        <w:tc>
          <w:tcPr>
            <w:tcW w:w="680" w:type="dxa"/>
            <w:vAlign w:val="bottom"/>
            <w:tcBorders>
              <w:bottom w:val="single" w:sz="8" w:color="F0533D"/>
            </w:tcBorders>
          </w:tcPr>
          <w:p>
            <w:pPr>
              <w:jc w:val="right"/>
              <w:ind w:right="153"/>
              <w:spacing w:after="0"/>
              <w:rPr>
                <w:sz w:val="20"/>
                <w:szCs w:val="20"/>
                <w:color w:val="auto"/>
              </w:rPr>
            </w:pPr>
            <w:r>
              <w:rPr>
                <w:rFonts w:ascii="Arial" w:cs="Arial" w:eastAsia="Arial" w:hAnsi="Arial"/>
                <w:sz w:val="13"/>
                <w:szCs w:val="13"/>
                <w:b w:val="1"/>
                <w:bCs w:val="1"/>
                <w:color w:val="F0533D"/>
              </w:rPr>
              <w:t>($)</w:t>
            </w:r>
          </w:p>
        </w:tc>
        <w:tc>
          <w:tcPr>
            <w:tcW w:w="560" w:type="dxa"/>
            <w:vAlign w:val="bottom"/>
            <w:tcBorders>
              <w:bottom w:val="single" w:sz="8" w:color="F0533D"/>
            </w:tcBorders>
            <w:gridSpan w:val="2"/>
          </w:tcPr>
          <w:p>
            <w:pPr>
              <w:jc w:val="right"/>
              <w:ind w:right="13"/>
              <w:spacing w:after="0"/>
              <w:rPr>
                <w:sz w:val="20"/>
                <w:szCs w:val="20"/>
                <w:color w:val="auto"/>
              </w:rPr>
            </w:pPr>
            <w:r>
              <w:rPr>
                <w:rFonts w:ascii="Arial" w:cs="Arial" w:eastAsia="Arial" w:hAnsi="Arial"/>
                <w:sz w:val="13"/>
                <w:szCs w:val="13"/>
                <w:b w:val="1"/>
                <w:bCs w:val="1"/>
                <w:color w:val="F0533D"/>
              </w:rPr>
              <w:t>(#)</w:t>
            </w:r>
          </w:p>
        </w:tc>
        <w:tc>
          <w:tcPr>
            <w:tcW w:w="720" w:type="dxa"/>
            <w:vAlign w:val="bottom"/>
            <w:tcBorders>
              <w:bottom w:val="single" w:sz="8" w:color="F0533D"/>
            </w:tcBorders>
          </w:tcPr>
          <w:p>
            <w:pPr>
              <w:jc w:val="right"/>
              <w:ind w:right="113"/>
              <w:spacing w:after="0"/>
              <w:rPr>
                <w:sz w:val="20"/>
                <w:szCs w:val="20"/>
                <w:color w:val="auto"/>
              </w:rPr>
            </w:pPr>
            <w:r>
              <w:rPr>
                <w:rFonts w:ascii="Arial" w:cs="Arial" w:eastAsia="Arial" w:hAnsi="Arial"/>
                <w:sz w:val="13"/>
                <w:szCs w:val="13"/>
                <w:b w:val="1"/>
                <w:bCs w:val="1"/>
                <w:color w:val="F0533D"/>
              </w:rPr>
              <w:t>(#)</w:t>
            </w:r>
          </w:p>
        </w:tc>
        <w:tc>
          <w:tcPr>
            <w:tcW w:w="68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7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8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0" w:type="dxa"/>
            <w:vAlign w:val="bottom"/>
          </w:tcPr>
          <w:p>
            <w:pPr>
              <w:spacing w:after="0"/>
              <w:rPr>
                <w:sz w:val="1"/>
                <w:szCs w:val="1"/>
                <w:color w:val="auto"/>
              </w:rPr>
            </w:pPr>
          </w:p>
        </w:tc>
      </w:tr>
      <w:tr>
        <w:trPr>
          <w:trHeight w:val="158"/>
        </w:trPr>
        <w:tc>
          <w:tcPr>
            <w:tcW w:w="920" w:type="dxa"/>
            <w:vAlign w:val="bottom"/>
          </w:tcPr>
          <w:p>
            <w:pPr>
              <w:ind w:left="140"/>
              <w:spacing w:after="0"/>
              <w:rPr>
                <w:sz w:val="20"/>
                <w:szCs w:val="20"/>
                <w:color w:val="auto"/>
              </w:rPr>
            </w:pPr>
            <w:r>
              <w:rPr>
                <w:rFonts w:ascii="Arial" w:cs="Arial" w:eastAsia="Arial" w:hAnsi="Arial"/>
                <w:sz w:val="13"/>
                <w:szCs w:val="13"/>
                <w:color w:val="auto"/>
              </w:rPr>
              <w:t>Vineet</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Annual</w:t>
            </w: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20" w:type="dxa"/>
            <w:vAlign w:val="bottom"/>
          </w:tcPr>
          <w:p>
            <w:pPr>
              <w:ind w:left="140"/>
              <w:spacing w:after="0"/>
              <w:rPr>
                <w:sz w:val="20"/>
                <w:szCs w:val="20"/>
                <w:color w:val="auto"/>
              </w:rPr>
            </w:pPr>
            <w:r>
              <w:rPr>
                <w:rFonts w:ascii="Arial" w:cs="Arial" w:eastAsia="Arial" w:hAnsi="Arial"/>
                <w:sz w:val="13"/>
                <w:szCs w:val="13"/>
                <w:color w:val="auto"/>
              </w:rPr>
              <w:t>Khurana</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auto"/>
              </w:rPr>
              <w:t>Cash</w:t>
            </w: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86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spacing w:after="0"/>
              <w:rPr>
                <w:sz w:val="15"/>
                <w:szCs w:val="15"/>
                <w:color w:val="auto"/>
              </w:rPr>
            </w:pPr>
          </w:p>
        </w:tc>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Bonus</w:t>
            </w:r>
          </w:p>
        </w:tc>
        <w:tc>
          <w:tcPr>
            <w:tcW w:w="7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31,500</w:t>
            </w:r>
          </w:p>
        </w:tc>
        <w:tc>
          <w:tcPr>
            <w:tcW w:w="6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525,000</w:t>
            </w:r>
          </w:p>
        </w:tc>
        <w:tc>
          <w:tcPr>
            <w:tcW w:w="680" w:type="dxa"/>
            <w:vAlign w:val="bottom"/>
            <w:tcBorders>
              <w:bottom w:val="single" w:sz="8" w:color="939598"/>
            </w:tcBorders>
          </w:tcPr>
          <w:p>
            <w:pPr>
              <w:ind w:left="60"/>
              <w:spacing w:after="0"/>
              <w:rPr>
                <w:sz w:val="20"/>
                <w:szCs w:val="20"/>
                <w:color w:val="auto"/>
              </w:rPr>
            </w:pPr>
            <w:r>
              <w:rPr>
                <w:rFonts w:ascii="Arial" w:cs="Arial" w:eastAsia="Arial" w:hAnsi="Arial"/>
                <w:sz w:val="13"/>
                <w:szCs w:val="13"/>
                <w:color w:val="auto"/>
              </w:rPr>
              <w:t>1,050,000</w:t>
            </w:r>
          </w:p>
        </w:tc>
        <w:tc>
          <w:tcPr>
            <w:tcW w:w="60" w:type="dxa"/>
            <w:vAlign w:val="bottom"/>
            <w:tcBorders>
              <w:bottom w:val="single" w:sz="8" w:color="939598"/>
            </w:tcBorders>
          </w:tcPr>
          <w:p>
            <w:pPr>
              <w:spacing w:after="0"/>
              <w:rPr>
                <w:sz w:val="15"/>
                <w:szCs w:val="15"/>
                <w:color w:val="auto"/>
              </w:rPr>
            </w:pPr>
          </w:p>
        </w:tc>
        <w:tc>
          <w:tcPr>
            <w:tcW w:w="500" w:type="dxa"/>
            <w:vAlign w:val="bottom"/>
            <w:tcBorders>
              <w:bottom w:val="single" w:sz="8" w:color="939598"/>
            </w:tcBorders>
          </w:tcPr>
          <w:p>
            <w:pPr>
              <w:spacing w:after="0"/>
              <w:rPr>
                <w:sz w:val="15"/>
                <w:szCs w:val="15"/>
                <w:color w:val="auto"/>
              </w:rPr>
            </w:pPr>
          </w:p>
        </w:tc>
        <w:tc>
          <w:tcPr>
            <w:tcW w:w="72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spacing w:after="0"/>
              <w:rPr>
                <w:sz w:val="15"/>
                <w:szCs w:val="15"/>
                <w:color w:val="auto"/>
              </w:rPr>
            </w:pPr>
          </w:p>
        </w:tc>
        <w:tc>
          <w:tcPr>
            <w:tcW w:w="840" w:type="dxa"/>
            <w:vAlign w:val="bottom"/>
            <w:tcBorders>
              <w:bottom w:val="single" w:sz="8" w:color="939598"/>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20" w:type="dxa"/>
            <w:vAlign w:val="bottom"/>
          </w:tcPr>
          <w:p>
            <w:pPr>
              <w:spacing w:after="0"/>
              <w:rPr>
                <w:sz w:val="19"/>
                <w:szCs w:val="19"/>
                <w:color w:val="auto"/>
              </w:rPr>
            </w:pPr>
          </w:p>
        </w:tc>
        <w:tc>
          <w:tcPr>
            <w:tcW w:w="860" w:type="dxa"/>
            <w:vAlign w:val="bottom"/>
            <w:tcBorders>
              <w:bottom w:val="single" w:sz="8" w:color="939598"/>
            </w:tcBorders>
          </w:tcPr>
          <w:p>
            <w:pPr>
              <w:ind w:left="120"/>
              <w:spacing w:after="0" w:line="22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(3)</w:t>
            </w:r>
          </w:p>
        </w:tc>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5/29/2025</w:t>
            </w:r>
          </w:p>
        </w:tc>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PSU</w:t>
            </w:r>
          </w:p>
        </w:tc>
        <w:tc>
          <w:tcPr>
            <w:tcW w:w="700" w:type="dxa"/>
            <w:vAlign w:val="bottom"/>
            <w:tcBorders>
              <w:bottom w:val="single" w:sz="8" w:color="939598"/>
            </w:tcBorders>
          </w:tcPr>
          <w:p>
            <w:pPr>
              <w:spacing w:after="0"/>
              <w:rPr>
                <w:sz w:val="19"/>
                <w:szCs w:val="19"/>
                <w:color w:val="auto"/>
              </w:rPr>
            </w:pPr>
          </w:p>
        </w:tc>
        <w:tc>
          <w:tcPr>
            <w:tcW w:w="600" w:type="dxa"/>
            <w:vAlign w:val="bottom"/>
            <w:tcBorders>
              <w:bottom w:val="single" w:sz="8" w:color="939598"/>
            </w:tcBorders>
          </w:tcPr>
          <w:p>
            <w:pPr>
              <w:spacing w:after="0"/>
              <w:rPr>
                <w:sz w:val="19"/>
                <w:szCs w:val="19"/>
                <w:color w:val="auto"/>
              </w:rPr>
            </w:pPr>
          </w:p>
        </w:tc>
        <w:tc>
          <w:tcPr>
            <w:tcW w:w="680" w:type="dxa"/>
            <w:vAlign w:val="bottom"/>
            <w:tcBorders>
              <w:bottom w:val="single" w:sz="8" w:color="939598"/>
            </w:tcBorders>
          </w:tcPr>
          <w:p>
            <w:pPr>
              <w:spacing w:after="0"/>
              <w:rPr>
                <w:sz w:val="19"/>
                <w:szCs w:val="19"/>
                <w:color w:val="auto"/>
              </w:rPr>
            </w:pPr>
          </w:p>
        </w:tc>
        <w:tc>
          <w:tcPr>
            <w:tcW w:w="560" w:type="dxa"/>
            <w:vAlign w:val="bottom"/>
            <w:tcBorders>
              <w:bottom w:val="single" w:sz="8" w:color="939598"/>
            </w:tcBorders>
            <w:gridSpan w:val="2"/>
          </w:tcPr>
          <w:p>
            <w:pPr>
              <w:jc w:val="right"/>
              <w:spacing w:after="0"/>
              <w:rPr>
                <w:sz w:val="20"/>
                <w:szCs w:val="20"/>
                <w:color w:val="auto"/>
              </w:rPr>
            </w:pPr>
            <w:r>
              <w:rPr>
                <w:rFonts w:ascii="Arial" w:cs="Arial" w:eastAsia="Arial" w:hAnsi="Arial"/>
                <w:sz w:val="13"/>
                <w:szCs w:val="13"/>
                <w:color w:val="auto"/>
              </w:rPr>
              <w:t>6,588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13,175</w:t>
            </w:r>
          </w:p>
        </w:tc>
        <w:tc>
          <w:tcPr>
            <w:tcW w:w="68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23,715</w:t>
            </w:r>
          </w:p>
        </w:tc>
        <w:tc>
          <w:tcPr>
            <w:tcW w:w="700" w:type="dxa"/>
            <w:vAlign w:val="bottom"/>
            <w:tcBorders>
              <w:bottom w:val="single" w:sz="8" w:color="939598"/>
            </w:tcBorders>
          </w:tcPr>
          <w:p>
            <w:pPr>
              <w:spacing w:after="0"/>
              <w:rPr>
                <w:sz w:val="19"/>
                <w:szCs w:val="19"/>
                <w:color w:val="auto"/>
              </w:rPr>
            </w:pPr>
          </w:p>
        </w:tc>
        <w:tc>
          <w:tcPr>
            <w:tcW w:w="8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520,017</w:t>
            </w:r>
          </w:p>
        </w:tc>
        <w:tc>
          <w:tcPr>
            <w:tcW w:w="0" w:type="dxa"/>
            <w:vAlign w:val="bottom"/>
          </w:tcPr>
          <w:p>
            <w:pPr>
              <w:spacing w:after="0"/>
              <w:rPr>
                <w:sz w:val="1"/>
                <w:szCs w:val="1"/>
                <w:color w:val="auto"/>
              </w:rPr>
            </w:pPr>
          </w:p>
        </w:tc>
      </w:tr>
      <w:tr>
        <w:trPr>
          <w:trHeight w:val="177"/>
        </w:trPr>
        <w:tc>
          <w:tcPr>
            <w:tcW w:w="920" w:type="dxa"/>
            <w:vAlign w:val="bottom"/>
          </w:tcPr>
          <w:p>
            <w:pPr>
              <w:spacing w:after="0"/>
              <w:rPr>
                <w:sz w:val="15"/>
                <w:szCs w:val="15"/>
                <w:color w:val="auto"/>
              </w:rPr>
            </w:pPr>
          </w:p>
        </w:tc>
        <w:tc>
          <w:tcPr>
            <w:tcW w:w="860" w:type="dxa"/>
            <w:vAlign w:val="bottom"/>
            <w:tcBorders>
              <w:bottom w:val="single" w:sz="8" w:color="939598"/>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5/29/2025</w:t>
            </w:r>
          </w:p>
        </w:tc>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939598"/>
            </w:tcBorders>
          </w:tcPr>
          <w:p>
            <w:pPr>
              <w:spacing w:after="0"/>
              <w:rPr>
                <w:sz w:val="15"/>
                <w:szCs w:val="15"/>
                <w:color w:val="auto"/>
              </w:rPr>
            </w:pPr>
          </w:p>
        </w:tc>
        <w:tc>
          <w:tcPr>
            <w:tcW w:w="60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60" w:type="dxa"/>
            <w:vAlign w:val="bottom"/>
            <w:tcBorders>
              <w:bottom w:val="single" w:sz="8" w:color="939598"/>
            </w:tcBorders>
          </w:tcPr>
          <w:p>
            <w:pPr>
              <w:spacing w:after="0"/>
              <w:rPr>
                <w:sz w:val="15"/>
                <w:szCs w:val="15"/>
                <w:color w:val="auto"/>
              </w:rPr>
            </w:pPr>
          </w:p>
        </w:tc>
        <w:tc>
          <w:tcPr>
            <w:tcW w:w="500" w:type="dxa"/>
            <w:vAlign w:val="bottom"/>
            <w:tcBorders>
              <w:bottom w:val="single" w:sz="8" w:color="939598"/>
            </w:tcBorders>
          </w:tcPr>
          <w:p>
            <w:pPr>
              <w:spacing w:after="0"/>
              <w:rPr>
                <w:sz w:val="15"/>
                <w:szCs w:val="15"/>
                <w:color w:val="auto"/>
              </w:rPr>
            </w:pPr>
          </w:p>
        </w:tc>
        <w:tc>
          <w:tcPr>
            <w:tcW w:w="720" w:type="dxa"/>
            <w:vAlign w:val="bottom"/>
            <w:tcBorders>
              <w:bottom w:val="single" w:sz="8" w:color="939598"/>
            </w:tcBorders>
          </w:tcPr>
          <w:p>
            <w:pPr>
              <w:spacing w:after="0"/>
              <w:rPr>
                <w:sz w:val="15"/>
                <w:szCs w:val="15"/>
                <w:color w:val="auto"/>
              </w:rPr>
            </w:pPr>
          </w:p>
        </w:tc>
        <w:tc>
          <w:tcPr>
            <w:tcW w:w="680" w:type="dxa"/>
            <w:vAlign w:val="bottom"/>
            <w:tcBorders>
              <w:bottom w:val="single" w:sz="8" w:color="939598"/>
            </w:tcBorders>
          </w:tcPr>
          <w:p>
            <w:pPr>
              <w:spacing w:after="0"/>
              <w:rPr>
                <w:sz w:val="15"/>
                <w:szCs w:val="15"/>
                <w:color w:val="auto"/>
              </w:rPr>
            </w:pPr>
          </w:p>
        </w:tc>
        <w:tc>
          <w:tcPr>
            <w:tcW w:w="70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7,236</w:t>
            </w:r>
          </w:p>
        </w:tc>
        <w:tc>
          <w:tcPr>
            <w:tcW w:w="84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280,033</w:t>
            </w:r>
          </w:p>
        </w:tc>
        <w:tc>
          <w:tcPr>
            <w:tcW w:w="0" w:type="dxa"/>
            <w:vAlign w:val="bottom"/>
          </w:tcPr>
          <w:p>
            <w:pPr>
              <w:spacing w:after="0"/>
              <w:rPr>
                <w:sz w:val="1"/>
                <w:szCs w:val="1"/>
                <w:color w:val="auto"/>
              </w:rPr>
            </w:pPr>
          </w:p>
        </w:tc>
      </w:tr>
      <w:tr>
        <w:trPr>
          <w:trHeight w:val="162"/>
        </w:trPr>
        <w:tc>
          <w:tcPr>
            <w:tcW w:w="920" w:type="dxa"/>
            <w:vAlign w:val="bottom"/>
            <w:tcBorders>
              <w:bottom w:val="single" w:sz="8" w:color="F0533D"/>
            </w:tcBorders>
          </w:tcPr>
          <w:p>
            <w:pPr>
              <w:spacing w:after="0"/>
              <w:rPr>
                <w:sz w:val="14"/>
                <w:szCs w:val="14"/>
                <w:color w:val="auto"/>
              </w:rPr>
            </w:pPr>
          </w:p>
        </w:tc>
        <w:tc>
          <w:tcPr>
            <w:tcW w:w="860" w:type="dxa"/>
            <w:vAlign w:val="bottom"/>
            <w:tcBorders>
              <w:bottom w:val="single" w:sz="8" w:color="F0533D"/>
            </w:tcBorders>
          </w:tcPr>
          <w:p>
            <w:pPr>
              <w:ind w:left="120"/>
              <w:spacing w:after="0"/>
              <w:rPr>
                <w:sz w:val="20"/>
                <w:szCs w:val="20"/>
                <w:color w:val="auto"/>
              </w:rPr>
            </w:pPr>
            <w:r>
              <w:rPr>
                <w:rFonts w:ascii="Arial" w:cs="Arial" w:eastAsia="Arial" w:hAnsi="Arial"/>
                <w:sz w:val="13"/>
                <w:szCs w:val="13"/>
                <w:color w:val="auto"/>
              </w:rPr>
              <w:t>6/2/2025</w:t>
            </w:r>
          </w:p>
        </w:tc>
        <w:tc>
          <w:tcPr>
            <w:tcW w:w="8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5/29/2025</w:t>
            </w:r>
          </w:p>
        </w:tc>
        <w:tc>
          <w:tcPr>
            <w:tcW w:w="8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FY26 RSU</w:t>
            </w:r>
          </w:p>
        </w:tc>
        <w:tc>
          <w:tcPr>
            <w:tcW w:w="700" w:type="dxa"/>
            <w:vAlign w:val="bottom"/>
            <w:tcBorders>
              <w:bottom w:val="single" w:sz="8" w:color="F0533D"/>
            </w:tcBorders>
          </w:tcPr>
          <w:p>
            <w:pPr>
              <w:spacing w:after="0"/>
              <w:rPr>
                <w:sz w:val="14"/>
                <w:szCs w:val="14"/>
                <w:color w:val="auto"/>
              </w:rPr>
            </w:pPr>
          </w:p>
        </w:tc>
        <w:tc>
          <w:tcPr>
            <w:tcW w:w="600" w:type="dxa"/>
            <w:vAlign w:val="bottom"/>
            <w:tcBorders>
              <w:bottom w:val="single" w:sz="8" w:color="F0533D"/>
            </w:tcBorders>
          </w:tcPr>
          <w:p>
            <w:pPr>
              <w:spacing w:after="0"/>
              <w:rPr>
                <w:sz w:val="14"/>
                <w:szCs w:val="14"/>
                <w:color w:val="auto"/>
              </w:rPr>
            </w:pPr>
          </w:p>
        </w:tc>
        <w:tc>
          <w:tcPr>
            <w:tcW w:w="680" w:type="dxa"/>
            <w:vAlign w:val="bottom"/>
            <w:tcBorders>
              <w:bottom w:val="single" w:sz="8" w:color="F0533D"/>
            </w:tcBorders>
          </w:tcPr>
          <w:p>
            <w:pPr>
              <w:spacing w:after="0"/>
              <w:rPr>
                <w:sz w:val="14"/>
                <w:szCs w:val="14"/>
                <w:color w:val="auto"/>
              </w:rPr>
            </w:pPr>
          </w:p>
        </w:tc>
        <w:tc>
          <w:tcPr>
            <w:tcW w:w="60" w:type="dxa"/>
            <w:vAlign w:val="bottom"/>
            <w:tcBorders>
              <w:bottom w:val="single" w:sz="8" w:color="F0533D"/>
            </w:tcBorders>
          </w:tcPr>
          <w:p>
            <w:pPr>
              <w:spacing w:after="0"/>
              <w:rPr>
                <w:sz w:val="14"/>
                <w:szCs w:val="14"/>
                <w:color w:val="auto"/>
              </w:rPr>
            </w:pPr>
          </w:p>
        </w:tc>
        <w:tc>
          <w:tcPr>
            <w:tcW w:w="500" w:type="dxa"/>
            <w:vAlign w:val="bottom"/>
            <w:tcBorders>
              <w:bottom w:val="single" w:sz="8" w:color="F0533D"/>
            </w:tcBorders>
          </w:tcPr>
          <w:p>
            <w:pPr>
              <w:spacing w:after="0"/>
              <w:rPr>
                <w:sz w:val="14"/>
                <w:szCs w:val="14"/>
                <w:color w:val="auto"/>
              </w:rPr>
            </w:pPr>
          </w:p>
        </w:tc>
        <w:tc>
          <w:tcPr>
            <w:tcW w:w="720" w:type="dxa"/>
            <w:vAlign w:val="bottom"/>
            <w:tcBorders>
              <w:bottom w:val="single" w:sz="8" w:color="F0533D"/>
            </w:tcBorders>
          </w:tcPr>
          <w:p>
            <w:pPr>
              <w:spacing w:after="0"/>
              <w:rPr>
                <w:sz w:val="14"/>
                <w:szCs w:val="14"/>
                <w:color w:val="auto"/>
              </w:rPr>
            </w:pPr>
          </w:p>
        </w:tc>
        <w:tc>
          <w:tcPr>
            <w:tcW w:w="680" w:type="dxa"/>
            <w:vAlign w:val="bottom"/>
            <w:tcBorders>
              <w:bottom w:val="single" w:sz="8" w:color="F0533D"/>
            </w:tcBorders>
          </w:tcPr>
          <w:p>
            <w:pPr>
              <w:spacing w:after="0"/>
              <w:rPr>
                <w:sz w:val="14"/>
                <w:szCs w:val="14"/>
                <w:color w:val="auto"/>
              </w:rPr>
            </w:pPr>
          </w:p>
        </w:tc>
        <w:tc>
          <w:tcPr>
            <w:tcW w:w="700" w:type="dxa"/>
            <w:vAlign w:val="bottom"/>
            <w:tcBorders>
              <w:bottom w:val="single" w:sz="8" w:color="F0533D"/>
            </w:tcBorders>
          </w:tcPr>
          <w:p>
            <w:pPr>
              <w:jc w:val="right"/>
              <w:ind w:right="33"/>
              <w:spacing w:after="0"/>
              <w:rPr>
                <w:sz w:val="20"/>
                <w:szCs w:val="20"/>
                <w:color w:val="auto"/>
              </w:rPr>
            </w:pPr>
            <w:r>
              <w:rPr>
                <w:rFonts w:ascii="Arial" w:cs="Arial" w:eastAsia="Arial" w:hAnsi="Arial"/>
                <w:sz w:val="13"/>
                <w:szCs w:val="13"/>
                <w:color w:val="auto"/>
              </w:rPr>
              <w:t>24,807</w:t>
            </w:r>
          </w:p>
        </w:tc>
        <w:tc>
          <w:tcPr>
            <w:tcW w:w="8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960,031</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40" w:right="539" w:hanging="356"/>
        <w:spacing w:after="0" w:line="210" w:lineRule="auto"/>
        <w:tabs>
          <w:tab w:leader="none" w:pos="54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Reflects the range of possible payout under the Annual Cash Bonus awarded to the NEO for fiscal 2026. See “Compensation Discussion and Analysis — Elements of Compensation and Compensation Decisions — Annual Cash Bonus.” The amount paid out is included in the “Non-Equity Incentive Plan Compensation” column of the Summary Compensation Table.</w:t>
      </w:r>
    </w:p>
    <w:p>
      <w:pPr>
        <w:spacing w:after="0" w:line="71" w:lineRule="exact"/>
        <w:rPr>
          <w:rFonts w:ascii="Arial" w:cs="Arial" w:eastAsia="Arial" w:hAnsi="Arial"/>
          <w:sz w:val="23"/>
          <w:szCs w:val="23"/>
          <w:color w:val="auto"/>
          <w:vertAlign w:val="superscript"/>
        </w:rPr>
      </w:pPr>
    </w:p>
    <w:p>
      <w:pPr>
        <w:jc w:val="both"/>
        <w:ind w:left="540" w:right="159" w:hanging="356"/>
        <w:spacing w:after="0" w:line="206" w:lineRule="auto"/>
        <w:tabs>
          <w:tab w:leader="none" w:pos="54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Computed in accordance with Topic 718 using the assumptions discussed under “Stock-Based Compensation” in Note 1 — “Significant Accounting Policies” and Note 16 — “Stock-Based Compensation” to the financial statements for the fiscal year ended March 31, 2026 included in the Fiscal 2026 Form 10-K.</w:t>
      </w:r>
    </w:p>
    <w:p>
      <w:pPr>
        <w:spacing w:after="0" w:line="70" w:lineRule="exact"/>
        <w:rPr>
          <w:rFonts w:ascii="Arial" w:cs="Arial" w:eastAsia="Arial" w:hAnsi="Arial"/>
          <w:sz w:val="23"/>
          <w:szCs w:val="23"/>
          <w:color w:val="auto"/>
          <w:vertAlign w:val="superscript"/>
        </w:rPr>
      </w:pPr>
    </w:p>
    <w:p>
      <w:pPr>
        <w:ind w:left="540" w:right="179" w:hanging="356"/>
        <w:spacing w:after="0" w:line="213" w:lineRule="auto"/>
        <w:tabs>
          <w:tab w:leader="none" w:pos="54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Reflects the PSU award granted to the NEO as part of the fiscal 2026 long-term incentive award. Amounts reported in the “Threshold” column assume that 50% of the target PSUs will vest and amounts reported in the “Maximum” column assume that 180% of the target PSUs will vest. The actual number of shares that are earned for the PSUs will be determined based on the level of achievement attained with respect to Adjusted Operating Cash Flow and Relative TSR applied as a payout modifier over the three-year period.</w:t>
      </w:r>
    </w:p>
    <w:p>
      <w:pPr>
        <w:spacing w:after="0" w:line="70" w:lineRule="exact"/>
        <w:rPr>
          <w:rFonts w:ascii="Arial" w:cs="Arial" w:eastAsia="Arial" w:hAnsi="Arial"/>
          <w:sz w:val="23"/>
          <w:szCs w:val="23"/>
          <w:color w:val="auto"/>
          <w:vertAlign w:val="superscript"/>
        </w:rPr>
      </w:pPr>
    </w:p>
    <w:p>
      <w:pPr>
        <w:ind w:left="540" w:right="139" w:hanging="356"/>
        <w:spacing w:after="0" w:line="199" w:lineRule="auto"/>
        <w:tabs>
          <w:tab w:leader="none" w:pos="540" w:val="left"/>
        </w:tabs>
        <w:numPr>
          <w:ilvl w:val="0"/>
          <w:numId w:val="83"/>
        </w:numPr>
        <w:rPr>
          <w:rFonts w:ascii="Arial" w:cs="Arial" w:eastAsia="Arial" w:hAnsi="Arial"/>
          <w:sz w:val="23"/>
          <w:szCs w:val="23"/>
          <w:color w:val="auto"/>
          <w:vertAlign w:val="superscript"/>
        </w:rPr>
      </w:pPr>
      <w:r>
        <w:rPr>
          <w:rFonts w:ascii="Arial" w:cs="Arial" w:eastAsia="Arial" w:hAnsi="Arial"/>
          <w:sz w:val="15"/>
          <w:szCs w:val="15"/>
          <w:color w:val="auto"/>
        </w:rPr>
        <w:t>Messrs. Wyshner and Sebold forfeited their 2026 PSU and RSU awards as a result of their departure from the Company on February 5, 2026.</w:t>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66 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1" w:name="page72"/>
    <w:bookmarkEnd w:id="7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Outstanding Equity Awards as of March 31, 2026</w:t>
      </w:r>
    </w:p>
    <w:p>
      <w:pPr>
        <w:spacing w:after="0" w:line="173"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color w:val="auto"/>
        </w:rPr>
        <w:t>The following table sets forth the number of securities underlying outstanding equity awards for each of our NEOs as of March 31, 2026.</w:t>
      </w:r>
    </w:p>
    <w:tbl>
      <w:tblPr>
        <w:tblLayout w:type="fixed"/>
        <w:tblInd w:w="80" w:type="dxa"/>
        <w:tblCellMar>
          <w:top w:w="0" w:type="dxa"/>
          <w:left w:w="0" w:type="dxa"/>
          <w:bottom w:w="0" w:type="dxa"/>
          <w:right w:w="0" w:type="dxa"/>
        </w:tblCellMar>
      </w:tblPr>
      <w:tr>
        <w:trPr>
          <w:trHeight w:val="211"/>
        </w:trPr>
        <w:tc>
          <w:tcPr>
            <w:tcW w:w="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Borders>
              <w:bottom w:val="single" w:sz="8" w:color="F0533D"/>
            </w:tcBorders>
          </w:tcPr>
          <w:p>
            <w:pPr>
              <w:spacing w:after="0"/>
              <w:rPr>
                <w:sz w:val="18"/>
                <w:szCs w:val="18"/>
                <w:color w:val="auto"/>
              </w:rPr>
            </w:pPr>
          </w:p>
        </w:tc>
        <w:tc>
          <w:tcPr>
            <w:tcW w:w="1600" w:type="dxa"/>
            <w:vAlign w:val="bottom"/>
            <w:tcBorders>
              <w:bottom w:val="single" w:sz="8" w:color="F0533D"/>
            </w:tcBorders>
            <w:gridSpan w:val="2"/>
          </w:tcPr>
          <w:p>
            <w:pPr>
              <w:ind w:left="140"/>
              <w:spacing w:after="0" w:line="210" w:lineRule="exact"/>
              <w:rPr>
                <w:sz w:val="20"/>
                <w:szCs w:val="20"/>
                <w:color w:val="auto"/>
              </w:rPr>
            </w:pPr>
            <w:r>
              <w:rPr>
                <w:rFonts w:ascii="Arial" w:cs="Arial" w:eastAsia="Arial" w:hAnsi="Arial"/>
                <w:sz w:val="13"/>
                <w:szCs w:val="13"/>
                <w:b w:val="1"/>
                <w:bCs w:val="1"/>
                <w:color w:val="F0533D"/>
              </w:rPr>
              <w:t>Option Awards</w:t>
            </w:r>
            <w:r>
              <w:rPr>
                <w:rFonts w:ascii="Arial" w:cs="Arial" w:eastAsia="Arial" w:hAnsi="Arial"/>
                <w:sz w:val="22"/>
                <w:szCs w:val="22"/>
                <w:b w:val="1"/>
                <w:bCs w:val="1"/>
                <w:color w:val="F0533D"/>
                <w:vertAlign w:val="superscript"/>
              </w:rPr>
              <w:t>(1)(2)</w:t>
            </w:r>
          </w:p>
        </w:tc>
        <w:tc>
          <w:tcPr>
            <w:tcW w:w="720" w:type="dxa"/>
            <w:vAlign w:val="bottom"/>
            <w:tcBorders>
              <w:bottom w:val="single" w:sz="8" w:color="F0533D"/>
            </w:tcBorders>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bottom w:val="single" w:sz="8" w:color="F0533D"/>
            </w:tcBorders>
          </w:tcPr>
          <w:p>
            <w:pPr>
              <w:spacing w:after="0"/>
              <w:rPr>
                <w:sz w:val="18"/>
                <w:szCs w:val="18"/>
                <w:color w:val="auto"/>
              </w:rPr>
            </w:pPr>
          </w:p>
        </w:tc>
        <w:tc>
          <w:tcPr>
            <w:tcW w:w="1800" w:type="dxa"/>
            <w:vAlign w:val="bottom"/>
            <w:tcBorders>
              <w:bottom w:val="single" w:sz="8" w:color="F0533D"/>
            </w:tcBorders>
            <w:gridSpan w:val="2"/>
          </w:tcPr>
          <w:p>
            <w:pPr>
              <w:jc w:val="right"/>
              <w:ind w:right="133"/>
              <w:spacing w:after="0" w:line="210" w:lineRule="exact"/>
              <w:rPr>
                <w:sz w:val="20"/>
                <w:szCs w:val="20"/>
                <w:color w:val="auto"/>
              </w:rPr>
            </w:pPr>
            <w:r>
              <w:rPr>
                <w:rFonts w:ascii="Arial" w:cs="Arial" w:eastAsia="Arial" w:hAnsi="Arial"/>
                <w:sz w:val="13"/>
                <w:szCs w:val="13"/>
                <w:b w:val="1"/>
                <w:bCs w:val="1"/>
                <w:color w:val="F0533D"/>
              </w:rPr>
              <w:t>Stock Awards</w:t>
            </w:r>
            <w:r>
              <w:rPr>
                <w:rFonts w:ascii="Arial" w:cs="Arial" w:eastAsia="Arial" w:hAnsi="Arial"/>
                <w:sz w:val="22"/>
                <w:szCs w:val="22"/>
                <w:b w:val="1"/>
                <w:bCs w:val="1"/>
                <w:color w:val="F0533D"/>
                <w:vertAlign w:val="superscript"/>
              </w:rPr>
              <w:t>(2)</w:t>
            </w:r>
          </w:p>
        </w:tc>
        <w:tc>
          <w:tcPr>
            <w:tcW w:w="1080" w:type="dxa"/>
            <w:vAlign w:val="bottom"/>
            <w:tcBorders>
              <w:bottom w:val="single" w:sz="8" w:color="F0533D"/>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Equity Incentive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Equity Incentive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Market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Plan Awards: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Plan Awards: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F0533D"/>
              </w:rPr>
              <w:t>Number of</w:t>
            </w:r>
          </w:p>
        </w:tc>
        <w:tc>
          <w:tcPr>
            <w:tcW w:w="700" w:type="dxa"/>
            <w:vAlign w:val="bottom"/>
            <w:vMerge w:val="continue"/>
          </w:tcPr>
          <w:p>
            <w:pPr>
              <w:spacing w:after="0"/>
              <w:rPr>
                <w:sz w:val="12"/>
                <w:szCs w:val="12"/>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Number of</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Market or</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Number of</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Number of</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Value of</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Unearned</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Payout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Shares 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Shares or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Shares,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of Unearned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F0533D"/>
              </w:rPr>
              <w:t>Securities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Securities</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Option</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Units of</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Units of</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Units or</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Shares, Units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F0533D"/>
              </w:rPr>
              <w:t>Underlying</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Underlying</w:t>
            </w:r>
          </w:p>
        </w:tc>
        <w:tc>
          <w:tcPr>
            <w:tcW w:w="620" w:type="dxa"/>
            <w:vAlign w:val="bottom"/>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Option</w:t>
            </w: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Stock that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Stock that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Other Rights</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or Other Rights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F0533D"/>
              </w:rPr>
              <w:t>Unexercised</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Unexercised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F0533D"/>
              </w:rPr>
              <w:t>Exercise</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Have Not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Have Not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that Have</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F0533D"/>
              </w:rPr>
              <w:t>that Have Not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80" w:type="dxa"/>
            <w:vAlign w:val="bottom"/>
            <w:vMerge w:val="restart"/>
          </w:tcPr>
          <w:p>
            <w:pPr>
              <w:ind w:left="60"/>
              <w:spacing w:after="0"/>
              <w:rPr>
                <w:sz w:val="20"/>
                <w:szCs w:val="20"/>
                <w:color w:val="auto"/>
              </w:rPr>
            </w:pPr>
            <w:r>
              <w:rPr>
                <w:rFonts w:ascii="Arial" w:cs="Arial" w:eastAsia="Arial" w:hAnsi="Arial"/>
                <w:sz w:val="13"/>
                <w:szCs w:val="13"/>
                <w:b w:val="1"/>
                <w:bCs w:val="1"/>
                <w:color w:val="F0533D"/>
              </w:rPr>
              <w:t>Name</w:t>
            </w:r>
          </w:p>
        </w:tc>
        <w:tc>
          <w:tcPr>
            <w:tcW w:w="112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F0533D"/>
              </w:rPr>
              <w:t>Grant Date</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F0533D"/>
              </w:rPr>
              <w:t>Options (#)</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Options (#)</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F0533D"/>
              </w:rPr>
              <w:t>Price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F0533D"/>
              </w:rPr>
              <w:t>Expiration</w:t>
            </w:r>
          </w:p>
        </w:tc>
        <w:tc>
          <w:tcPr>
            <w:tcW w:w="6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w w:val="98"/>
              </w:rPr>
              <w:t>Vested</w:t>
            </w:r>
          </w:p>
        </w:tc>
        <w:tc>
          <w:tcPr>
            <w:tcW w:w="700" w:type="dxa"/>
            <w:vAlign w:val="bottom"/>
          </w:tcPr>
          <w:p>
            <w:pPr>
              <w:jc w:val="center"/>
              <w:spacing w:after="0" w:line="161" w:lineRule="exact"/>
              <w:rPr>
                <w:sz w:val="20"/>
                <w:szCs w:val="20"/>
                <w:color w:val="auto"/>
              </w:rPr>
            </w:pPr>
            <w:r>
              <w:rPr>
                <w:rFonts w:ascii="Arial" w:cs="Arial" w:eastAsia="Arial" w:hAnsi="Arial"/>
                <w:sz w:val="11"/>
                <w:szCs w:val="11"/>
                <w:b w:val="1"/>
                <w:bCs w:val="1"/>
                <w:color w:val="F0533D"/>
              </w:rPr>
              <w:t>Vested</w:t>
            </w:r>
            <w:r>
              <w:rPr>
                <w:rFonts w:ascii="Arial" w:cs="Arial" w:eastAsia="Arial" w:hAnsi="Arial"/>
                <w:sz w:val="18"/>
                <w:szCs w:val="18"/>
                <w:b w:val="1"/>
                <w:bCs w:val="1"/>
                <w:color w:val="F0533D"/>
                <w:vertAlign w:val="superscript"/>
              </w:rPr>
              <w:t>(11)</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Not Vested</w:t>
            </w:r>
          </w:p>
        </w:tc>
        <w:tc>
          <w:tcPr>
            <w:tcW w:w="1080" w:type="dxa"/>
            <w:vAlign w:val="bottom"/>
          </w:tcPr>
          <w:p>
            <w:pPr>
              <w:jc w:val="center"/>
              <w:spacing w:after="0" w:line="161" w:lineRule="exact"/>
              <w:rPr>
                <w:sz w:val="20"/>
                <w:szCs w:val="20"/>
                <w:color w:val="auto"/>
              </w:rPr>
            </w:pPr>
            <w:r>
              <w:rPr>
                <w:rFonts w:ascii="Arial" w:cs="Arial" w:eastAsia="Arial" w:hAnsi="Arial"/>
                <w:sz w:val="11"/>
                <w:szCs w:val="11"/>
                <w:b w:val="1"/>
                <w:bCs w:val="1"/>
                <w:color w:val="F0533D"/>
              </w:rPr>
              <w:t>Vested</w:t>
            </w:r>
            <w:r>
              <w:rPr>
                <w:rFonts w:ascii="Arial" w:cs="Arial" w:eastAsia="Arial" w:hAnsi="Arial"/>
                <w:sz w:val="18"/>
                <w:szCs w:val="18"/>
                <w:b w:val="1"/>
                <w:bCs w:val="1"/>
                <w:color w:val="F0533D"/>
                <w:vertAlign w:val="superscript"/>
              </w:rPr>
              <w:t>(11)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 w:type="dxa"/>
            <w:vAlign w:val="bottom"/>
            <w:tcBorders>
              <w:bottom w:val="single" w:sz="8" w:color="F0533D"/>
            </w:tcBorders>
            <w:vMerge w:val="continue"/>
          </w:tcPr>
          <w:p>
            <w:pPr>
              <w:spacing w:after="0"/>
              <w:rPr>
                <w:sz w:val="16"/>
                <w:szCs w:val="16"/>
                <w:color w:val="auto"/>
              </w:rPr>
            </w:pPr>
          </w:p>
        </w:tc>
        <w:tc>
          <w:tcPr>
            <w:tcW w:w="1120" w:type="dxa"/>
            <w:vAlign w:val="bottom"/>
            <w:tcBorders>
              <w:bottom w:val="single" w:sz="8" w:color="F0533D"/>
            </w:tcBorders>
            <w:vMerge w:val="continue"/>
          </w:tcPr>
          <w:p>
            <w:pPr>
              <w:spacing w:after="0"/>
              <w:rPr>
                <w:sz w:val="16"/>
                <w:szCs w:val="16"/>
                <w:color w:val="auto"/>
              </w:rPr>
            </w:pPr>
          </w:p>
        </w:tc>
        <w:tc>
          <w:tcPr>
            <w:tcW w:w="82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Exercisable</w:t>
            </w:r>
          </w:p>
        </w:tc>
        <w:tc>
          <w:tcPr>
            <w:tcW w:w="98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Unexercisable</w:t>
            </w:r>
          </w:p>
        </w:tc>
        <w:tc>
          <w:tcPr>
            <w:tcW w:w="62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72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Date</w:t>
            </w:r>
          </w:p>
        </w:tc>
        <w:tc>
          <w:tcPr>
            <w:tcW w:w="760" w:type="dxa"/>
            <w:vAlign w:val="bottom"/>
            <w:tcBorders>
              <w:bottom w:val="single" w:sz="8" w:color="F0533D"/>
            </w:tcBorders>
            <w:gridSpan w:val="2"/>
          </w:tcPr>
          <w:p>
            <w:pPr>
              <w:jc w:val="center"/>
              <w:spacing w:after="0"/>
              <w:rPr>
                <w:sz w:val="20"/>
                <w:szCs w:val="20"/>
                <w:color w:val="auto"/>
              </w:rPr>
            </w:pPr>
            <w:r>
              <w:rPr>
                <w:rFonts w:ascii="Arial" w:cs="Arial" w:eastAsia="Arial" w:hAnsi="Arial"/>
                <w:sz w:val="13"/>
                <w:szCs w:val="13"/>
                <w:b w:val="1"/>
                <w:bCs w:val="1"/>
                <w:color w:val="F0533D"/>
              </w:rPr>
              <w:t>(#)</w:t>
            </w:r>
          </w:p>
        </w:tc>
        <w:tc>
          <w:tcPr>
            <w:tcW w:w="7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11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108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80" w:type="dxa"/>
            <w:vAlign w:val="bottom"/>
            <w:tcBorders>
              <w:bottom w:val="single" w:sz="8" w:color="F0533D"/>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Martin</w:t>
            </w:r>
          </w:p>
        </w:tc>
        <w:tc>
          <w:tcPr>
            <w:tcW w:w="1120" w:type="dxa"/>
            <w:vAlign w:val="bottom"/>
            <w:tcBorders>
              <w:bottom w:val="single" w:sz="8" w:color="939598"/>
            </w:tcBorders>
          </w:tcPr>
          <w:p>
            <w:pPr>
              <w:jc w:val="right"/>
              <w:ind w:right="213"/>
              <w:spacing w:after="0"/>
              <w:rPr>
                <w:sz w:val="20"/>
                <w:szCs w:val="20"/>
                <w:color w:val="auto"/>
              </w:rPr>
            </w:pPr>
            <w:r>
              <w:rPr>
                <w:rFonts w:ascii="Arial" w:cs="Arial" w:eastAsia="Arial" w:hAnsi="Arial"/>
                <w:sz w:val="13"/>
                <w:szCs w:val="13"/>
                <w:color w:val="auto"/>
              </w:rPr>
              <w:t>12/16/2021</w:t>
            </w:r>
          </w:p>
        </w:tc>
        <w:tc>
          <w:tcPr>
            <w:tcW w:w="82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auto"/>
              </w:rPr>
              <w:t>642,047</w:t>
            </w: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17.78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12/16/2031</w:t>
            </w: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80" w:type="dxa"/>
            <w:vAlign w:val="bottom"/>
            <w:vMerge w:val="continue"/>
          </w:tcPr>
          <w:p>
            <w:pPr>
              <w:spacing w:after="0"/>
              <w:rPr>
                <w:sz w:val="4"/>
                <w:szCs w:val="4"/>
                <w:color w:val="auto"/>
              </w:rPr>
            </w:pPr>
          </w:p>
        </w:tc>
        <w:tc>
          <w:tcPr>
            <w:tcW w:w="1120" w:type="dxa"/>
            <w:vAlign w:val="bottom"/>
            <w:vMerge w:val="restart"/>
          </w:tcPr>
          <w:p>
            <w:pPr>
              <w:jc w:val="right"/>
              <w:ind w:right="73"/>
              <w:spacing w:after="0" w:line="209" w:lineRule="exact"/>
              <w:rPr>
                <w:sz w:val="20"/>
                <w:szCs w:val="20"/>
                <w:color w:val="auto"/>
              </w:rPr>
            </w:pPr>
            <w:r>
              <w:rPr>
                <w:rFonts w:ascii="Arial" w:cs="Arial" w:eastAsia="Arial" w:hAnsi="Arial"/>
                <w:sz w:val="13"/>
                <w:szCs w:val="13"/>
                <w:color w:val="auto"/>
              </w:rPr>
              <w:t>8/1/2022</w:t>
            </w:r>
            <w:r>
              <w:rPr>
                <w:rFonts w:ascii="Arial" w:cs="Arial" w:eastAsia="Arial" w:hAnsi="Arial"/>
                <w:sz w:val="22"/>
                <w:szCs w:val="22"/>
                <w:color w:val="auto"/>
                <w:vertAlign w:val="superscript"/>
              </w:rPr>
              <w:t>(3)</w:t>
            </w: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gridSpan w:val="2"/>
            <w:vMerge w:val="restart"/>
          </w:tcPr>
          <w:p>
            <w:pPr>
              <w:jc w:val="right"/>
              <w:ind w:right="73"/>
              <w:spacing w:after="0"/>
              <w:rPr>
                <w:sz w:val="20"/>
                <w:szCs w:val="20"/>
                <w:color w:val="auto"/>
              </w:rPr>
            </w:pPr>
            <w:r>
              <w:rPr>
                <w:rFonts w:ascii="Arial" w:cs="Arial" w:eastAsia="Arial" w:hAnsi="Arial"/>
                <w:sz w:val="13"/>
                <w:szCs w:val="13"/>
                <w:color w:val="auto"/>
              </w:rPr>
              <w:t>86,553</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1,135,575</w:t>
            </w: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Schroeter</w:t>
            </w:r>
          </w:p>
        </w:tc>
        <w:tc>
          <w:tcPr>
            <w:tcW w:w="1120" w:type="dxa"/>
            <w:vAlign w:val="bottom"/>
            <w:tcBorders>
              <w:bottom w:val="single" w:sz="8" w:color="939598"/>
            </w:tcBorders>
            <w:vMerge w:val="continue"/>
          </w:tcPr>
          <w:p>
            <w:pPr>
              <w:spacing w:after="0"/>
              <w:rPr>
                <w:sz w:val="14"/>
                <w:szCs w:val="14"/>
                <w:color w:val="auto"/>
              </w:rPr>
            </w:pPr>
          </w:p>
        </w:tc>
        <w:tc>
          <w:tcPr>
            <w:tcW w:w="820" w:type="dxa"/>
            <w:vAlign w:val="bottom"/>
            <w:tcBorders>
              <w:bottom w:val="single" w:sz="8" w:color="939598"/>
            </w:tcBorders>
          </w:tcPr>
          <w:p>
            <w:pPr>
              <w:spacing w:after="0"/>
              <w:rPr>
                <w:sz w:val="14"/>
                <w:szCs w:val="14"/>
                <w:color w:val="auto"/>
              </w:rPr>
            </w:pPr>
          </w:p>
        </w:tc>
        <w:tc>
          <w:tcPr>
            <w:tcW w:w="980" w:type="dxa"/>
            <w:vAlign w:val="bottom"/>
            <w:tcBorders>
              <w:bottom w:val="single" w:sz="8" w:color="939598"/>
            </w:tcBorders>
          </w:tcPr>
          <w:p>
            <w:pPr>
              <w:spacing w:after="0"/>
              <w:rPr>
                <w:sz w:val="14"/>
                <w:szCs w:val="14"/>
                <w:color w:val="auto"/>
              </w:rPr>
            </w:pPr>
          </w:p>
        </w:tc>
        <w:tc>
          <w:tcPr>
            <w:tcW w:w="6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vMerge w:val="continue"/>
          </w:tcPr>
          <w:p>
            <w:pPr>
              <w:spacing w:after="0"/>
              <w:rPr>
                <w:sz w:val="14"/>
                <w:szCs w:val="14"/>
                <w:color w:val="auto"/>
              </w:rPr>
            </w:pPr>
          </w:p>
        </w:tc>
        <w:tc>
          <w:tcPr>
            <w:tcW w:w="700" w:type="dxa"/>
            <w:vAlign w:val="bottom"/>
            <w:tcBorders>
              <w:bottom w:val="single" w:sz="8" w:color="939598"/>
            </w:tcBorders>
            <w:vMerge w:val="continue"/>
          </w:tcPr>
          <w:p>
            <w:pPr>
              <w:spacing w:after="0"/>
              <w:rPr>
                <w:sz w:val="14"/>
                <w:szCs w:val="14"/>
                <w:color w:val="auto"/>
              </w:rPr>
            </w:pPr>
          </w:p>
        </w:tc>
        <w:tc>
          <w:tcPr>
            <w:tcW w:w="1100" w:type="dxa"/>
            <w:vAlign w:val="bottom"/>
            <w:tcBorders>
              <w:bottom w:val="single" w:sz="8" w:color="939598"/>
            </w:tcBorders>
          </w:tcPr>
          <w:p>
            <w:pPr>
              <w:spacing w:after="0"/>
              <w:rPr>
                <w:sz w:val="14"/>
                <w:szCs w:val="14"/>
                <w:color w:val="auto"/>
              </w:rPr>
            </w:pPr>
          </w:p>
        </w:tc>
        <w:tc>
          <w:tcPr>
            <w:tcW w:w="1080" w:type="dxa"/>
            <w:vAlign w:val="bottom"/>
            <w:tcBorders>
              <w:bottom w:val="single" w:sz="8" w:color="939598"/>
            </w:tcBorders>
          </w:tcPr>
          <w:p>
            <w:pPr>
              <w:spacing w:after="0"/>
              <w:rPr>
                <w:sz w:val="14"/>
                <w:szCs w:val="14"/>
                <w:color w:val="auto"/>
              </w:rPr>
            </w:pPr>
          </w:p>
        </w:tc>
        <w:tc>
          <w:tcPr>
            <w:tcW w:w="8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8/1/2023</w:t>
            </w:r>
            <w:r>
              <w:rPr>
                <w:rFonts w:ascii="Arial" w:cs="Arial" w:eastAsia="Arial" w:hAnsi="Arial"/>
                <w:sz w:val="22"/>
                <w:szCs w:val="22"/>
                <w:color w:val="auto"/>
                <w:vertAlign w:val="superscript"/>
              </w:rPr>
              <w:t>(4)</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137,435</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1,803,147</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(5)</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114,045</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1,496,270</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(6)</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247,420</w:t>
            </w:r>
          </w:p>
        </w:tc>
        <w:tc>
          <w:tcPr>
            <w:tcW w:w="1080" w:type="dxa"/>
            <w:vAlign w:val="bottom"/>
            <w:tcBorders>
              <w:bottom w:val="single" w:sz="8" w:color="939598"/>
            </w:tcBorders>
          </w:tcPr>
          <w:p>
            <w:pPr>
              <w:jc w:val="right"/>
              <w:ind w:right="173"/>
              <w:spacing w:after="0"/>
              <w:rPr>
                <w:sz w:val="20"/>
                <w:szCs w:val="20"/>
                <w:color w:val="auto"/>
              </w:rPr>
            </w:pPr>
            <w:r>
              <w:rPr>
                <w:rFonts w:ascii="Arial" w:cs="Arial" w:eastAsia="Arial" w:hAnsi="Arial"/>
                <w:sz w:val="13"/>
                <w:szCs w:val="13"/>
                <w:color w:val="auto"/>
              </w:rPr>
              <w:t>3,246,150</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(7)</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162,791</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2,135,818</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F0533D"/>
            </w:tcBorders>
          </w:tcPr>
          <w:p>
            <w:pPr>
              <w:spacing w:after="0"/>
              <w:rPr>
                <w:sz w:val="18"/>
                <w:szCs w:val="18"/>
                <w:color w:val="auto"/>
              </w:rPr>
            </w:pPr>
          </w:p>
        </w:tc>
        <w:tc>
          <w:tcPr>
            <w:tcW w:w="1120" w:type="dxa"/>
            <w:vAlign w:val="bottom"/>
            <w:tcBorders>
              <w:bottom w:val="single" w:sz="8" w:color="F0533D"/>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(8)</w:t>
            </w:r>
          </w:p>
        </w:tc>
        <w:tc>
          <w:tcPr>
            <w:tcW w:w="820" w:type="dxa"/>
            <w:vAlign w:val="bottom"/>
            <w:tcBorders>
              <w:bottom w:val="single" w:sz="8" w:color="F0533D"/>
            </w:tcBorders>
          </w:tcPr>
          <w:p>
            <w:pPr>
              <w:spacing w:after="0"/>
              <w:rPr>
                <w:sz w:val="18"/>
                <w:szCs w:val="18"/>
                <w:color w:val="auto"/>
              </w:rPr>
            </w:pPr>
          </w:p>
        </w:tc>
        <w:tc>
          <w:tcPr>
            <w:tcW w:w="980" w:type="dxa"/>
            <w:vAlign w:val="bottom"/>
            <w:tcBorders>
              <w:bottom w:val="single" w:sz="8" w:color="F0533D"/>
            </w:tcBorders>
          </w:tcPr>
          <w:p>
            <w:pPr>
              <w:spacing w:after="0"/>
              <w:rPr>
                <w:sz w:val="18"/>
                <w:szCs w:val="18"/>
                <w:color w:val="auto"/>
              </w:rPr>
            </w:pPr>
          </w:p>
        </w:tc>
        <w:tc>
          <w:tcPr>
            <w:tcW w:w="620" w:type="dxa"/>
            <w:vAlign w:val="bottom"/>
            <w:tcBorders>
              <w:bottom w:val="single" w:sz="8" w:color="F0533D"/>
            </w:tcBorders>
          </w:tcPr>
          <w:p>
            <w:pPr>
              <w:spacing w:after="0"/>
              <w:rPr>
                <w:sz w:val="18"/>
                <w:szCs w:val="18"/>
                <w:color w:val="auto"/>
              </w:rPr>
            </w:pPr>
          </w:p>
        </w:tc>
        <w:tc>
          <w:tcPr>
            <w:tcW w:w="720" w:type="dxa"/>
            <w:vAlign w:val="bottom"/>
            <w:tcBorders>
              <w:bottom w:val="single" w:sz="8" w:color="F0533D"/>
            </w:tcBorders>
          </w:tcPr>
          <w:p>
            <w:pPr>
              <w:spacing w:after="0"/>
              <w:rPr>
                <w:sz w:val="18"/>
                <w:szCs w:val="18"/>
                <w:color w:val="auto"/>
              </w:rPr>
            </w:pPr>
          </w:p>
        </w:tc>
        <w:tc>
          <w:tcPr>
            <w:tcW w:w="60" w:type="dxa"/>
            <w:vAlign w:val="bottom"/>
            <w:tcBorders>
              <w:bottom w:val="single" w:sz="8" w:color="F0533D"/>
            </w:tcBorders>
          </w:tcPr>
          <w:p>
            <w:pPr>
              <w:spacing w:after="0"/>
              <w:rPr>
                <w:sz w:val="18"/>
                <w:szCs w:val="18"/>
                <w:color w:val="auto"/>
              </w:rPr>
            </w:pPr>
          </w:p>
        </w:tc>
        <w:tc>
          <w:tcPr>
            <w:tcW w:w="700" w:type="dxa"/>
            <w:vAlign w:val="bottom"/>
            <w:tcBorders>
              <w:bottom w:val="single" w:sz="8" w:color="F0533D"/>
            </w:tcBorders>
          </w:tcPr>
          <w:p>
            <w:pPr>
              <w:spacing w:after="0"/>
              <w:rPr>
                <w:sz w:val="18"/>
                <w:szCs w:val="18"/>
                <w:color w:val="auto"/>
              </w:rPr>
            </w:pPr>
          </w:p>
        </w:tc>
        <w:tc>
          <w:tcPr>
            <w:tcW w:w="700" w:type="dxa"/>
            <w:vAlign w:val="bottom"/>
            <w:tcBorders>
              <w:bottom w:val="single" w:sz="8" w:color="F0533D"/>
            </w:tcBorders>
          </w:tcPr>
          <w:p>
            <w:pPr>
              <w:spacing w:after="0"/>
              <w:rPr>
                <w:sz w:val="18"/>
                <w:szCs w:val="18"/>
                <w:color w:val="auto"/>
              </w:rPr>
            </w:pPr>
          </w:p>
        </w:tc>
        <w:tc>
          <w:tcPr>
            <w:tcW w:w="1100" w:type="dxa"/>
            <w:vAlign w:val="bottom"/>
            <w:tcBorders>
              <w:bottom w:val="single" w:sz="8" w:color="F0533D"/>
            </w:tcBorders>
          </w:tcPr>
          <w:p>
            <w:pPr>
              <w:jc w:val="right"/>
              <w:ind w:right="233"/>
              <w:spacing w:after="0"/>
              <w:rPr>
                <w:sz w:val="20"/>
                <w:szCs w:val="20"/>
                <w:color w:val="auto"/>
              </w:rPr>
            </w:pPr>
            <w:r>
              <w:rPr>
                <w:rFonts w:ascii="Arial" w:cs="Arial" w:eastAsia="Arial" w:hAnsi="Arial"/>
                <w:sz w:val="13"/>
                <w:szCs w:val="13"/>
                <w:color w:val="auto"/>
              </w:rPr>
              <w:t>148,214</w:t>
            </w:r>
          </w:p>
        </w:tc>
        <w:tc>
          <w:tcPr>
            <w:tcW w:w="108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1,944,568</w:t>
            </w:r>
          </w:p>
        </w:tc>
        <w:tc>
          <w:tcPr>
            <w:tcW w:w="80" w:type="dxa"/>
            <w:vAlign w:val="bottom"/>
            <w:tcBorders>
              <w:bottom w:val="single" w:sz="8" w:color="F0533D"/>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Harsh</w:t>
            </w:r>
          </w:p>
        </w:tc>
        <w:tc>
          <w:tcPr>
            <w:tcW w:w="1120" w:type="dxa"/>
            <w:vAlign w:val="bottom"/>
            <w:tcBorders>
              <w:bottom w:val="single" w:sz="8" w:color="939598"/>
            </w:tcBorders>
          </w:tcPr>
          <w:p>
            <w:pPr>
              <w:jc w:val="right"/>
              <w:ind w:right="213"/>
              <w:spacing w:after="0"/>
              <w:rPr>
                <w:sz w:val="20"/>
                <w:szCs w:val="20"/>
                <w:color w:val="auto"/>
              </w:rPr>
            </w:pPr>
            <w:r>
              <w:rPr>
                <w:rFonts w:ascii="Arial" w:cs="Arial" w:eastAsia="Arial" w:hAnsi="Arial"/>
                <w:sz w:val="13"/>
                <w:szCs w:val="13"/>
                <w:color w:val="auto"/>
              </w:rPr>
              <w:t>12/16/2021</w:t>
            </w:r>
          </w:p>
        </w:tc>
        <w:tc>
          <w:tcPr>
            <w:tcW w:w="82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auto"/>
              </w:rPr>
              <w:t>9,937</w:t>
            </w: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17.78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12/16/2031</w:t>
            </w: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80" w:type="dxa"/>
            <w:vAlign w:val="bottom"/>
            <w:vMerge w:val="continue"/>
          </w:tcPr>
          <w:p>
            <w:pPr>
              <w:spacing w:after="0"/>
              <w:rPr>
                <w:sz w:val="4"/>
                <w:szCs w:val="4"/>
                <w:color w:val="auto"/>
              </w:rPr>
            </w:pPr>
          </w:p>
        </w:tc>
        <w:tc>
          <w:tcPr>
            <w:tcW w:w="1120" w:type="dxa"/>
            <w:vAlign w:val="bottom"/>
            <w:vMerge w:val="restart"/>
          </w:tcPr>
          <w:p>
            <w:pPr>
              <w:jc w:val="right"/>
              <w:ind w:right="73"/>
              <w:spacing w:after="0" w:line="209" w:lineRule="exact"/>
              <w:rPr>
                <w:sz w:val="20"/>
                <w:szCs w:val="20"/>
                <w:color w:val="auto"/>
              </w:rPr>
            </w:pPr>
            <w:r>
              <w:rPr>
                <w:rFonts w:ascii="Arial" w:cs="Arial" w:eastAsia="Arial" w:hAnsi="Arial"/>
                <w:sz w:val="13"/>
                <w:szCs w:val="13"/>
                <w:color w:val="auto"/>
              </w:rPr>
              <w:t>8/1/2022</w:t>
            </w:r>
            <w:r>
              <w:rPr>
                <w:rFonts w:ascii="Arial" w:cs="Arial" w:eastAsia="Arial" w:hAnsi="Arial"/>
                <w:sz w:val="22"/>
                <w:szCs w:val="22"/>
                <w:color w:val="auto"/>
                <w:vertAlign w:val="superscript"/>
              </w:rPr>
              <w:t>(3)</w:t>
            </w: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gridSpan w:val="2"/>
            <w:vMerge w:val="restart"/>
          </w:tcPr>
          <w:p>
            <w:pPr>
              <w:jc w:val="right"/>
              <w:ind w:right="53"/>
              <w:spacing w:after="0"/>
              <w:rPr>
                <w:sz w:val="20"/>
                <w:szCs w:val="20"/>
                <w:color w:val="auto"/>
              </w:rPr>
            </w:pPr>
            <w:r>
              <w:rPr>
                <w:rFonts w:ascii="Arial" w:cs="Arial" w:eastAsia="Arial" w:hAnsi="Arial"/>
                <w:sz w:val="13"/>
                <w:szCs w:val="13"/>
                <w:color w:val="auto"/>
              </w:rPr>
              <w:t>4,122</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54,081</w:t>
            </w: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Chugh</w:t>
            </w:r>
          </w:p>
        </w:tc>
        <w:tc>
          <w:tcPr>
            <w:tcW w:w="1120" w:type="dxa"/>
            <w:vAlign w:val="bottom"/>
            <w:tcBorders>
              <w:bottom w:val="single" w:sz="8" w:color="939598"/>
            </w:tcBorders>
            <w:vMerge w:val="continue"/>
          </w:tcPr>
          <w:p>
            <w:pPr>
              <w:spacing w:after="0"/>
              <w:rPr>
                <w:sz w:val="14"/>
                <w:szCs w:val="14"/>
                <w:color w:val="auto"/>
              </w:rPr>
            </w:pPr>
          </w:p>
        </w:tc>
        <w:tc>
          <w:tcPr>
            <w:tcW w:w="820" w:type="dxa"/>
            <w:vAlign w:val="bottom"/>
            <w:tcBorders>
              <w:bottom w:val="single" w:sz="8" w:color="939598"/>
            </w:tcBorders>
          </w:tcPr>
          <w:p>
            <w:pPr>
              <w:spacing w:after="0"/>
              <w:rPr>
                <w:sz w:val="14"/>
                <w:szCs w:val="14"/>
                <w:color w:val="auto"/>
              </w:rPr>
            </w:pPr>
          </w:p>
        </w:tc>
        <w:tc>
          <w:tcPr>
            <w:tcW w:w="980" w:type="dxa"/>
            <w:vAlign w:val="bottom"/>
            <w:tcBorders>
              <w:bottom w:val="single" w:sz="8" w:color="939598"/>
            </w:tcBorders>
          </w:tcPr>
          <w:p>
            <w:pPr>
              <w:spacing w:after="0"/>
              <w:rPr>
                <w:sz w:val="14"/>
                <w:szCs w:val="14"/>
                <w:color w:val="auto"/>
              </w:rPr>
            </w:pPr>
          </w:p>
        </w:tc>
        <w:tc>
          <w:tcPr>
            <w:tcW w:w="6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vMerge w:val="continue"/>
          </w:tcPr>
          <w:p>
            <w:pPr>
              <w:spacing w:after="0"/>
              <w:rPr>
                <w:sz w:val="14"/>
                <w:szCs w:val="14"/>
                <w:color w:val="auto"/>
              </w:rPr>
            </w:pPr>
          </w:p>
        </w:tc>
        <w:tc>
          <w:tcPr>
            <w:tcW w:w="700" w:type="dxa"/>
            <w:vAlign w:val="bottom"/>
            <w:tcBorders>
              <w:bottom w:val="single" w:sz="8" w:color="939598"/>
            </w:tcBorders>
            <w:vMerge w:val="continue"/>
          </w:tcPr>
          <w:p>
            <w:pPr>
              <w:spacing w:after="0"/>
              <w:rPr>
                <w:sz w:val="14"/>
                <w:szCs w:val="14"/>
                <w:color w:val="auto"/>
              </w:rPr>
            </w:pPr>
          </w:p>
        </w:tc>
        <w:tc>
          <w:tcPr>
            <w:tcW w:w="1100" w:type="dxa"/>
            <w:vAlign w:val="bottom"/>
            <w:tcBorders>
              <w:bottom w:val="single" w:sz="8" w:color="939598"/>
            </w:tcBorders>
          </w:tcPr>
          <w:p>
            <w:pPr>
              <w:spacing w:after="0"/>
              <w:rPr>
                <w:sz w:val="14"/>
                <w:szCs w:val="14"/>
                <w:color w:val="auto"/>
              </w:rPr>
            </w:pPr>
          </w:p>
        </w:tc>
        <w:tc>
          <w:tcPr>
            <w:tcW w:w="1080" w:type="dxa"/>
            <w:vAlign w:val="bottom"/>
            <w:tcBorders>
              <w:bottom w:val="single" w:sz="8" w:color="939598"/>
            </w:tcBorders>
          </w:tcPr>
          <w:p>
            <w:pPr>
              <w:spacing w:after="0"/>
              <w:rPr>
                <w:sz w:val="14"/>
                <w:szCs w:val="14"/>
                <w:color w:val="auto"/>
              </w:rPr>
            </w:pPr>
          </w:p>
        </w:tc>
        <w:tc>
          <w:tcPr>
            <w:tcW w:w="8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8/1/2023</w:t>
            </w:r>
            <w:r>
              <w:rPr>
                <w:rFonts w:ascii="Arial" w:cs="Arial" w:eastAsia="Arial" w:hAnsi="Arial"/>
                <w:sz w:val="22"/>
                <w:szCs w:val="22"/>
                <w:color w:val="auto"/>
                <w:vertAlign w:val="superscript"/>
              </w:rPr>
              <w:t>(4)</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6,545</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85,870</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(5)</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4,959</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65,062</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(6)</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21,517</w:t>
            </w:r>
          </w:p>
        </w:tc>
        <w:tc>
          <w:tcPr>
            <w:tcW w:w="1080" w:type="dxa"/>
            <w:vAlign w:val="bottom"/>
            <w:tcBorders>
              <w:bottom w:val="single" w:sz="8" w:color="939598"/>
            </w:tcBorders>
          </w:tcPr>
          <w:p>
            <w:pPr>
              <w:jc w:val="right"/>
              <w:ind w:right="173"/>
              <w:spacing w:after="0"/>
              <w:rPr>
                <w:sz w:val="20"/>
                <w:szCs w:val="20"/>
                <w:color w:val="auto"/>
              </w:rPr>
            </w:pPr>
            <w:r>
              <w:rPr>
                <w:rFonts w:ascii="Arial" w:cs="Arial" w:eastAsia="Arial" w:hAnsi="Arial"/>
                <w:sz w:val="13"/>
                <w:szCs w:val="13"/>
                <w:color w:val="auto"/>
              </w:rPr>
              <w:t>282,303</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(7)</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11,758</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154,265</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(8)</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10,705</w:t>
            </w:r>
          </w:p>
        </w:tc>
        <w:tc>
          <w:tcPr>
            <w:tcW w:w="1080" w:type="dxa"/>
            <w:vAlign w:val="bottom"/>
            <w:tcBorders>
              <w:bottom w:val="single" w:sz="8" w:color="939598"/>
            </w:tcBorders>
          </w:tcPr>
          <w:p>
            <w:pPr>
              <w:jc w:val="right"/>
              <w:ind w:right="173"/>
              <w:spacing w:after="0"/>
              <w:rPr>
                <w:sz w:val="20"/>
                <w:szCs w:val="20"/>
                <w:color w:val="auto"/>
              </w:rPr>
            </w:pPr>
            <w:r>
              <w:rPr>
                <w:rFonts w:ascii="Arial" w:cs="Arial" w:eastAsia="Arial" w:hAnsi="Arial"/>
                <w:sz w:val="13"/>
                <w:szCs w:val="13"/>
                <w:color w:val="auto"/>
              </w:rPr>
              <w:t>140,450</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(9)</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31,008</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406,825</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Borders>
              <w:bottom w:val="single" w:sz="8" w:color="F0533D"/>
            </w:tcBorders>
          </w:tcPr>
          <w:p>
            <w:pPr>
              <w:spacing w:after="0"/>
              <w:rPr>
                <w:sz w:val="18"/>
                <w:szCs w:val="18"/>
                <w:color w:val="auto"/>
              </w:rPr>
            </w:pPr>
          </w:p>
        </w:tc>
        <w:tc>
          <w:tcPr>
            <w:tcW w:w="1120" w:type="dxa"/>
            <w:vAlign w:val="bottom"/>
            <w:tcBorders>
              <w:bottom w:val="single" w:sz="8" w:color="F0533D"/>
            </w:tcBorders>
          </w:tcPr>
          <w:p>
            <w:pPr>
              <w:jc w:val="right"/>
              <w:ind w:right="13"/>
              <w:spacing w:after="0" w:line="209" w:lineRule="exact"/>
              <w:rPr>
                <w:sz w:val="20"/>
                <w:szCs w:val="20"/>
                <w:color w:val="auto"/>
              </w:rPr>
            </w:pPr>
            <w:r>
              <w:rPr>
                <w:rFonts w:ascii="Arial" w:cs="Arial" w:eastAsia="Arial" w:hAnsi="Arial"/>
                <w:sz w:val="13"/>
                <w:szCs w:val="13"/>
                <w:color w:val="auto"/>
              </w:rPr>
              <w:t>3/2/2026</w:t>
            </w:r>
            <w:r>
              <w:rPr>
                <w:rFonts w:ascii="Arial" w:cs="Arial" w:eastAsia="Arial" w:hAnsi="Arial"/>
                <w:sz w:val="22"/>
                <w:szCs w:val="22"/>
                <w:color w:val="auto"/>
                <w:vertAlign w:val="superscript"/>
              </w:rPr>
              <w:t>(10)</w:t>
            </w:r>
          </w:p>
        </w:tc>
        <w:tc>
          <w:tcPr>
            <w:tcW w:w="820" w:type="dxa"/>
            <w:vAlign w:val="bottom"/>
            <w:tcBorders>
              <w:bottom w:val="single" w:sz="8" w:color="F0533D"/>
            </w:tcBorders>
          </w:tcPr>
          <w:p>
            <w:pPr>
              <w:spacing w:after="0"/>
              <w:rPr>
                <w:sz w:val="18"/>
                <w:szCs w:val="18"/>
                <w:color w:val="auto"/>
              </w:rPr>
            </w:pPr>
          </w:p>
        </w:tc>
        <w:tc>
          <w:tcPr>
            <w:tcW w:w="980" w:type="dxa"/>
            <w:vAlign w:val="bottom"/>
            <w:tcBorders>
              <w:bottom w:val="single" w:sz="8" w:color="F0533D"/>
            </w:tcBorders>
          </w:tcPr>
          <w:p>
            <w:pPr>
              <w:spacing w:after="0"/>
              <w:rPr>
                <w:sz w:val="18"/>
                <w:szCs w:val="18"/>
                <w:color w:val="auto"/>
              </w:rPr>
            </w:pPr>
          </w:p>
        </w:tc>
        <w:tc>
          <w:tcPr>
            <w:tcW w:w="620" w:type="dxa"/>
            <w:vAlign w:val="bottom"/>
            <w:tcBorders>
              <w:bottom w:val="single" w:sz="8" w:color="F0533D"/>
            </w:tcBorders>
          </w:tcPr>
          <w:p>
            <w:pPr>
              <w:spacing w:after="0"/>
              <w:rPr>
                <w:sz w:val="18"/>
                <w:szCs w:val="18"/>
                <w:color w:val="auto"/>
              </w:rPr>
            </w:pPr>
          </w:p>
        </w:tc>
        <w:tc>
          <w:tcPr>
            <w:tcW w:w="720" w:type="dxa"/>
            <w:vAlign w:val="bottom"/>
            <w:tcBorders>
              <w:bottom w:val="single" w:sz="8" w:color="F0533D"/>
            </w:tcBorders>
          </w:tcPr>
          <w:p>
            <w:pPr>
              <w:spacing w:after="0"/>
              <w:rPr>
                <w:sz w:val="18"/>
                <w:szCs w:val="18"/>
                <w:color w:val="auto"/>
              </w:rPr>
            </w:pPr>
          </w:p>
        </w:tc>
        <w:tc>
          <w:tcPr>
            <w:tcW w:w="760" w:type="dxa"/>
            <w:vAlign w:val="bottom"/>
            <w:tcBorders>
              <w:bottom w:val="single" w:sz="8" w:color="F0533D"/>
            </w:tcBorders>
            <w:gridSpan w:val="2"/>
          </w:tcPr>
          <w:p>
            <w:pPr>
              <w:jc w:val="right"/>
              <w:ind w:right="73"/>
              <w:spacing w:after="0"/>
              <w:rPr>
                <w:sz w:val="20"/>
                <w:szCs w:val="20"/>
                <w:color w:val="auto"/>
              </w:rPr>
            </w:pPr>
            <w:r>
              <w:rPr>
                <w:rFonts w:ascii="Arial" w:cs="Arial" w:eastAsia="Arial" w:hAnsi="Arial"/>
                <w:sz w:val="13"/>
                <w:szCs w:val="13"/>
                <w:color w:val="auto"/>
              </w:rPr>
              <w:t>39,841</w:t>
            </w:r>
          </w:p>
        </w:tc>
        <w:tc>
          <w:tcPr>
            <w:tcW w:w="70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522,714</w:t>
            </w:r>
          </w:p>
        </w:tc>
        <w:tc>
          <w:tcPr>
            <w:tcW w:w="1100" w:type="dxa"/>
            <w:vAlign w:val="bottom"/>
            <w:tcBorders>
              <w:bottom w:val="single" w:sz="8" w:color="F0533D"/>
            </w:tcBorders>
          </w:tcPr>
          <w:p>
            <w:pPr>
              <w:spacing w:after="0"/>
              <w:rPr>
                <w:sz w:val="18"/>
                <w:szCs w:val="18"/>
                <w:color w:val="auto"/>
              </w:rPr>
            </w:pPr>
          </w:p>
        </w:tc>
        <w:tc>
          <w:tcPr>
            <w:tcW w:w="1080" w:type="dxa"/>
            <w:vAlign w:val="bottom"/>
            <w:tcBorders>
              <w:bottom w:val="single" w:sz="8" w:color="F0533D"/>
            </w:tcBorders>
          </w:tcPr>
          <w:p>
            <w:pPr>
              <w:spacing w:after="0"/>
              <w:rPr>
                <w:sz w:val="18"/>
                <w:szCs w:val="18"/>
                <w:color w:val="auto"/>
              </w:rPr>
            </w:pPr>
          </w:p>
        </w:tc>
        <w:tc>
          <w:tcPr>
            <w:tcW w:w="80" w:type="dxa"/>
            <w:vAlign w:val="bottom"/>
            <w:tcBorders>
              <w:bottom w:val="single" w:sz="8" w:color="F0533D"/>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Elly Keinan</w:t>
            </w:r>
          </w:p>
        </w:tc>
        <w:tc>
          <w:tcPr>
            <w:tcW w:w="1120" w:type="dxa"/>
            <w:vAlign w:val="bottom"/>
            <w:tcBorders>
              <w:bottom w:val="single" w:sz="8" w:color="939598"/>
            </w:tcBorders>
          </w:tcPr>
          <w:p>
            <w:pPr>
              <w:jc w:val="right"/>
              <w:ind w:right="213"/>
              <w:spacing w:after="0"/>
              <w:rPr>
                <w:sz w:val="20"/>
                <w:szCs w:val="20"/>
                <w:color w:val="auto"/>
              </w:rPr>
            </w:pPr>
            <w:r>
              <w:rPr>
                <w:rFonts w:ascii="Arial" w:cs="Arial" w:eastAsia="Arial" w:hAnsi="Arial"/>
                <w:sz w:val="13"/>
                <w:szCs w:val="13"/>
                <w:color w:val="auto"/>
              </w:rPr>
              <w:t>12/16/2021</w:t>
            </w:r>
          </w:p>
        </w:tc>
        <w:tc>
          <w:tcPr>
            <w:tcW w:w="82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auto"/>
              </w:rPr>
              <w:t>464,720</w:t>
            </w:r>
          </w:p>
        </w:tc>
        <w:tc>
          <w:tcPr>
            <w:tcW w:w="980" w:type="dxa"/>
            <w:vAlign w:val="bottom"/>
            <w:tcBorders>
              <w:bottom w:val="single" w:sz="8" w:color="939598"/>
            </w:tcBorders>
          </w:tcPr>
          <w:p>
            <w:pPr>
              <w:spacing w:after="0"/>
              <w:rPr>
                <w:sz w:val="14"/>
                <w:szCs w:val="14"/>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17.78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12/16/2031</w:t>
            </w:r>
          </w:p>
        </w:tc>
        <w:tc>
          <w:tcPr>
            <w:tcW w:w="6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spacing w:after="0"/>
              <w:rPr>
                <w:sz w:val="14"/>
                <w:szCs w:val="14"/>
                <w:color w:val="auto"/>
              </w:rPr>
            </w:pPr>
          </w:p>
        </w:tc>
        <w:tc>
          <w:tcPr>
            <w:tcW w:w="700" w:type="dxa"/>
            <w:vAlign w:val="bottom"/>
            <w:tcBorders>
              <w:bottom w:val="single" w:sz="8" w:color="939598"/>
            </w:tcBorders>
          </w:tcPr>
          <w:p>
            <w:pPr>
              <w:spacing w:after="0"/>
              <w:rPr>
                <w:sz w:val="14"/>
                <w:szCs w:val="14"/>
                <w:color w:val="auto"/>
              </w:rPr>
            </w:pPr>
          </w:p>
        </w:tc>
        <w:tc>
          <w:tcPr>
            <w:tcW w:w="1100" w:type="dxa"/>
            <w:vAlign w:val="bottom"/>
            <w:tcBorders>
              <w:bottom w:val="single" w:sz="8" w:color="939598"/>
            </w:tcBorders>
          </w:tcPr>
          <w:p>
            <w:pPr>
              <w:spacing w:after="0"/>
              <w:rPr>
                <w:sz w:val="14"/>
                <w:szCs w:val="14"/>
                <w:color w:val="auto"/>
              </w:rPr>
            </w:pPr>
          </w:p>
        </w:tc>
        <w:tc>
          <w:tcPr>
            <w:tcW w:w="1080" w:type="dxa"/>
            <w:vAlign w:val="bottom"/>
            <w:tcBorders>
              <w:bottom w:val="single" w:sz="8" w:color="939598"/>
            </w:tcBorders>
          </w:tcPr>
          <w:p>
            <w:pPr>
              <w:spacing w:after="0"/>
              <w:rPr>
                <w:sz w:val="14"/>
                <w:szCs w:val="14"/>
                <w:color w:val="auto"/>
              </w:rPr>
            </w:pPr>
          </w:p>
        </w:tc>
        <w:tc>
          <w:tcPr>
            <w:tcW w:w="8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8/1/2022</w:t>
            </w:r>
            <w:r>
              <w:rPr>
                <w:rFonts w:ascii="Arial" w:cs="Arial" w:eastAsia="Arial" w:hAnsi="Arial"/>
                <w:sz w:val="22"/>
                <w:szCs w:val="22"/>
                <w:color w:val="auto"/>
                <w:vertAlign w:val="superscript"/>
              </w:rPr>
              <w:t>(3)</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62,648</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821,942</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8/1/2023</w:t>
            </w:r>
            <w:r>
              <w:rPr>
                <w:rFonts w:ascii="Arial" w:cs="Arial" w:eastAsia="Arial" w:hAnsi="Arial"/>
                <w:sz w:val="22"/>
                <w:szCs w:val="22"/>
                <w:color w:val="auto"/>
                <w:vertAlign w:val="superscript"/>
              </w:rPr>
              <w:t>(4)</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99,477</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1,305,138</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(5)</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75,369</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988,841</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(6)</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163,513</w:t>
            </w:r>
          </w:p>
        </w:tc>
        <w:tc>
          <w:tcPr>
            <w:tcW w:w="1080" w:type="dxa"/>
            <w:vAlign w:val="bottom"/>
            <w:tcBorders>
              <w:bottom w:val="single" w:sz="8" w:color="939598"/>
            </w:tcBorders>
          </w:tcPr>
          <w:p>
            <w:pPr>
              <w:jc w:val="right"/>
              <w:ind w:right="173"/>
              <w:spacing w:after="0"/>
              <w:rPr>
                <w:sz w:val="20"/>
                <w:szCs w:val="20"/>
                <w:color w:val="auto"/>
              </w:rPr>
            </w:pPr>
            <w:r>
              <w:rPr>
                <w:rFonts w:ascii="Arial" w:cs="Arial" w:eastAsia="Arial" w:hAnsi="Arial"/>
                <w:sz w:val="13"/>
                <w:szCs w:val="13"/>
                <w:color w:val="auto"/>
              </w:rPr>
              <w:t>2,145,291</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(7)</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81,396</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1,067,916</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(8)</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74,107</w:t>
            </w:r>
          </w:p>
        </w:tc>
        <w:tc>
          <w:tcPr>
            <w:tcW w:w="1080" w:type="dxa"/>
            <w:vAlign w:val="bottom"/>
            <w:tcBorders>
              <w:bottom w:val="single" w:sz="8" w:color="939598"/>
            </w:tcBorders>
          </w:tcPr>
          <w:p>
            <w:pPr>
              <w:jc w:val="right"/>
              <w:ind w:right="173"/>
              <w:spacing w:after="0"/>
              <w:rPr>
                <w:sz w:val="20"/>
                <w:szCs w:val="20"/>
                <w:color w:val="auto"/>
              </w:rPr>
            </w:pPr>
            <w:r>
              <w:rPr>
                <w:rFonts w:ascii="Arial" w:cs="Arial" w:eastAsia="Arial" w:hAnsi="Arial"/>
                <w:sz w:val="13"/>
                <w:szCs w:val="13"/>
                <w:color w:val="auto"/>
              </w:rPr>
              <w:t>972,284</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Borders>
              <w:bottom w:val="single" w:sz="8" w:color="F0533D"/>
            </w:tcBorders>
          </w:tcPr>
          <w:p>
            <w:pPr>
              <w:spacing w:after="0"/>
              <w:rPr>
                <w:sz w:val="18"/>
                <w:szCs w:val="18"/>
                <w:color w:val="auto"/>
              </w:rPr>
            </w:pPr>
          </w:p>
        </w:tc>
        <w:tc>
          <w:tcPr>
            <w:tcW w:w="1120" w:type="dxa"/>
            <w:vAlign w:val="bottom"/>
            <w:tcBorders>
              <w:bottom w:val="single" w:sz="8" w:color="F0533D"/>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(9)</w:t>
            </w:r>
          </w:p>
        </w:tc>
        <w:tc>
          <w:tcPr>
            <w:tcW w:w="820" w:type="dxa"/>
            <w:vAlign w:val="bottom"/>
            <w:tcBorders>
              <w:bottom w:val="single" w:sz="8" w:color="F0533D"/>
            </w:tcBorders>
          </w:tcPr>
          <w:p>
            <w:pPr>
              <w:spacing w:after="0"/>
              <w:rPr>
                <w:sz w:val="18"/>
                <w:szCs w:val="18"/>
                <w:color w:val="auto"/>
              </w:rPr>
            </w:pPr>
          </w:p>
        </w:tc>
        <w:tc>
          <w:tcPr>
            <w:tcW w:w="980" w:type="dxa"/>
            <w:vAlign w:val="bottom"/>
            <w:tcBorders>
              <w:bottom w:val="single" w:sz="8" w:color="F0533D"/>
            </w:tcBorders>
          </w:tcPr>
          <w:p>
            <w:pPr>
              <w:spacing w:after="0"/>
              <w:rPr>
                <w:sz w:val="18"/>
                <w:szCs w:val="18"/>
                <w:color w:val="auto"/>
              </w:rPr>
            </w:pPr>
          </w:p>
        </w:tc>
        <w:tc>
          <w:tcPr>
            <w:tcW w:w="620" w:type="dxa"/>
            <w:vAlign w:val="bottom"/>
            <w:tcBorders>
              <w:bottom w:val="single" w:sz="8" w:color="F0533D"/>
            </w:tcBorders>
          </w:tcPr>
          <w:p>
            <w:pPr>
              <w:spacing w:after="0"/>
              <w:rPr>
                <w:sz w:val="18"/>
                <w:szCs w:val="18"/>
                <w:color w:val="auto"/>
              </w:rPr>
            </w:pPr>
          </w:p>
        </w:tc>
        <w:tc>
          <w:tcPr>
            <w:tcW w:w="720" w:type="dxa"/>
            <w:vAlign w:val="bottom"/>
            <w:tcBorders>
              <w:bottom w:val="single" w:sz="8" w:color="F0533D"/>
            </w:tcBorders>
          </w:tcPr>
          <w:p>
            <w:pPr>
              <w:spacing w:after="0"/>
              <w:rPr>
                <w:sz w:val="18"/>
                <w:szCs w:val="18"/>
                <w:color w:val="auto"/>
              </w:rPr>
            </w:pPr>
          </w:p>
        </w:tc>
        <w:tc>
          <w:tcPr>
            <w:tcW w:w="760" w:type="dxa"/>
            <w:vAlign w:val="bottom"/>
            <w:tcBorders>
              <w:bottom w:val="single" w:sz="8" w:color="F0533D"/>
            </w:tcBorders>
            <w:gridSpan w:val="2"/>
          </w:tcPr>
          <w:p>
            <w:pPr>
              <w:jc w:val="right"/>
              <w:ind w:right="53"/>
              <w:spacing w:after="0"/>
              <w:rPr>
                <w:sz w:val="20"/>
                <w:szCs w:val="20"/>
                <w:color w:val="auto"/>
              </w:rPr>
            </w:pPr>
            <w:r>
              <w:rPr>
                <w:rFonts w:ascii="Arial" w:cs="Arial" w:eastAsia="Arial" w:hAnsi="Arial"/>
                <w:sz w:val="13"/>
                <w:szCs w:val="13"/>
                <w:color w:val="auto"/>
              </w:rPr>
              <w:t>232,559</w:t>
            </w:r>
          </w:p>
        </w:tc>
        <w:tc>
          <w:tcPr>
            <w:tcW w:w="70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3,051,174</w:t>
            </w:r>
          </w:p>
        </w:tc>
        <w:tc>
          <w:tcPr>
            <w:tcW w:w="1100" w:type="dxa"/>
            <w:vAlign w:val="bottom"/>
            <w:tcBorders>
              <w:bottom w:val="single" w:sz="8" w:color="F0533D"/>
            </w:tcBorders>
          </w:tcPr>
          <w:p>
            <w:pPr>
              <w:spacing w:after="0"/>
              <w:rPr>
                <w:sz w:val="18"/>
                <w:szCs w:val="18"/>
                <w:color w:val="auto"/>
              </w:rPr>
            </w:pPr>
          </w:p>
        </w:tc>
        <w:tc>
          <w:tcPr>
            <w:tcW w:w="1080" w:type="dxa"/>
            <w:vAlign w:val="bottom"/>
            <w:tcBorders>
              <w:bottom w:val="single" w:sz="8" w:color="F0533D"/>
            </w:tcBorders>
          </w:tcPr>
          <w:p>
            <w:pPr>
              <w:spacing w:after="0"/>
              <w:rPr>
                <w:sz w:val="18"/>
                <w:szCs w:val="18"/>
                <w:color w:val="auto"/>
              </w:rPr>
            </w:pPr>
          </w:p>
        </w:tc>
        <w:tc>
          <w:tcPr>
            <w:tcW w:w="80" w:type="dxa"/>
            <w:vAlign w:val="bottom"/>
            <w:tcBorders>
              <w:bottom w:val="single" w:sz="8" w:color="F0533D"/>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Maryjo</w:t>
            </w:r>
          </w:p>
        </w:tc>
        <w:tc>
          <w:tcPr>
            <w:tcW w:w="1120" w:type="dxa"/>
            <w:vAlign w:val="bottom"/>
            <w:tcBorders>
              <w:bottom w:val="single" w:sz="8" w:color="939598"/>
            </w:tcBorders>
          </w:tcPr>
          <w:p>
            <w:pPr>
              <w:jc w:val="right"/>
              <w:ind w:right="213"/>
              <w:spacing w:after="0"/>
              <w:rPr>
                <w:sz w:val="20"/>
                <w:szCs w:val="20"/>
                <w:color w:val="auto"/>
              </w:rPr>
            </w:pPr>
            <w:r>
              <w:rPr>
                <w:rFonts w:ascii="Arial" w:cs="Arial" w:eastAsia="Arial" w:hAnsi="Arial"/>
                <w:sz w:val="13"/>
                <w:szCs w:val="13"/>
                <w:color w:val="auto"/>
              </w:rPr>
              <w:t>12/16/2021</w:t>
            </w:r>
          </w:p>
        </w:tc>
        <w:tc>
          <w:tcPr>
            <w:tcW w:w="82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auto"/>
              </w:rPr>
              <w:t>61,148</w:t>
            </w: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17.78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12/16/2031</w:t>
            </w: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80" w:type="dxa"/>
            <w:vAlign w:val="bottom"/>
            <w:vMerge w:val="continue"/>
          </w:tcPr>
          <w:p>
            <w:pPr>
              <w:spacing w:after="0"/>
              <w:rPr>
                <w:sz w:val="4"/>
                <w:szCs w:val="4"/>
                <w:color w:val="auto"/>
              </w:rPr>
            </w:pPr>
          </w:p>
        </w:tc>
        <w:tc>
          <w:tcPr>
            <w:tcW w:w="1120" w:type="dxa"/>
            <w:vAlign w:val="bottom"/>
            <w:vMerge w:val="restart"/>
          </w:tcPr>
          <w:p>
            <w:pPr>
              <w:jc w:val="right"/>
              <w:ind w:right="73"/>
              <w:spacing w:after="0" w:line="209" w:lineRule="exact"/>
              <w:rPr>
                <w:sz w:val="20"/>
                <w:szCs w:val="20"/>
                <w:color w:val="auto"/>
              </w:rPr>
            </w:pPr>
            <w:r>
              <w:rPr>
                <w:rFonts w:ascii="Arial" w:cs="Arial" w:eastAsia="Arial" w:hAnsi="Arial"/>
                <w:sz w:val="13"/>
                <w:szCs w:val="13"/>
                <w:color w:val="auto"/>
              </w:rPr>
              <w:t>8/1/2022</w:t>
            </w:r>
            <w:r>
              <w:rPr>
                <w:rFonts w:ascii="Arial" w:cs="Arial" w:eastAsia="Arial" w:hAnsi="Arial"/>
                <w:sz w:val="22"/>
                <w:szCs w:val="22"/>
                <w:color w:val="auto"/>
                <w:vertAlign w:val="superscript"/>
              </w:rPr>
              <w:t>(3)</w:t>
            </w: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gridSpan w:val="2"/>
            <w:vMerge w:val="restart"/>
          </w:tcPr>
          <w:p>
            <w:pPr>
              <w:jc w:val="right"/>
              <w:ind w:right="53"/>
              <w:spacing w:after="0"/>
              <w:rPr>
                <w:sz w:val="20"/>
                <w:szCs w:val="20"/>
                <w:color w:val="auto"/>
              </w:rPr>
            </w:pPr>
            <w:r>
              <w:rPr>
                <w:rFonts w:ascii="Arial" w:cs="Arial" w:eastAsia="Arial" w:hAnsi="Arial"/>
                <w:sz w:val="13"/>
                <w:szCs w:val="13"/>
                <w:color w:val="auto"/>
              </w:rPr>
              <w:t>8,244</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108,161</w:t>
            </w: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Charbonnier</w:t>
            </w:r>
          </w:p>
        </w:tc>
        <w:tc>
          <w:tcPr>
            <w:tcW w:w="1120" w:type="dxa"/>
            <w:vAlign w:val="bottom"/>
            <w:tcBorders>
              <w:bottom w:val="single" w:sz="8" w:color="939598"/>
            </w:tcBorders>
            <w:vMerge w:val="continue"/>
          </w:tcPr>
          <w:p>
            <w:pPr>
              <w:spacing w:after="0"/>
              <w:rPr>
                <w:sz w:val="14"/>
                <w:szCs w:val="14"/>
                <w:color w:val="auto"/>
              </w:rPr>
            </w:pPr>
          </w:p>
        </w:tc>
        <w:tc>
          <w:tcPr>
            <w:tcW w:w="820" w:type="dxa"/>
            <w:vAlign w:val="bottom"/>
            <w:tcBorders>
              <w:bottom w:val="single" w:sz="8" w:color="939598"/>
            </w:tcBorders>
          </w:tcPr>
          <w:p>
            <w:pPr>
              <w:spacing w:after="0"/>
              <w:rPr>
                <w:sz w:val="14"/>
                <w:szCs w:val="14"/>
                <w:color w:val="auto"/>
              </w:rPr>
            </w:pPr>
          </w:p>
        </w:tc>
        <w:tc>
          <w:tcPr>
            <w:tcW w:w="980" w:type="dxa"/>
            <w:vAlign w:val="bottom"/>
            <w:tcBorders>
              <w:bottom w:val="single" w:sz="8" w:color="939598"/>
            </w:tcBorders>
          </w:tcPr>
          <w:p>
            <w:pPr>
              <w:spacing w:after="0"/>
              <w:rPr>
                <w:sz w:val="14"/>
                <w:szCs w:val="14"/>
                <w:color w:val="auto"/>
              </w:rPr>
            </w:pPr>
          </w:p>
        </w:tc>
        <w:tc>
          <w:tcPr>
            <w:tcW w:w="6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vMerge w:val="continue"/>
          </w:tcPr>
          <w:p>
            <w:pPr>
              <w:spacing w:after="0"/>
              <w:rPr>
                <w:sz w:val="14"/>
                <w:szCs w:val="14"/>
                <w:color w:val="auto"/>
              </w:rPr>
            </w:pPr>
          </w:p>
        </w:tc>
        <w:tc>
          <w:tcPr>
            <w:tcW w:w="700" w:type="dxa"/>
            <w:vAlign w:val="bottom"/>
            <w:tcBorders>
              <w:bottom w:val="single" w:sz="8" w:color="939598"/>
            </w:tcBorders>
            <w:vMerge w:val="continue"/>
          </w:tcPr>
          <w:p>
            <w:pPr>
              <w:spacing w:after="0"/>
              <w:rPr>
                <w:sz w:val="14"/>
                <w:szCs w:val="14"/>
                <w:color w:val="auto"/>
              </w:rPr>
            </w:pPr>
          </w:p>
        </w:tc>
        <w:tc>
          <w:tcPr>
            <w:tcW w:w="1100" w:type="dxa"/>
            <w:vAlign w:val="bottom"/>
            <w:tcBorders>
              <w:bottom w:val="single" w:sz="8" w:color="939598"/>
            </w:tcBorders>
          </w:tcPr>
          <w:p>
            <w:pPr>
              <w:spacing w:after="0"/>
              <w:rPr>
                <w:sz w:val="14"/>
                <w:szCs w:val="14"/>
                <w:color w:val="auto"/>
              </w:rPr>
            </w:pPr>
          </w:p>
        </w:tc>
        <w:tc>
          <w:tcPr>
            <w:tcW w:w="1080" w:type="dxa"/>
            <w:vAlign w:val="bottom"/>
            <w:tcBorders>
              <w:bottom w:val="single" w:sz="8" w:color="939598"/>
            </w:tcBorders>
          </w:tcPr>
          <w:p>
            <w:pPr>
              <w:spacing w:after="0"/>
              <w:rPr>
                <w:sz w:val="14"/>
                <w:szCs w:val="14"/>
                <w:color w:val="auto"/>
              </w:rPr>
            </w:pPr>
          </w:p>
        </w:tc>
        <w:tc>
          <w:tcPr>
            <w:tcW w:w="8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8/1/2023</w:t>
            </w:r>
            <w:r>
              <w:rPr>
                <w:rFonts w:ascii="Arial" w:cs="Arial" w:eastAsia="Arial" w:hAnsi="Arial"/>
                <w:sz w:val="22"/>
                <w:szCs w:val="22"/>
                <w:color w:val="auto"/>
                <w:vertAlign w:val="superscript"/>
              </w:rPr>
              <w:t>(4)</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13,090</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171,741</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(5)</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9,918</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130,124</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(6)</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21,517</w:t>
            </w:r>
          </w:p>
        </w:tc>
        <w:tc>
          <w:tcPr>
            <w:tcW w:w="1080" w:type="dxa"/>
            <w:vAlign w:val="bottom"/>
            <w:tcBorders>
              <w:bottom w:val="single" w:sz="8" w:color="939598"/>
            </w:tcBorders>
          </w:tcPr>
          <w:p>
            <w:pPr>
              <w:jc w:val="right"/>
              <w:ind w:right="173"/>
              <w:spacing w:after="0"/>
              <w:rPr>
                <w:sz w:val="20"/>
                <w:szCs w:val="20"/>
                <w:color w:val="auto"/>
              </w:rPr>
            </w:pPr>
            <w:r>
              <w:rPr>
                <w:rFonts w:ascii="Arial" w:cs="Arial" w:eastAsia="Arial" w:hAnsi="Arial"/>
                <w:sz w:val="13"/>
                <w:szCs w:val="13"/>
                <w:color w:val="auto"/>
              </w:rPr>
              <w:t>282,303</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(7)</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73"/>
              <w:spacing w:after="0"/>
              <w:rPr>
                <w:sz w:val="20"/>
                <w:szCs w:val="20"/>
                <w:color w:val="auto"/>
              </w:rPr>
            </w:pPr>
            <w:r>
              <w:rPr>
                <w:rFonts w:ascii="Arial" w:cs="Arial" w:eastAsia="Arial" w:hAnsi="Arial"/>
                <w:sz w:val="13"/>
                <w:szCs w:val="13"/>
                <w:color w:val="auto"/>
              </w:rPr>
              <w:t>13,566</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177,986</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Borders>
              <w:bottom w:val="single" w:sz="8" w:color="F0533D"/>
            </w:tcBorders>
          </w:tcPr>
          <w:p>
            <w:pPr>
              <w:spacing w:after="0"/>
              <w:rPr>
                <w:sz w:val="18"/>
                <w:szCs w:val="18"/>
                <w:color w:val="auto"/>
              </w:rPr>
            </w:pPr>
          </w:p>
        </w:tc>
        <w:tc>
          <w:tcPr>
            <w:tcW w:w="1120" w:type="dxa"/>
            <w:vAlign w:val="bottom"/>
            <w:tcBorders>
              <w:bottom w:val="single" w:sz="8" w:color="F0533D"/>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(8)</w:t>
            </w:r>
          </w:p>
        </w:tc>
        <w:tc>
          <w:tcPr>
            <w:tcW w:w="820" w:type="dxa"/>
            <w:vAlign w:val="bottom"/>
            <w:tcBorders>
              <w:bottom w:val="single" w:sz="8" w:color="F0533D"/>
            </w:tcBorders>
          </w:tcPr>
          <w:p>
            <w:pPr>
              <w:spacing w:after="0"/>
              <w:rPr>
                <w:sz w:val="18"/>
                <w:szCs w:val="18"/>
                <w:color w:val="auto"/>
              </w:rPr>
            </w:pPr>
          </w:p>
        </w:tc>
        <w:tc>
          <w:tcPr>
            <w:tcW w:w="980" w:type="dxa"/>
            <w:vAlign w:val="bottom"/>
            <w:tcBorders>
              <w:bottom w:val="single" w:sz="8" w:color="F0533D"/>
            </w:tcBorders>
          </w:tcPr>
          <w:p>
            <w:pPr>
              <w:spacing w:after="0"/>
              <w:rPr>
                <w:sz w:val="18"/>
                <w:szCs w:val="18"/>
                <w:color w:val="auto"/>
              </w:rPr>
            </w:pPr>
          </w:p>
        </w:tc>
        <w:tc>
          <w:tcPr>
            <w:tcW w:w="620" w:type="dxa"/>
            <w:vAlign w:val="bottom"/>
            <w:tcBorders>
              <w:bottom w:val="single" w:sz="8" w:color="F0533D"/>
            </w:tcBorders>
          </w:tcPr>
          <w:p>
            <w:pPr>
              <w:spacing w:after="0"/>
              <w:rPr>
                <w:sz w:val="18"/>
                <w:szCs w:val="18"/>
                <w:color w:val="auto"/>
              </w:rPr>
            </w:pPr>
          </w:p>
        </w:tc>
        <w:tc>
          <w:tcPr>
            <w:tcW w:w="720" w:type="dxa"/>
            <w:vAlign w:val="bottom"/>
            <w:tcBorders>
              <w:bottom w:val="single" w:sz="8" w:color="F0533D"/>
            </w:tcBorders>
          </w:tcPr>
          <w:p>
            <w:pPr>
              <w:spacing w:after="0"/>
              <w:rPr>
                <w:sz w:val="18"/>
                <w:szCs w:val="18"/>
                <w:color w:val="auto"/>
              </w:rPr>
            </w:pPr>
          </w:p>
        </w:tc>
        <w:tc>
          <w:tcPr>
            <w:tcW w:w="60" w:type="dxa"/>
            <w:vAlign w:val="bottom"/>
            <w:tcBorders>
              <w:bottom w:val="single" w:sz="8" w:color="F0533D"/>
            </w:tcBorders>
          </w:tcPr>
          <w:p>
            <w:pPr>
              <w:spacing w:after="0"/>
              <w:rPr>
                <w:sz w:val="18"/>
                <w:szCs w:val="18"/>
                <w:color w:val="auto"/>
              </w:rPr>
            </w:pPr>
          </w:p>
        </w:tc>
        <w:tc>
          <w:tcPr>
            <w:tcW w:w="700" w:type="dxa"/>
            <w:vAlign w:val="bottom"/>
            <w:tcBorders>
              <w:bottom w:val="single" w:sz="8" w:color="F0533D"/>
            </w:tcBorders>
          </w:tcPr>
          <w:p>
            <w:pPr>
              <w:spacing w:after="0"/>
              <w:rPr>
                <w:sz w:val="18"/>
                <w:szCs w:val="18"/>
                <w:color w:val="auto"/>
              </w:rPr>
            </w:pPr>
          </w:p>
        </w:tc>
        <w:tc>
          <w:tcPr>
            <w:tcW w:w="700" w:type="dxa"/>
            <w:vAlign w:val="bottom"/>
            <w:tcBorders>
              <w:bottom w:val="single" w:sz="8" w:color="F0533D"/>
            </w:tcBorders>
          </w:tcPr>
          <w:p>
            <w:pPr>
              <w:spacing w:after="0"/>
              <w:rPr>
                <w:sz w:val="18"/>
                <w:szCs w:val="18"/>
                <w:color w:val="auto"/>
              </w:rPr>
            </w:pPr>
          </w:p>
        </w:tc>
        <w:tc>
          <w:tcPr>
            <w:tcW w:w="1100" w:type="dxa"/>
            <w:vAlign w:val="bottom"/>
            <w:tcBorders>
              <w:bottom w:val="single" w:sz="8" w:color="F0533D"/>
            </w:tcBorders>
          </w:tcPr>
          <w:p>
            <w:pPr>
              <w:jc w:val="right"/>
              <w:ind w:right="233"/>
              <w:spacing w:after="0"/>
              <w:rPr>
                <w:sz w:val="20"/>
                <w:szCs w:val="20"/>
                <w:color w:val="auto"/>
              </w:rPr>
            </w:pPr>
            <w:r>
              <w:rPr>
                <w:rFonts w:ascii="Arial" w:cs="Arial" w:eastAsia="Arial" w:hAnsi="Arial"/>
                <w:sz w:val="13"/>
                <w:szCs w:val="13"/>
                <w:color w:val="auto"/>
              </w:rPr>
              <w:t>12,352</w:t>
            </w:r>
          </w:p>
        </w:tc>
        <w:tc>
          <w:tcPr>
            <w:tcW w:w="108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162,058</w:t>
            </w:r>
          </w:p>
        </w:tc>
        <w:tc>
          <w:tcPr>
            <w:tcW w:w="80" w:type="dxa"/>
            <w:vAlign w:val="bottom"/>
            <w:tcBorders>
              <w:bottom w:val="single" w:sz="8" w:color="F0533D"/>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Mark</w:t>
            </w:r>
          </w:p>
        </w:tc>
        <w:tc>
          <w:tcPr>
            <w:tcW w:w="1120" w:type="dxa"/>
            <w:vAlign w:val="bottom"/>
            <w:tcBorders>
              <w:bottom w:val="single" w:sz="8" w:color="939598"/>
            </w:tcBorders>
          </w:tcPr>
          <w:p>
            <w:pPr>
              <w:jc w:val="right"/>
              <w:ind w:right="213"/>
              <w:spacing w:after="0"/>
              <w:rPr>
                <w:sz w:val="20"/>
                <w:szCs w:val="20"/>
                <w:color w:val="auto"/>
              </w:rPr>
            </w:pPr>
            <w:r>
              <w:rPr>
                <w:rFonts w:ascii="Arial" w:cs="Arial" w:eastAsia="Arial" w:hAnsi="Arial"/>
                <w:sz w:val="13"/>
                <w:szCs w:val="13"/>
                <w:color w:val="auto"/>
              </w:rPr>
              <w:t>12/16/2021</w:t>
            </w:r>
          </w:p>
        </w:tc>
        <w:tc>
          <w:tcPr>
            <w:tcW w:w="820" w:type="dxa"/>
            <w:vAlign w:val="bottom"/>
            <w:tcBorders>
              <w:bottom w:val="single" w:sz="8" w:color="939598"/>
            </w:tcBorders>
          </w:tcPr>
          <w:p>
            <w:pPr>
              <w:jc w:val="right"/>
              <w:ind w:right="113"/>
              <w:spacing w:after="0"/>
              <w:rPr>
                <w:sz w:val="20"/>
                <w:szCs w:val="20"/>
                <w:color w:val="auto"/>
              </w:rPr>
            </w:pPr>
            <w:r>
              <w:rPr>
                <w:rFonts w:ascii="Arial" w:cs="Arial" w:eastAsia="Arial" w:hAnsi="Arial"/>
                <w:sz w:val="13"/>
                <w:szCs w:val="13"/>
                <w:color w:val="auto"/>
              </w:rPr>
              <w:t>13,759</w:t>
            </w: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17.78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12/16/2031</w:t>
            </w: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880" w:type="dxa"/>
            <w:vAlign w:val="bottom"/>
            <w:vMerge w:val="continue"/>
          </w:tcPr>
          <w:p>
            <w:pPr>
              <w:spacing w:after="0"/>
              <w:rPr>
                <w:sz w:val="4"/>
                <w:szCs w:val="4"/>
                <w:color w:val="auto"/>
              </w:rPr>
            </w:pPr>
          </w:p>
        </w:tc>
        <w:tc>
          <w:tcPr>
            <w:tcW w:w="1120" w:type="dxa"/>
            <w:vAlign w:val="bottom"/>
            <w:vMerge w:val="restart"/>
          </w:tcPr>
          <w:p>
            <w:pPr>
              <w:jc w:val="right"/>
              <w:ind w:right="73"/>
              <w:spacing w:after="0" w:line="209" w:lineRule="exact"/>
              <w:rPr>
                <w:sz w:val="20"/>
                <w:szCs w:val="20"/>
                <w:color w:val="auto"/>
              </w:rPr>
            </w:pPr>
            <w:r>
              <w:rPr>
                <w:rFonts w:ascii="Arial" w:cs="Arial" w:eastAsia="Arial" w:hAnsi="Arial"/>
                <w:sz w:val="13"/>
                <w:szCs w:val="13"/>
                <w:color w:val="auto"/>
              </w:rPr>
              <w:t>8/1/2022</w:t>
            </w:r>
            <w:r>
              <w:rPr>
                <w:rFonts w:ascii="Arial" w:cs="Arial" w:eastAsia="Arial" w:hAnsi="Arial"/>
                <w:sz w:val="22"/>
                <w:szCs w:val="22"/>
                <w:color w:val="auto"/>
                <w:vertAlign w:val="superscript"/>
              </w:rPr>
              <w:t>(3)</w:t>
            </w: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gridSpan w:val="2"/>
            <w:vMerge w:val="restart"/>
          </w:tcPr>
          <w:p>
            <w:pPr>
              <w:jc w:val="right"/>
              <w:ind w:right="53"/>
              <w:spacing w:after="0"/>
              <w:rPr>
                <w:sz w:val="20"/>
                <w:szCs w:val="20"/>
                <w:color w:val="auto"/>
              </w:rPr>
            </w:pPr>
            <w:r>
              <w:rPr>
                <w:rFonts w:ascii="Arial" w:cs="Arial" w:eastAsia="Arial" w:hAnsi="Arial"/>
                <w:sz w:val="13"/>
                <w:szCs w:val="13"/>
                <w:color w:val="auto"/>
              </w:rPr>
              <w:t>1,620</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21,254</w:t>
            </w: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880" w:type="dxa"/>
            <w:vAlign w:val="bottom"/>
          </w:tcPr>
          <w:p>
            <w:pPr>
              <w:ind w:left="60"/>
              <w:spacing w:after="0"/>
              <w:rPr>
                <w:sz w:val="20"/>
                <w:szCs w:val="20"/>
                <w:color w:val="auto"/>
              </w:rPr>
            </w:pPr>
            <w:r>
              <w:rPr>
                <w:rFonts w:ascii="Arial" w:cs="Arial" w:eastAsia="Arial" w:hAnsi="Arial"/>
                <w:sz w:val="13"/>
                <w:szCs w:val="13"/>
                <w:b w:val="1"/>
                <w:bCs w:val="1"/>
                <w:color w:val="auto"/>
              </w:rPr>
              <w:t>Ringes</w:t>
            </w:r>
          </w:p>
        </w:tc>
        <w:tc>
          <w:tcPr>
            <w:tcW w:w="1120" w:type="dxa"/>
            <w:vAlign w:val="bottom"/>
            <w:tcBorders>
              <w:bottom w:val="single" w:sz="8" w:color="939598"/>
            </w:tcBorders>
            <w:vMerge w:val="continue"/>
          </w:tcPr>
          <w:p>
            <w:pPr>
              <w:spacing w:after="0"/>
              <w:rPr>
                <w:sz w:val="14"/>
                <w:szCs w:val="14"/>
                <w:color w:val="auto"/>
              </w:rPr>
            </w:pPr>
          </w:p>
        </w:tc>
        <w:tc>
          <w:tcPr>
            <w:tcW w:w="820" w:type="dxa"/>
            <w:vAlign w:val="bottom"/>
            <w:tcBorders>
              <w:bottom w:val="single" w:sz="8" w:color="939598"/>
            </w:tcBorders>
          </w:tcPr>
          <w:p>
            <w:pPr>
              <w:spacing w:after="0"/>
              <w:rPr>
                <w:sz w:val="14"/>
                <w:szCs w:val="14"/>
                <w:color w:val="auto"/>
              </w:rPr>
            </w:pPr>
          </w:p>
        </w:tc>
        <w:tc>
          <w:tcPr>
            <w:tcW w:w="980" w:type="dxa"/>
            <w:vAlign w:val="bottom"/>
            <w:tcBorders>
              <w:bottom w:val="single" w:sz="8" w:color="939598"/>
            </w:tcBorders>
          </w:tcPr>
          <w:p>
            <w:pPr>
              <w:spacing w:after="0"/>
              <w:rPr>
                <w:sz w:val="14"/>
                <w:szCs w:val="14"/>
                <w:color w:val="auto"/>
              </w:rPr>
            </w:pPr>
          </w:p>
        </w:tc>
        <w:tc>
          <w:tcPr>
            <w:tcW w:w="6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vMerge w:val="continue"/>
          </w:tcPr>
          <w:p>
            <w:pPr>
              <w:spacing w:after="0"/>
              <w:rPr>
                <w:sz w:val="14"/>
                <w:szCs w:val="14"/>
                <w:color w:val="auto"/>
              </w:rPr>
            </w:pPr>
          </w:p>
        </w:tc>
        <w:tc>
          <w:tcPr>
            <w:tcW w:w="700" w:type="dxa"/>
            <w:vAlign w:val="bottom"/>
            <w:tcBorders>
              <w:bottom w:val="single" w:sz="8" w:color="939598"/>
            </w:tcBorders>
            <w:vMerge w:val="continue"/>
          </w:tcPr>
          <w:p>
            <w:pPr>
              <w:spacing w:after="0"/>
              <w:rPr>
                <w:sz w:val="14"/>
                <w:szCs w:val="14"/>
                <w:color w:val="auto"/>
              </w:rPr>
            </w:pPr>
          </w:p>
        </w:tc>
        <w:tc>
          <w:tcPr>
            <w:tcW w:w="1100" w:type="dxa"/>
            <w:vAlign w:val="bottom"/>
            <w:tcBorders>
              <w:bottom w:val="single" w:sz="8" w:color="939598"/>
            </w:tcBorders>
          </w:tcPr>
          <w:p>
            <w:pPr>
              <w:spacing w:after="0"/>
              <w:rPr>
                <w:sz w:val="14"/>
                <w:szCs w:val="14"/>
                <w:color w:val="auto"/>
              </w:rPr>
            </w:pPr>
          </w:p>
        </w:tc>
        <w:tc>
          <w:tcPr>
            <w:tcW w:w="1080" w:type="dxa"/>
            <w:vAlign w:val="bottom"/>
            <w:tcBorders>
              <w:bottom w:val="single" w:sz="8" w:color="939598"/>
            </w:tcBorders>
          </w:tcPr>
          <w:p>
            <w:pPr>
              <w:spacing w:after="0"/>
              <w:rPr>
                <w:sz w:val="14"/>
                <w:szCs w:val="14"/>
                <w:color w:val="auto"/>
              </w:rPr>
            </w:pPr>
          </w:p>
        </w:tc>
        <w:tc>
          <w:tcPr>
            <w:tcW w:w="8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8/1/2023</w:t>
            </w:r>
            <w:r>
              <w:rPr>
                <w:rFonts w:ascii="Arial" w:cs="Arial" w:eastAsia="Arial" w:hAnsi="Arial"/>
                <w:sz w:val="22"/>
                <w:szCs w:val="22"/>
                <w:color w:val="auto"/>
                <w:vertAlign w:val="superscript"/>
              </w:rPr>
              <w:t>(4)</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2,992</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39,255</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(5)</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4,364</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57,256</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(6)</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18,934</w:t>
            </w:r>
          </w:p>
        </w:tc>
        <w:tc>
          <w:tcPr>
            <w:tcW w:w="1080" w:type="dxa"/>
            <w:vAlign w:val="bottom"/>
            <w:tcBorders>
              <w:bottom w:val="single" w:sz="8" w:color="939598"/>
            </w:tcBorders>
          </w:tcPr>
          <w:p>
            <w:pPr>
              <w:jc w:val="right"/>
              <w:ind w:right="173"/>
              <w:spacing w:after="0"/>
              <w:rPr>
                <w:sz w:val="20"/>
                <w:szCs w:val="20"/>
                <w:color w:val="auto"/>
              </w:rPr>
            </w:pPr>
            <w:r>
              <w:rPr>
                <w:rFonts w:ascii="Arial" w:cs="Arial" w:eastAsia="Arial" w:hAnsi="Arial"/>
                <w:sz w:val="13"/>
                <w:szCs w:val="13"/>
                <w:color w:val="auto"/>
              </w:rPr>
              <w:t>248,414</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(7)</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53"/>
              <w:spacing w:after="0"/>
              <w:rPr>
                <w:sz w:val="20"/>
                <w:szCs w:val="20"/>
                <w:color w:val="auto"/>
              </w:rPr>
            </w:pPr>
            <w:r>
              <w:rPr>
                <w:rFonts w:ascii="Arial" w:cs="Arial" w:eastAsia="Arial" w:hAnsi="Arial"/>
                <w:sz w:val="13"/>
                <w:szCs w:val="13"/>
                <w:color w:val="auto"/>
              </w:rPr>
              <w:t>8,230</w:t>
            </w: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107,978</w:t>
            </w:r>
          </w:p>
        </w:tc>
        <w:tc>
          <w:tcPr>
            <w:tcW w:w="1100" w:type="dxa"/>
            <w:vAlign w:val="bottom"/>
            <w:tcBorders>
              <w:bottom w:val="single" w:sz="8" w:color="939598"/>
            </w:tcBorders>
          </w:tcPr>
          <w:p>
            <w:pPr>
              <w:spacing w:after="0"/>
              <w:rPr>
                <w:sz w:val="18"/>
                <w:szCs w:val="18"/>
                <w:color w:val="auto"/>
              </w:rPr>
            </w:pPr>
          </w:p>
        </w:tc>
        <w:tc>
          <w:tcPr>
            <w:tcW w:w="1080" w:type="dxa"/>
            <w:vAlign w:val="bottom"/>
            <w:tcBorders>
              <w:bottom w:val="single" w:sz="8" w:color="939598"/>
            </w:tcBorders>
          </w:tcPr>
          <w:p>
            <w:pPr>
              <w:spacing w:after="0"/>
              <w:rPr>
                <w:sz w:val="18"/>
                <w:szCs w:val="18"/>
                <w:color w:val="auto"/>
              </w:rPr>
            </w:pP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1120" w:type="dxa"/>
            <w:vAlign w:val="bottom"/>
            <w:tcBorders>
              <w:bottom w:val="single" w:sz="8" w:color="939598"/>
            </w:tcBorders>
          </w:tcPr>
          <w:p>
            <w:pPr>
              <w:jc w:val="right"/>
              <w:ind w:right="73"/>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(8)</w:t>
            </w:r>
          </w:p>
        </w:tc>
        <w:tc>
          <w:tcPr>
            <w:tcW w:w="82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6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jc w:val="right"/>
              <w:ind w:right="233"/>
              <w:spacing w:after="0"/>
              <w:rPr>
                <w:sz w:val="20"/>
                <w:szCs w:val="20"/>
                <w:color w:val="auto"/>
              </w:rPr>
            </w:pPr>
            <w:r>
              <w:rPr>
                <w:rFonts w:ascii="Arial" w:cs="Arial" w:eastAsia="Arial" w:hAnsi="Arial"/>
                <w:sz w:val="13"/>
                <w:szCs w:val="13"/>
                <w:color w:val="auto"/>
              </w:rPr>
              <w:t>7,494</w:t>
            </w:r>
          </w:p>
        </w:tc>
        <w:tc>
          <w:tcPr>
            <w:tcW w:w="1080" w:type="dxa"/>
            <w:vAlign w:val="bottom"/>
            <w:tcBorders>
              <w:bottom w:val="single" w:sz="8" w:color="939598"/>
            </w:tcBorders>
          </w:tcPr>
          <w:p>
            <w:pPr>
              <w:jc w:val="right"/>
              <w:ind w:right="153"/>
              <w:spacing w:after="0"/>
              <w:rPr>
                <w:sz w:val="20"/>
                <w:szCs w:val="20"/>
                <w:color w:val="auto"/>
              </w:rPr>
            </w:pPr>
            <w:r>
              <w:rPr>
                <w:rFonts w:ascii="Arial" w:cs="Arial" w:eastAsia="Arial" w:hAnsi="Arial"/>
                <w:sz w:val="13"/>
                <w:szCs w:val="13"/>
                <w:color w:val="auto"/>
              </w:rPr>
              <w:t>98,321</w:t>
            </w:r>
          </w:p>
        </w:tc>
        <w:tc>
          <w:tcPr>
            <w:tcW w:w="8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80" w:type="dxa"/>
            <w:vAlign w:val="bottom"/>
            <w:tcBorders>
              <w:bottom w:val="single" w:sz="8" w:color="F0533D"/>
            </w:tcBorders>
          </w:tcPr>
          <w:p>
            <w:pPr>
              <w:spacing w:after="0"/>
              <w:rPr>
                <w:sz w:val="18"/>
                <w:szCs w:val="18"/>
                <w:color w:val="auto"/>
              </w:rPr>
            </w:pPr>
          </w:p>
        </w:tc>
        <w:tc>
          <w:tcPr>
            <w:tcW w:w="1120" w:type="dxa"/>
            <w:vAlign w:val="bottom"/>
            <w:tcBorders>
              <w:bottom w:val="single" w:sz="8" w:color="F0533D"/>
            </w:tcBorders>
          </w:tcPr>
          <w:p>
            <w:pPr>
              <w:jc w:val="right"/>
              <w:ind w:right="13"/>
              <w:spacing w:after="0" w:line="209" w:lineRule="exact"/>
              <w:rPr>
                <w:sz w:val="20"/>
                <w:szCs w:val="20"/>
                <w:color w:val="auto"/>
              </w:rPr>
            </w:pPr>
            <w:r>
              <w:rPr>
                <w:rFonts w:ascii="Arial" w:cs="Arial" w:eastAsia="Arial" w:hAnsi="Arial"/>
                <w:sz w:val="13"/>
                <w:szCs w:val="13"/>
                <w:color w:val="auto"/>
              </w:rPr>
              <w:t>3/2/2026</w:t>
            </w:r>
            <w:r>
              <w:rPr>
                <w:rFonts w:ascii="Arial" w:cs="Arial" w:eastAsia="Arial" w:hAnsi="Arial"/>
                <w:sz w:val="22"/>
                <w:szCs w:val="22"/>
                <w:color w:val="auto"/>
                <w:vertAlign w:val="superscript"/>
              </w:rPr>
              <w:t>(10)</w:t>
            </w:r>
          </w:p>
        </w:tc>
        <w:tc>
          <w:tcPr>
            <w:tcW w:w="820" w:type="dxa"/>
            <w:vAlign w:val="bottom"/>
            <w:tcBorders>
              <w:bottom w:val="single" w:sz="8" w:color="F0533D"/>
            </w:tcBorders>
          </w:tcPr>
          <w:p>
            <w:pPr>
              <w:spacing w:after="0"/>
              <w:rPr>
                <w:sz w:val="18"/>
                <w:szCs w:val="18"/>
                <w:color w:val="auto"/>
              </w:rPr>
            </w:pPr>
          </w:p>
        </w:tc>
        <w:tc>
          <w:tcPr>
            <w:tcW w:w="980" w:type="dxa"/>
            <w:vAlign w:val="bottom"/>
            <w:tcBorders>
              <w:bottom w:val="single" w:sz="8" w:color="F0533D"/>
            </w:tcBorders>
          </w:tcPr>
          <w:p>
            <w:pPr>
              <w:spacing w:after="0"/>
              <w:rPr>
                <w:sz w:val="18"/>
                <w:szCs w:val="18"/>
                <w:color w:val="auto"/>
              </w:rPr>
            </w:pPr>
          </w:p>
        </w:tc>
        <w:tc>
          <w:tcPr>
            <w:tcW w:w="620" w:type="dxa"/>
            <w:vAlign w:val="bottom"/>
            <w:tcBorders>
              <w:bottom w:val="single" w:sz="8" w:color="F0533D"/>
            </w:tcBorders>
          </w:tcPr>
          <w:p>
            <w:pPr>
              <w:spacing w:after="0"/>
              <w:rPr>
                <w:sz w:val="18"/>
                <w:szCs w:val="18"/>
                <w:color w:val="auto"/>
              </w:rPr>
            </w:pPr>
          </w:p>
        </w:tc>
        <w:tc>
          <w:tcPr>
            <w:tcW w:w="720" w:type="dxa"/>
            <w:vAlign w:val="bottom"/>
            <w:tcBorders>
              <w:bottom w:val="single" w:sz="8" w:color="F0533D"/>
            </w:tcBorders>
          </w:tcPr>
          <w:p>
            <w:pPr>
              <w:spacing w:after="0"/>
              <w:rPr>
                <w:sz w:val="18"/>
                <w:szCs w:val="18"/>
                <w:color w:val="auto"/>
              </w:rPr>
            </w:pPr>
          </w:p>
        </w:tc>
        <w:tc>
          <w:tcPr>
            <w:tcW w:w="760" w:type="dxa"/>
            <w:vAlign w:val="bottom"/>
            <w:tcBorders>
              <w:bottom w:val="single" w:sz="8" w:color="F0533D"/>
            </w:tcBorders>
            <w:gridSpan w:val="2"/>
          </w:tcPr>
          <w:p>
            <w:pPr>
              <w:jc w:val="right"/>
              <w:ind w:right="73"/>
              <w:spacing w:after="0"/>
              <w:rPr>
                <w:sz w:val="20"/>
                <w:szCs w:val="20"/>
                <w:color w:val="auto"/>
              </w:rPr>
            </w:pPr>
            <w:r>
              <w:rPr>
                <w:rFonts w:ascii="Arial" w:cs="Arial" w:eastAsia="Arial" w:hAnsi="Arial"/>
                <w:sz w:val="13"/>
                <w:szCs w:val="13"/>
                <w:color w:val="auto"/>
              </w:rPr>
              <w:t>19,921</w:t>
            </w:r>
          </w:p>
        </w:tc>
        <w:tc>
          <w:tcPr>
            <w:tcW w:w="70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261,364</w:t>
            </w:r>
          </w:p>
        </w:tc>
        <w:tc>
          <w:tcPr>
            <w:tcW w:w="1100" w:type="dxa"/>
            <w:vAlign w:val="bottom"/>
            <w:tcBorders>
              <w:bottom w:val="single" w:sz="8" w:color="F0533D"/>
            </w:tcBorders>
          </w:tcPr>
          <w:p>
            <w:pPr>
              <w:spacing w:after="0"/>
              <w:rPr>
                <w:sz w:val="18"/>
                <w:szCs w:val="18"/>
                <w:color w:val="auto"/>
              </w:rPr>
            </w:pPr>
          </w:p>
        </w:tc>
        <w:tc>
          <w:tcPr>
            <w:tcW w:w="1080" w:type="dxa"/>
            <w:vAlign w:val="bottom"/>
            <w:tcBorders>
              <w:bottom w:val="single" w:sz="8" w:color="F0533D"/>
            </w:tcBorders>
          </w:tcPr>
          <w:p>
            <w:pPr>
              <w:spacing w:after="0"/>
              <w:rPr>
                <w:sz w:val="18"/>
                <w:szCs w:val="18"/>
                <w:color w:val="auto"/>
              </w:rPr>
            </w:pPr>
          </w:p>
        </w:tc>
        <w:tc>
          <w:tcPr>
            <w:tcW w:w="80" w:type="dxa"/>
            <w:vAlign w:val="bottom"/>
            <w:tcBorders>
              <w:bottom w:val="single" w:sz="8" w:color="F0533D"/>
            </w:tcBorders>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880" w:type="dxa"/>
            <w:vAlign w:val="bottom"/>
          </w:tcPr>
          <w:p>
            <w:pPr>
              <w:ind w:left="60"/>
              <w:spacing w:after="0" w:line="141" w:lineRule="exact"/>
              <w:rPr>
                <w:sz w:val="20"/>
                <w:szCs w:val="20"/>
                <w:color w:val="auto"/>
              </w:rPr>
            </w:pPr>
            <w:r>
              <w:rPr>
                <w:rFonts w:ascii="Arial" w:cs="Arial" w:eastAsia="Arial" w:hAnsi="Arial"/>
                <w:sz w:val="13"/>
                <w:szCs w:val="13"/>
                <w:b w:val="1"/>
                <w:bCs w:val="1"/>
                <w:color w:val="auto"/>
              </w:rPr>
              <w:t>David</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880" w:type="dxa"/>
            <w:vAlign w:val="bottom"/>
            <w:tcBorders>
              <w:bottom w:val="single" w:sz="8" w:color="F0533D"/>
            </w:tcBorders>
          </w:tcPr>
          <w:p>
            <w:pPr>
              <w:ind w:left="60"/>
              <w:spacing w:after="0"/>
              <w:rPr>
                <w:sz w:val="20"/>
                <w:szCs w:val="20"/>
                <w:color w:val="auto"/>
              </w:rPr>
            </w:pPr>
            <w:r>
              <w:rPr>
                <w:rFonts w:ascii="Arial" w:cs="Arial" w:eastAsia="Arial" w:hAnsi="Arial"/>
                <w:sz w:val="13"/>
                <w:szCs w:val="13"/>
                <w:b w:val="1"/>
                <w:bCs w:val="1"/>
                <w:color w:val="auto"/>
              </w:rPr>
              <w:t>Wyshner</w:t>
            </w:r>
          </w:p>
        </w:tc>
        <w:tc>
          <w:tcPr>
            <w:tcW w:w="1120" w:type="dxa"/>
            <w:vAlign w:val="bottom"/>
            <w:tcBorders>
              <w:bottom w:val="single" w:sz="8" w:color="F0533D"/>
            </w:tcBorders>
          </w:tcPr>
          <w:p>
            <w:pPr>
              <w:jc w:val="right"/>
              <w:ind w:right="213"/>
              <w:spacing w:after="0"/>
              <w:rPr>
                <w:sz w:val="20"/>
                <w:szCs w:val="20"/>
                <w:color w:val="auto"/>
              </w:rPr>
            </w:pPr>
            <w:r>
              <w:rPr>
                <w:rFonts w:ascii="Arial" w:cs="Arial" w:eastAsia="Arial" w:hAnsi="Arial"/>
                <w:sz w:val="13"/>
                <w:szCs w:val="13"/>
                <w:color w:val="auto"/>
              </w:rPr>
              <w:t>12/16/2021</w:t>
            </w:r>
          </w:p>
        </w:tc>
        <w:tc>
          <w:tcPr>
            <w:tcW w:w="820" w:type="dxa"/>
            <w:vAlign w:val="bottom"/>
            <w:tcBorders>
              <w:bottom w:val="single" w:sz="8" w:color="F0533D"/>
            </w:tcBorders>
          </w:tcPr>
          <w:p>
            <w:pPr>
              <w:jc w:val="right"/>
              <w:ind w:right="113"/>
              <w:spacing w:after="0"/>
              <w:rPr>
                <w:sz w:val="20"/>
                <w:szCs w:val="20"/>
                <w:color w:val="auto"/>
              </w:rPr>
            </w:pPr>
            <w:r>
              <w:rPr>
                <w:rFonts w:ascii="Arial" w:cs="Arial" w:eastAsia="Arial" w:hAnsi="Arial"/>
                <w:sz w:val="13"/>
                <w:szCs w:val="13"/>
                <w:color w:val="auto"/>
              </w:rPr>
              <w:t>244,590</w:t>
            </w:r>
          </w:p>
        </w:tc>
        <w:tc>
          <w:tcPr>
            <w:tcW w:w="980" w:type="dxa"/>
            <w:vAlign w:val="bottom"/>
            <w:tcBorders>
              <w:bottom w:val="single" w:sz="8" w:color="F0533D"/>
            </w:tcBorders>
          </w:tcPr>
          <w:p>
            <w:pPr>
              <w:spacing w:after="0"/>
              <w:rPr>
                <w:sz w:val="14"/>
                <w:szCs w:val="14"/>
                <w:color w:val="auto"/>
              </w:rPr>
            </w:pPr>
          </w:p>
        </w:tc>
        <w:tc>
          <w:tcPr>
            <w:tcW w:w="62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17.78</w:t>
            </w:r>
          </w:p>
        </w:tc>
        <w:tc>
          <w:tcPr>
            <w:tcW w:w="720" w:type="dxa"/>
            <w:vAlign w:val="bottom"/>
            <w:tcBorders>
              <w:bottom w:val="single" w:sz="8" w:color="F0533D"/>
            </w:tcBorders>
          </w:tcPr>
          <w:p>
            <w:pPr>
              <w:jc w:val="right"/>
              <w:spacing w:after="0"/>
              <w:rPr>
                <w:sz w:val="20"/>
                <w:szCs w:val="20"/>
                <w:color w:val="auto"/>
              </w:rPr>
            </w:pPr>
            <w:r>
              <w:rPr>
                <w:rFonts w:ascii="Arial" w:cs="Arial" w:eastAsia="Arial" w:hAnsi="Arial"/>
                <w:sz w:val="13"/>
                <w:szCs w:val="13"/>
                <w:color w:val="auto"/>
              </w:rPr>
              <w:t>5/6/2026</w:t>
            </w:r>
          </w:p>
        </w:tc>
        <w:tc>
          <w:tcPr>
            <w:tcW w:w="60" w:type="dxa"/>
            <w:vAlign w:val="bottom"/>
            <w:tcBorders>
              <w:bottom w:val="single" w:sz="8" w:color="F0533D"/>
            </w:tcBorders>
          </w:tcPr>
          <w:p>
            <w:pPr>
              <w:spacing w:after="0"/>
              <w:rPr>
                <w:sz w:val="14"/>
                <w:szCs w:val="14"/>
                <w:color w:val="auto"/>
              </w:rPr>
            </w:pPr>
          </w:p>
        </w:tc>
        <w:tc>
          <w:tcPr>
            <w:tcW w:w="700" w:type="dxa"/>
            <w:vAlign w:val="bottom"/>
            <w:tcBorders>
              <w:bottom w:val="single" w:sz="8" w:color="F0533D"/>
            </w:tcBorders>
          </w:tcPr>
          <w:p>
            <w:pPr>
              <w:spacing w:after="0"/>
              <w:rPr>
                <w:sz w:val="14"/>
                <w:szCs w:val="14"/>
                <w:color w:val="auto"/>
              </w:rPr>
            </w:pPr>
          </w:p>
        </w:tc>
        <w:tc>
          <w:tcPr>
            <w:tcW w:w="700" w:type="dxa"/>
            <w:vAlign w:val="bottom"/>
            <w:tcBorders>
              <w:bottom w:val="single" w:sz="8" w:color="F0533D"/>
            </w:tcBorders>
          </w:tcPr>
          <w:p>
            <w:pPr>
              <w:spacing w:after="0"/>
              <w:rPr>
                <w:sz w:val="14"/>
                <w:szCs w:val="14"/>
                <w:color w:val="auto"/>
              </w:rPr>
            </w:pPr>
          </w:p>
        </w:tc>
        <w:tc>
          <w:tcPr>
            <w:tcW w:w="1100" w:type="dxa"/>
            <w:vAlign w:val="bottom"/>
            <w:tcBorders>
              <w:bottom w:val="single" w:sz="8" w:color="F0533D"/>
            </w:tcBorders>
          </w:tcPr>
          <w:p>
            <w:pPr>
              <w:spacing w:after="0"/>
              <w:rPr>
                <w:sz w:val="14"/>
                <w:szCs w:val="14"/>
                <w:color w:val="auto"/>
              </w:rPr>
            </w:pPr>
          </w:p>
        </w:tc>
        <w:tc>
          <w:tcPr>
            <w:tcW w:w="1080" w:type="dxa"/>
            <w:vAlign w:val="bottom"/>
            <w:tcBorders>
              <w:bottom w:val="single" w:sz="8" w:color="F0533D"/>
            </w:tcBorders>
          </w:tcPr>
          <w:p>
            <w:pPr>
              <w:spacing w:after="0"/>
              <w:rPr>
                <w:sz w:val="14"/>
                <w:szCs w:val="14"/>
                <w:color w:val="auto"/>
              </w:rPr>
            </w:pPr>
          </w:p>
        </w:tc>
        <w:tc>
          <w:tcPr>
            <w:tcW w:w="80" w:type="dxa"/>
            <w:vAlign w:val="bottom"/>
            <w:tcBorders>
              <w:bottom w:val="single" w:sz="8" w:color="F0533D"/>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2" w:name="page73"/>
    <w:bookmarkEnd w:id="7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Borders>
              <w:bottom w:val="single" w:sz="8" w:color="F0533D"/>
            </w:tcBorders>
          </w:tcPr>
          <w:p>
            <w:pPr>
              <w:spacing w:after="0"/>
              <w:rPr>
                <w:sz w:val="21"/>
                <w:szCs w:val="21"/>
                <w:color w:val="auto"/>
              </w:rPr>
            </w:pPr>
          </w:p>
        </w:tc>
        <w:tc>
          <w:tcPr>
            <w:tcW w:w="1600" w:type="dxa"/>
            <w:vAlign w:val="bottom"/>
            <w:tcBorders>
              <w:bottom w:val="single" w:sz="8" w:color="F0533D"/>
            </w:tcBorders>
            <w:gridSpan w:val="2"/>
          </w:tcPr>
          <w:p>
            <w:pPr>
              <w:ind w:left="120"/>
              <w:spacing w:after="0"/>
              <w:rPr>
                <w:sz w:val="20"/>
                <w:szCs w:val="20"/>
                <w:color w:val="auto"/>
              </w:rPr>
            </w:pPr>
            <w:r>
              <w:rPr>
                <w:rFonts w:ascii="Arial" w:cs="Arial" w:eastAsia="Arial" w:hAnsi="Arial"/>
                <w:sz w:val="13"/>
                <w:szCs w:val="13"/>
                <w:b w:val="1"/>
                <w:bCs w:val="1"/>
                <w:color w:val="F0533D"/>
              </w:rPr>
              <w:t>Option Awards</w:t>
            </w:r>
            <w:r>
              <w:rPr>
                <w:rFonts w:ascii="Arial" w:cs="Arial" w:eastAsia="Arial" w:hAnsi="Arial"/>
                <w:sz w:val="22"/>
                <w:szCs w:val="22"/>
                <w:b w:val="1"/>
                <w:bCs w:val="1"/>
                <w:color w:val="F0533D"/>
                <w:vertAlign w:val="superscript"/>
              </w:rPr>
              <w:t>(1)(2)</w:t>
            </w:r>
          </w:p>
        </w:tc>
        <w:tc>
          <w:tcPr>
            <w:tcW w:w="720" w:type="dxa"/>
            <w:vAlign w:val="bottom"/>
            <w:tcBorders>
              <w:bottom w:val="single" w:sz="8" w:color="F0533D"/>
            </w:tcBorders>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Borders>
              <w:bottom w:val="single" w:sz="8" w:color="F0533D"/>
            </w:tcBorders>
          </w:tcPr>
          <w:p>
            <w:pPr>
              <w:spacing w:after="0"/>
              <w:rPr>
                <w:sz w:val="21"/>
                <w:szCs w:val="21"/>
                <w:color w:val="auto"/>
              </w:rPr>
            </w:pPr>
          </w:p>
        </w:tc>
        <w:tc>
          <w:tcPr>
            <w:tcW w:w="1760" w:type="dxa"/>
            <w:vAlign w:val="bottom"/>
            <w:tcBorders>
              <w:bottom w:val="single" w:sz="8" w:color="F0533D"/>
            </w:tcBorders>
            <w:gridSpan w:val="2"/>
          </w:tcPr>
          <w:p>
            <w:pPr>
              <w:jc w:val="right"/>
              <w:ind w:right="114"/>
              <w:spacing w:after="0"/>
              <w:rPr>
                <w:sz w:val="20"/>
                <w:szCs w:val="20"/>
                <w:color w:val="auto"/>
              </w:rPr>
            </w:pPr>
            <w:r>
              <w:rPr>
                <w:rFonts w:ascii="Arial" w:cs="Arial" w:eastAsia="Arial" w:hAnsi="Arial"/>
                <w:sz w:val="13"/>
                <w:szCs w:val="13"/>
                <w:b w:val="1"/>
                <w:bCs w:val="1"/>
                <w:color w:val="F0533D"/>
              </w:rPr>
              <w:t>Stock Awards</w:t>
            </w:r>
            <w:r>
              <w:rPr>
                <w:rFonts w:ascii="Arial" w:cs="Arial" w:eastAsia="Arial" w:hAnsi="Arial"/>
                <w:sz w:val="22"/>
                <w:szCs w:val="22"/>
                <w:b w:val="1"/>
                <w:bCs w:val="1"/>
                <w:color w:val="F0533D"/>
                <w:vertAlign w:val="superscript"/>
              </w:rPr>
              <w:t>(2)</w:t>
            </w:r>
          </w:p>
        </w:tc>
        <w:tc>
          <w:tcPr>
            <w:tcW w:w="1100" w:type="dxa"/>
            <w:vAlign w:val="bottom"/>
            <w:tcBorders>
              <w:bottom w:val="single" w:sz="8" w:color="F0533D"/>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60" w:type="dxa"/>
            <w:vAlign w:val="bottom"/>
            <w:gridSpan w:val="2"/>
          </w:tcPr>
          <w:p>
            <w:pPr>
              <w:jc w:val="right"/>
              <w:spacing w:after="0" w:line="169" w:lineRule="exact"/>
              <w:rPr>
                <w:sz w:val="20"/>
                <w:szCs w:val="20"/>
                <w:color w:val="auto"/>
              </w:rPr>
            </w:pPr>
            <w:r>
              <w:rPr>
                <w:rFonts w:ascii="Arial" w:cs="Arial" w:eastAsia="Arial" w:hAnsi="Arial"/>
                <w:sz w:val="11"/>
                <w:szCs w:val="11"/>
                <w:b w:val="1"/>
                <w:bCs w:val="1"/>
                <w:color w:val="F0533D"/>
              </w:rPr>
              <w:t xml:space="preserve">Equity Incentive </w:t>
            </w:r>
            <w:r>
              <w:rPr>
                <w:rFonts w:ascii="Arial" w:cs="Arial" w:eastAsia="Arial" w:hAnsi="Arial"/>
                <w:sz w:val="19"/>
                <w:szCs w:val="19"/>
                <w:b w:val="1"/>
                <w:bCs w:val="1"/>
                <w:color w:val="F0533D"/>
                <w:vertAlign w:val="superscript"/>
              </w:rPr>
              <w:t>Equity Incentive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Market</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Plan Awards:</w:t>
            </w:r>
          </w:p>
        </w:tc>
        <w:tc>
          <w:tcPr>
            <w:tcW w:w="1100" w:type="dxa"/>
            <w:vAlign w:val="bottom"/>
          </w:tcPr>
          <w:p>
            <w:pPr>
              <w:jc w:val="center"/>
              <w:ind w:left="13"/>
              <w:spacing w:after="0"/>
              <w:rPr>
                <w:sz w:val="20"/>
                <w:szCs w:val="20"/>
                <w:color w:val="auto"/>
              </w:rPr>
            </w:pPr>
            <w:r>
              <w:rPr>
                <w:rFonts w:ascii="Arial" w:cs="Arial" w:eastAsia="Arial" w:hAnsi="Arial"/>
                <w:sz w:val="13"/>
                <w:szCs w:val="13"/>
                <w:b w:val="1"/>
                <w:bCs w:val="1"/>
                <w:color w:val="F0533D"/>
              </w:rPr>
              <w:t>Plan Awards: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F0533D"/>
              </w:rPr>
              <w:t>Number of</w:t>
            </w:r>
          </w:p>
        </w:tc>
        <w:tc>
          <w:tcPr>
            <w:tcW w:w="700" w:type="dxa"/>
            <w:vAlign w:val="bottom"/>
            <w:vMerge w:val="continue"/>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Number of</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Market or</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Number of</w:t>
            </w: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Number of</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Value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Unearned</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Payout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F0533D"/>
              </w:rPr>
              <w:t>Shares or</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Shares or</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Shares,</w:t>
            </w:r>
          </w:p>
        </w:tc>
        <w:tc>
          <w:tcPr>
            <w:tcW w:w="1100" w:type="dxa"/>
            <w:vAlign w:val="bottom"/>
          </w:tcPr>
          <w:p>
            <w:pPr>
              <w:jc w:val="center"/>
              <w:ind w:left="13"/>
              <w:spacing w:after="0"/>
              <w:rPr>
                <w:sz w:val="20"/>
                <w:szCs w:val="20"/>
                <w:color w:val="auto"/>
              </w:rPr>
            </w:pPr>
            <w:r>
              <w:rPr>
                <w:rFonts w:ascii="Arial" w:cs="Arial" w:eastAsia="Arial" w:hAnsi="Arial"/>
                <w:sz w:val="13"/>
                <w:szCs w:val="13"/>
                <w:b w:val="1"/>
                <w:bCs w:val="1"/>
                <w:color w:val="F0533D"/>
              </w:rPr>
              <w:t>of Unearned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F0533D"/>
              </w:rPr>
              <w:t>Securities</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Securities</w:t>
            </w:r>
          </w:p>
        </w:tc>
        <w:tc>
          <w:tcPr>
            <w:tcW w:w="62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Option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F0533D"/>
              </w:rPr>
              <w:t>Units of</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Units of</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Units or</w:t>
            </w:r>
          </w:p>
        </w:tc>
        <w:tc>
          <w:tcPr>
            <w:tcW w:w="1100" w:type="dxa"/>
            <w:vAlign w:val="bottom"/>
          </w:tcPr>
          <w:p>
            <w:pPr>
              <w:jc w:val="center"/>
              <w:ind w:left="13"/>
              <w:spacing w:after="0"/>
              <w:rPr>
                <w:sz w:val="20"/>
                <w:szCs w:val="20"/>
                <w:color w:val="auto"/>
              </w:rPr>
            </w:pPr>
            <w:r>
              <w:rPr>
                <w:rFonts w:ascii="Arial" w:cs="Arial" w:eastAsia="Arial" w:hAnsi="Arial"/>
                <w:sz w:val="13"/>
                <w:szCs w:val="13"/>
                <w:b w:val="1"/>
                <w:bCs w:val="1"/>
                <w:color w:val="F0533D"/>
              </w:rPr>
              <w:t>Shares, Units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F0533D"/>
              </w:rPr>
              <w:t>Underlying</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Underlying</w:t>
            </w:r>
          </w:p>
        </w:tc>
        <w:tc>
          <w:tcPr>
            <w:tcW w:w="620" w:type="dxa"/>
            <w:vAlign w:val="bottom"/>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Option</w:t>
            </w:r>
          </w:p>
        </w:tc>
        <w:tc>
          <w:tcPr>
            <w:tcW w:w="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F0533D"/>
              </w:rPr>
              <w:t>Stock that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Stock that</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Other Rights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or Other Rights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F0533D"/>
              </w:rPr>
              <w:t>Unexercised</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Unexercised</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F0533D"/>
              </w:rPr>
              <w:t>Exercise</w:t>
            </w:r>
          </w:p>
        </w:tc>
        <w:tc>
          <w:tcPr>
            <w:tcW w:w="7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F0533D"/>
              </w:rPr>
              <w:t>Have Not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F0533D"/>
              </w:rPr>
              <w:t>Have Not</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that Have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F0533D"/>
              </w:rPr>
              <w:t>that Have Not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vMerge w:val="restart"/>
          </w:tcPr>
          <w:p>
            <w:pPr>
              <w:ind w:left="140"/>
              <w:spacing w:after="0"/>
              <w:rPr>
                <w:sz w:val="20"/>
                <w:szCs w:val="20"/>
                <w:color w:val="auto"/>
              </w:rPr>
            </w:pPr>
            <w:r>
              <w:rPr>
                <w:rFonts w:ascii="Arial" w:cs="Arial" w:eastAsia="Arial" w:hAnsi="Arial"/>
                <w:sz w:val="13"/>
                <w:szCs w:val="13"/>
                <w:b w:val="1"/>
                <w:bCs w:val="1"/>
                <w:color w:val="F0533D"/>
              </w:rPr>
              <w:t>Name</w:t>
            </w:r>
          </w:p>
        </w:tc>
        <w:tc>
          <w:tcPr>
            <w:tcW w:w="104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F0533D"/>
              </w:rPr>
              <w:t>Grant Date</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F0533D"/>
              </w:rPr>
              <w:t>Options (#)</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F0533D"/>
              </w:rPr>
              <w:t>Options (#)</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F0533D"/>
              </w:rPr>
              <w:t>Price</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F0533D"/>
              </w:rPr>
              <w:t>Expiration</w:t>
            </w:r>
          </w:p>
        </w:tc>
        <w:tc>
          <w:tcPr>
            <w:tcW w:w="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F0533D"/>
              </w:rPr>
              <w:t>Vested</w:t>
            </w:r>
          </w:p>
        </w:tc>
        <w:tc>
          <w:tcPr>
            <w:tcW w:w="700" w:type="dxa"/>
            <w:vAlign w:val="bottom"/>
          </w:tcPr>
          <w:p>
            <w:pPr>
              <w:jc w:val="center"/>
              <w:spacing w:after="0" w:line="161" w:lineRule="exact"/>
              <w:rPr>
                <w:sz w:val="20"/>
                <w:szCs w:val="20"/>
                <w:color w:val="auto"/>
              </w:rPr>
            </w:pPr>
            <w:r>
              <w:rPr>
                <w:rFonts w:ascii="Arial" w:cs="Arial" w:eastAsia="Arial" w:hAnsi="Arial"/>
                <w:sz w:val="11"/>
                <w:szCs w:val="11"/>
                <w:b w:val="1"/>
                <w:bCs w:val="1"/>
                <w:color w:val="F0533D"/>
              </w:rPr>
              <w:t>Vested</w:t>
            </w:r>
            <w:r>
              <w:rPr>
                <w:rFonts w:ascii="Arial" w:cs="Arial" w:eastAsia="Arial" w:hAnsi="Arial"/>
                <w:sz w:val="18"/>
                <w:szCs w:val="18"/>
                <w:b w:val="1"/>
                <w:bCs w:val="1"/>
                <w:color w:val="F0533D"/>
                <w:vertAlign w:val="superscript"/>
              </w:rPr>
              <w:t>(11)</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F0533D"/>
              </w:rPr>
              <w:t>Not Vested</w:t>
            </w:r>
          </w:p>
        </w:tc>
        <w:tc>
          <w:tcPr>
            <w:tcW w:w="1100" w:type="dxa"/>
            <w:vAlign w:val="bottom"/>
          </w:tcPr>
          <w:p>
            <w:pPr>
              <w:jc w:val="center"/>
              <w:spacing w:after="0" w:line="161" w:lineRule="exact"/>
              <w:rPr>
                <w:sz w:val="20"/>
                <w:szCs w:val="20"/>
                <w:color w:val="auto"/>
              </w:rPr>
            </w:pPr>
            <w:r>
              <w:rPr>
                <w:rFonts w:ascii="Arial" w:cs="Arial" w:eastAsia="Arial" w:hAnsi="Arial"/>
                <w:sz w:val="11"/>
                <w:szCs w:val="11"/>
                <w:b w:val="1"/>
                <w:bCs w:val="1"/>
                <w:color w:val="F0533D"/>
              </w:rPr>
              <w:t>Vested</w:t>
            </w:r>
            <w:r>
              <w:rPr>
                <w:rFonts w:ascii="Arial" w:cs="Arial" w:eastAsia="Arial" w:hAnsi="Arial"/>
                <w:sz w:val="18"/>
                <w:szCs w:val="18"/>
                <w:b w:val="1"/>
                <w:bCs w:val="1"/>
                <w:color w:val="F0533D"/>
                <w:vertAlign w:val="superscript"/>
              </w:rPr>
              <w:t>(11)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20" w:type="dxa"/>
            <w:vAlign w:val="bottom"/>
            <w:tcBorders>
              <w:bottom w:val="single" w:sz="8" w:color="F0533D"/>
            </w:tcBorders>
            <w:vMerge w:val="continue"/>
          </w:tcPr>
          <w:p>
            <w:pPr>
              <w:spacing w:after="0"/>
              <w:rPr>
                <w:sz w:val="16"/>
                <w:szCs w:val="16"/>
                <w:color w:val="auto"/>
              </w:rPr>
            </w:pPr>
          </w:p>
        </w:tc>
        <w:tc>
          <w:tcPr>
            <w:tcW w:w="1040" w:type="dxa"/>
            <w:vAlign w:val="bottom"/>
            <w:tcBorders>
              <w:bottom w:val="single" w:sz="8" w:color="F0533D"/>
            </w:tcBorders>
            <w:vMerge w:val="continue"/>
          </w:tcPr>
          <w:p>
            <w:pPr>
              <w:spacing w:after="0"/>
              <w:rPr>
                <w:sz w:val="16"/>
                <w:szCs w:val="16"/>
                <w:color w:val="auto"/>
              </w:rPr>
            </w:pPr>
          </w:p>
        </w:tc>
        <w:tc>
          <w:tcPr>
            <w:tcW w:w="8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Exercisable</w:t>
            </w:r>
          </w:p>
        </w:tc>
        <w:tc>
          <w:tcPr>
            <w:tcW w:w="98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Unexercisable</w:t>
            </w:r>
          </w:p>
        </w:tc>
        <w:tc>
          <w:tcPr>
            <w:tcW w:w="62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72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Date</w:t>
            </w:r>
          </w:p>
        </w:tc>
        <w:tc>
          <w:tcPr>
            <w:tcW w:w="760" w:type="dxa"/>
            <w:vAlign w:val="bottom"/>
            <w:tcBorders>
              <w:bottom w:val="single" w:sz="8" w:color="F0533D"/>
            </w:tcBorders>
            <w:gridSpan w:val="2"/>
          </w:tcPr>
          <w:p>
            <w:pPr>
              <w:jc w:val="center"/>
              <w:spacing w:after="0"/>
              <w:rPr>
                <w:sz w:val="20"/>
                <w:szCs w:val="20"/>
                <w:color w:val="auto"/>
              </w:rPr>
            </w:pPr>
            <w:r>
              <w:rPr>
                <w:rFonts w:ascii="Arial" w:cs="Arial" w:eastAsia="Arial" w:hAnsi="Arial"/>
                <w:sz w:val="13"/>
                <w:szCs w:val="13"/>
                <w:b w:val="1"/>
                <w:bCs w:val="1"/>
                <w:color w:val="F0533D"/>
              </w:rPr>
              <w:t>(#)</w:t>
            </w:r>
          </w:p>
        </w:tc>
        <w:tc>
          <w:tcPr>
            <w:tcW w:w="7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10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1100" w:type="dxa"/>
            <w:vAlign w:val="bottom"/>
            <w:tcBorders>
              <w:bottom w:val="single" w:sz="8" w:color="F0533D"/>
            </w:tcBorders>
          </w:tcPr>
          <w:p>
            <w:pPr>
              <w:jc w:val="right"/>
              <w:ind w:right="373"/>
              <w:spacing w:after="0"/>
              <w:rPr>
                <w:sz w:val="20"/>
                <w:szCs w:val="20"/>
                <w:color w:val="auto"/>
              </w:rPr>
            </w:pPr>
            <w:r>
              <w:rPr>
                <w:rFonts w:ascii="Arial" w:cs="Arial" w:eastAsia="Arial" w:hAnsi="Arial"/>
                <w:sz w:val="13"/>
                <w:szCs w:val="13"/>
                <w:b w:val="1"/>
                <w:bCs w:val="1"/>
                <w:color w:val="F0533D"/>
              </w:rPr>
              <w:t>(#)</w:t>
            </w:r>
          </w:p>
        </w:tc>
        <w:tc>
          <w:tcPr>
            <w:tcW w:w="120" w:type="dxa"/>
            <w:vAlign w:val="bottom"/>
            <w:tcBorders>
              <w:bottom w:val="single" w:sz="8" w:color="F0533D"/>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Edward</w:t>
            </w:r>
          </w:p>
        </w:tc>
        <w:tc>
          <w:tcPr>
            <w:tcW w:w="1040" w:type="dxa"/>
            <w:vAlign w:val="bottom"/>
            <w:tcBorders>
              <w:bottom w:val="single" w:sz="8" w:color="939598"/>
            </w:tcBorders>
          </w:tcPr>
          <w:p>
            <w:pPr>
              <w:jc w:val="right"/>
              <w:ind w:right="133"/>
              <w:spacing w:after="0"/>
              <w:rPr>
                <w:sz w:val="20"/>
                <w:szCs w:val="20"/>
                <w:color w:val="auto"/>
              </w:rPr>
            </w:pPr>
            <w:r>
              <w:rPr>
                <w:rFonts w:ascii="Arial" w:cs="Arial" w:eastAsia="Arial" w:hAnsi="Arial"/>
                <w:sz w:val="13"/>
                <w:szCs w:val="13"/>
                <w:color w:val="auto"/>
              </w:rPr>
              <w:t>12/16/2021</w:t>
            </w:r>
          </w:p>
        </w:tc>
        <w:tc>
          <w:tcPr>
            <w:tcW w:w="840" w:type="dxa"/>
            <w:vAlign w:val="bottom"/>
            <w:tcBorders>
              <w:bottom w:val="single" w:sz="8" w:color="939598"/>
            </w:tcBorders>
          </w:tcPr>
          <w:p>
            <w:pPr>
              <w:ind w:left="200"/>
              <w:spacing w:after="0"/>
              <w:rPr>
                <w:sz w:val="20"/>
                <w:szCs w:val="20"/>
                <w:color w:val="auto"/>
              </w:rPr>
            </w:pPr>
            <w:r>
              <w:rPr>
                <w:rFonts w:ascii="Arial" w:cs="Arial" w:eastAsia="Arial" w:hAnsi="Arial"/>
                <w:sz w:val="13"/>
                <w:szCs w:val="13"/>
                <w:color w:val="auto"/>
              </w:rPr>
              <w:t>91,721</w:t>
            </w: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w w:val="98"/>
              </w:rPr>
              <w:t>17.78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2/6/2031</w:t>
            </w:r>
          </w:p>
        </w:tc>
        <w:tc>
          <w:tcPr>
            <w:tcW w:w="4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920" w:type="dxa"/>
            <w:vAlign w:val="bottom"/>
            <w:vMerge w:val="continue"/>
          </w:tcPr>
          <w:p>
            <w:pPr>
              <w:spacing w:after="0"/>
              <w:rPr>
                <w:sz w:val="4"/>
                <w:szCs w:val="4"/>
                <w:color w:val="auto"/>
              </w:rPr>
            </w:pPr>
          </w:p>
        </w:tc>
        <w:tc>
          <w:tcPr>
            <w:tcW w:w="1040" w:type="dxa"/>
            <w:vAlign w:val="bottom"/>
            <w:vMerge w:val="restart"/>
          </w:tcPr>
          <w:p>
            <w:pPr>
              <w:jc w:val="right"/>
              <w:spacing w:after="0" w:line="209" w:lineRule="exact"/>
              <w:rPr>
                <w:sz w:val="20"/>
                <w:szCs w:val="20"/>
                <w:color w:val="auto"/>
              </w:rPr>
            </w:pPr>
            <w:r>
              <w:rPr>
                <w:rFonts w:ascii="Arial" w:cs="Arial" w:eastAsia="Arial" w:hAnsi="Arial"/>
                <w:sz w:val="13"/>
                <w:szCs w:val="13"/>
                <w:color w:val="auto"/>
              </w:rPr>
              <w:t>8/1/2022</w:t>
            </w:r>
            <w:r>
              <w:rPr>
                <w:rFonts w:ascii="Arial" w:cs="Arial" w:eastAsia="Arial" w:hAnsi="Arial"/>
                <w:sz w:val="22"/>
                <w:szCs w:val="22"/>
                <w:color w:val="auto"/>
                <w:vertAlign w:val="superscript"/>
              </w:rPr>
              <w:t>(3)</w:t>
            </w: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3"/>
                <w:szCs w:val="13"/>
                <w:color w:val="auto"/>
              </w:rPr>
              <w:t>12,365</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auto"/>
              </w:rPr>
              <w:t>162,229</w:t>
            </w: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Sebold</w:t>
            </w:r>
          </w:p>
        </w:tc>
        <w:tc>
          <w:tcPr>
            <w:tcW w:w="1040" w:type="dxa"/>
            <w:vAlign w:val="bottom"/>
            <w:tcBorders>
              <w:bottom w:val="single" w:sz="8" w:color="939598"/>
            </w:tcBorders>
            <w:vMerge w:val="continue"/>
          </w:tcPr>
          <w:p>
            <w:pPr>
              <w:spacing w:after="0"/>
              <w:rPr>
                <w:sz w:val="14"/>
                <w:szCs w:val="14"/>
                <w:color w:val="auto"/>
              </w:rPr>
            </w:pPr>
          </w:p>
        </w:tc>
        <w:tc>
          <w:tcPr>
            <w:tcW w:w="840" w:type="dxa"/>
            <w:vAlign w:val="bottom"/>
            <w:tcBorders>
              <w:bottom w:val="single" w:sz="8" w:color="939598"/>
            </w:tcBorders>
          </w:tcPr>
          <w:p>
            <w:pPr>
              <w:spacing w:after="0"/>
              <w:rPr>
                <w:sz w:val="14"/>
                <w:szCs w:val="14"/>
                <w:color w:val="auto"/>
              </w:rPr>
            </w:pPr>
          </w:p>
        </w:tc>
        <w:tc>
          <w:tcPr>
            <w:tcW w:w="980" w:type="dxa"/>
            <w:vAlign w:val="bottom"/>
            <w:tcBorders>
              <w:bottom w:val="single" w:sz="8" w:color="939598"/>
            </w:tcBorders>
          </w:tcPr>
          <w:p>
            <w:pPr>
              <w:spacing w:after="0"/>
              <w:rPr>
                <w:sz w:val="14"/>
                <w:szCs w:val="14"/>
                <w:color w:val="auto"/>
              </w:rPr>
            </w:pPr>
          </w:p>
        </w:tc>
        <w:tc>
          <w:tcPr>
            <w:tcW w:w="6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vMerge w:val="continue"/>
          </w:tcPr>
          <w:p>
            <w:pPr>
              <w:spacing w:after="0"/>
              <w:rPr>
                <w:sz w:val="14"/>
                <w:szCs w:val="14"/>
                <w:color w:val="auto"/>
              </w:rPr>
            </w:pPr>
          </w:p>
        </w:tc>
        <w:tc>
          <w:tcPr>
            <w:tcW w:w="700" w:type="dxa"/>
            <w:vAlign w:val="bottom"/>
            <w:tcBorders>
              <w:bottom w:val="single" w:sz="8" w:color="939598"/>
            </w:tcBorders>
            <w:vMerge w:val="continue"/>
          </w:tcPr>
          <w:p>
            <w:pPr>
              <w:spacing w:after="0"/>
              <w:rPr>
                <w:sz w:val="14"/>
                <w:szCs w:val="14"/>
                <w:color w:val="auto"/>
              </w:rPr>
            </w:pPr>
          </w:p>
        </w:tc>
        <w:tc>
          <w:tcPr>
            <w:tcW w:w="1060" w:type="dxa"/>
            <w:vAlign w:val="bottom"/>
            <w:tcBorders>
              <w:bottom w:val="single" w:sz="8" w:color="939598"/>
            </w:tcBorders>
          </w:tcPr>
          <w:p>
            <w:pPr>
              <w:spacing w:after="0"/>
              <w:rPr>
                <w:sz w:val="14"/>
                <w:szCs w:val="14"/>
                <w:color w:val="auto"/>
              </w:rPr>
            </w:pPr>
          </w:p>
        </w:tc>
        <w:tc>
          <w:tcPr>
            <w:tcW w:w="1100" w:type="dxa"/>
            <w:vAlign w:val="bottom"/>
            <w:tcBorders>
              <w:bottom w:val="single" w:sz="8" w:color="939598"/>
            </w:tcBorders>
          </w:tcPr>
          <w:p>
            <w:pPr>
              <w:spacing w:after="0"/>
              <w:rPr>
                <w:sz w:val="14"/>
                <w:szCs w:val="14"/>
                <w:color w:val="auto"/>
              </w:rPr>
            </w:pPr>
          </w:p>
        </w:tc>
        <w:tc>
          <w:tcPr>
            <w:tcW w:w="12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40" w:type="dxa"/>
            <w:vAlign w:val="bottom"/>
            <w:tcBorders>
              <w:bottom w:val="single" w:sz="8" w:color="939598"/>
            </w:tcBorders>
          </w:tcPr>
          <w:p>
            <w:pPr>
              <w:jc w:val="right"/>
              <w:spacing w:after="0" w:line="209" w:lineRule="exact"/>
              <w:rPr>
                <w:sz w:val="20"/>
                <w:szCs w:val="20"/>
                <w:color w:val="auto"/>
              </w:rPr>
            </w:pPr>
            <w:r>
              <w:rPr>
                <w:rFonts w:ascii="Arial" w:cs="Arial" w:eastAsia="Arial" w:hAnsi="Arial"/>
                <w:sz w:val="13"/>
                <w:szCs w:val="13"/>
                <w:color w:val="auto"/>
              </w:rPr>
              <w:t>8/1/2023</w:t>
            </w:r>
            <w:r>
              <w:rPr>
                <w:rFonts w:ascii="Arial" w:cs="Arial" w:eastAsia="Arial" w:hAnsi="Arial"/>
                <w:sz w:val="22"/>
                <w:szCs w:val="22"/>
                <w:color w:val="auto"/>
                <w:vertAlign w:val="superscript"/>
              </w:rPr>
              <w:t>(4)</w:t>
            </w:r>
          </w:p>
        </w:tc>
        <w:tc>
          <w:tcPr>
            <w:tcW w:w="84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center"/>
              <w:spacing w:after="0"/>
              <w:rPr>
                <w:sz w:val="20"/>
                <w:szCs w:val="20"/>
                <w:color w:val="auto"/>
              </w:rPr>
            </w:pPr>
            <w:r>
              <w:rPr>
                <w:rFonts w:ascii="Arial" w:cs="Arial" w:eastAsia="Arial" w:hAnsi="Arial"/>
                <w:sz w:val="13"/>
                <w:szCs w:val="13"/>
                <w:color w:val="auto"/>
              </w:rPr>
              <w:t>19,634</w:t>
            </w:r>
          </w:p>
        </w:tc>
        <w:tc>
          <w:tcPr>
            <w:tcW w:w="7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257,598</w:t>
            </w:r>
          </w:p>
        </w:tc>
        <w:tc>
          <w:tcPr>
            <w:tcW w:w="10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040" w:type="dxa"/>
            <w:vAlign w:val="bottom"/>
            <w:tcBorders>
              <w:bottom w:val="single" w:sz="8" w:color="939598"/>
            </w:tcBorders>
          </w:tcPr>
          <w:p>
            <w:pPr>
              <w:jc w:val="right"/>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(5)</w:t>
            </w:r>
          </w:p>
        </w:tc>
        <w:tc>
          <w:tcPr>
            <w:tcW w:w="84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center"/>
              <w:spacing w:after="0"/>
              <w:rPr>
                <w:sz w:val="20"/>
                <w:szCs w:val="20"/>
                <w:color w:val="auto"/>
              </w:rPr>
            </w:pPr>
            <w:r>
              <w:rPr>
                <w:rFonts w:ascii="Arial" w:cs="Arial" w:eastAsia="Arial" w:hAnsi="Arial"/>
                <w:sz w:val="13"/>
                <w:szCs w:val="13"/>
                <w:color w:val="auto"/>
              </w:rPr>
              <w:t>14,876</w:t>
            </w:r>
          </w:p>
        </w:tc>
        <w:tc>
          <w:tcPr>
            <w:tcW w:w="7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195,173</w:t>
            </w:r>
          </w:p>
        </w:tc>
        <w:tc>
          <w:tcPr>
            <w:tcW w:w="10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F0533D"/>
            </w:tcBorders>
          </w:tcPr>
          <w:p>
            <w:pPr>
              <w:spacing w:after="0"/>
              <w:rPr>
                <w:sz w:val="18"/>
                <w:szCs w:val="18"/>
                <w:color w:val="auto"/>
              </w:rPr>
            </w:pPr>
          </w:p>
        </w:tc>
        <w:tc>
          <w:tcPr>
            <w:tcW w:w="1040" w:type="dxa"/>
            <w:vAlign w:val="bottom"/>
            <w:tcBorders>
              <w:bottom w:val="single" w:sz="8" w:color="F0533D"/>
            </w:tcBorders>
          </w:tcPr>
          <w:p>
            <w:pPr>
              <w:jc w:val="right"/>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(6)</w:t>
            </w:r>
          </w:p>
        </w:tc>
        <w:tc>
          <w:tcPr>
            <w:tcW w:w="840" w:type="dxa"/>
            <w:vAlign w:val="bottom"/>
            <w:tcBorders>
              <w:bottom w:val="single" w:sz="8" w:color="F0533D"/>
            </w:tcBorders>
          </w:tcPr>
          <w:p>
            <w:pPr>
              <w:spacing w:after="0"/>
              <w:rPr>
                <w:sz w:val="18"/>
                <w:szCs w:val="18"/>
                <w:color w:val="auto"/>
              </w:rPr>
            </w:pPr>
          </w:p>
        </w:tc>
        <w:tc>
          <w:tcPr>
            <w:tcW w:w="980" w:type="dxa"/>
            <w:vAlign w:val="bottom"/>
            <w:tcBorders>
              <w:bottom w:val="single" w:sz="8" w:color="F0533D"/>
            </w:tcBorders>
          </w:tcPr>
          <w:p>
            <w:pPr>
              <w:spacing w:after="0"/>
              <w:rPr>
                <w:sz w:val="18"/>
                <w:szCs w:val="18"/>
                <w:color w:val="auto"/>
              </w:rPr>
            </w:pPr>
          </w:p>
        </w:tc>
        <w:tc>
          <w:tcPr>
            <w:tcW w:w="620" w:type="dxa"/>
            <w:vAlign w:val="bottom"/>
            <w:tcBorders>
              <w:bottom w:val="single" w:sz="8" w:color="F0533D"/>
            </w:tcBorders>
          </w:tcPr>
          <w:p>
            <w:pPr>
              <w:spacing w:after="0"/>
              <w:rPr>
                <w:sz w:val="18"/>
                <w:szCs w:val="18"/>
                <w:color w:val="auto"/>
              </w:rPr>
            </w:pPr>
          </w:p>
        </w:tc>
        <w:tc>
          <w:tcPr>
            <w:tcW w:w="720" w:type="dxa"/>
            <w:vAlign w:val="bottom"/>
            <w:tcBorders>
              <w:bottom w:val="single" w:sz="8" w:color="F0533D"/>
            </w:tcBorders>
          </w:tcPr>
          <w:p>
            <w:pPr>
              <w:spacing w:after="0"/>
              <w:rPr>
                <w:sz w:val="18"/>
                <w:szCs w:val="18"/>
                <w:color w:val="auto"/>
              </w:rPr>
            </w:pPr>
          </w:p>
        </w:tc>
        <w:tc>
          <w:tcPr>
            <w:tcW w:w="40" w:type="dxa"/>
            <w:vAlign w:val="bottom"/>
            <w:tcBorders>
              <w:bottom w:val="single" w:sz="8" w:color="F0533D"/>
            </w:tcBorders>
          </w:tcPr>
          <w:p>
            <w:pPr>
              <w:spacing w:after="0"/>
              <w:rPr>
                <w:sz w:val="18"/>
                <w:szCs w:val="18"/>
                <w:color w:val="auto"/>
              </w:rPr>
            </w:pPr>
          </w:p>
        </w:tc>
        <w:tc>
          <w:tcPr>
            <w:tcW w:w="720" w:type="dxa"/>
            <w:vAlign w:val="bottom"/>
            <w:tcBorders>
              <w:bottom w:val="single" w:sz="8" w:color="F0533D"/>
            </w:tcBorders>
          </w:tcPr>
          <w:p>
            <w:pPr>
              <w:spacing w:after="0"/>
              <w:rPr>
                <w:sz w:val="18"/>
                <w:szCs w:val="18"/>
                <w:color w:val="auto"/>
              </w:rPr>
            </w:pPr>
          </w:p>
        </w:tc>
        <w:tc>
          <w:tcPr>
            <w:tcW w:w="700" w:type="dxa"/>
            <w:vAlign w:val="bottom"/>
            <w:tcBorders>
              <w:bottom w:val="single" w:sz="8" w:color="F0533D"/>
            </w:tcBorders>
          </w:tcPr>
          <w:p>
            <w:pPr>
              <w:spacing w:after="0"/>
              <w:rPr>
                <w:sz w:val="18"/>
                <w:szCs w:val="18"/>
                <w:color w:val="auto"/>
              </w:rPr>
            </w:pPr>
          </w:p>
        </w:tc>
        <w:tc>
          <w:tcPr>
            <w:tcW w:w="10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19,816</w:t>
            </w:r>
          </w:p>
        </w:tc>
        <w:tc>
          <w:tcPr>
            <w:tcW w:w="1100" w:type="dxa"/>
            <w:vAlign w:val="bottom"/>
            <w:tcBorders>
              <w:bottom w:val="single" w:sz="8" w:color="F0533D"/>
            </w:tcBorders>
          </w:tcPr>
          <w:p>
            <w:pPr>
              <w:jc w:val="right"/>
              <w:ind w:right="213"/>
              <w:spacing w:after="0"/>
              <w:rPr>
                <w:sz w:val="20"/>
                <w:szCs w:val="20"/>
                <w:color w:val="auto"/>
              </w:rPr>
            </w:pPr>
            <w:r>
              <w:rPr>
                <w:rFonts w:ascii="Arial" w:cs="Arial" w:eastAsia="Arial" w:hAnsi="Arial"/>
                <w:sz w:val="13"/>
                <w:szCs w:val="13"/>
                <w:color w:val="auto"/>
              </w:rPr>
              <w:t>259,986</w:t>
            </w:r>
          </w:p>
        </w:tc>
        <w:tc>
          <w:tcPr>
            <w:tcW w:w="120" w:type="dxa"/>
            <w:vAlign w:val="bottom"/>
            <w:tcBorders>
              <w:bottom w:val="single" w:sz="8" w:color="F0533D"/>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vMerge w:val="restart"/>
          </w:tcPr>
          <w:p>
            <w:pPr>
              <w:ind w:left="140"/>
              <w:spacing w:after="0"/>
              <w:rPr>
                <w:sz w:val="20"/>
                <w:szCs w:val="20"/>
                <w:color w:val="auto"/>
              </w:rPr>
            </w:pPr>
            <w:r>
              <w:rPr>
                <w:rFonts w:ascii="Arial" w:cs="Arial" w:eastAsia="Arial" w:hAnsi="Arial"/>
                <w:sz w:val="13"/>
                <w:szCs w:val="13"/>
                <w:b w:val="1"/>
                <w:bCs w:val="1"/>
                <w:color w:val="auto"/>
              </w:rPr>
              <w:t>Vineet</w:t>
            </w:r>
          </w:p>
        </w:tc>
        <w:tc>
          <w:tcPr>
            <w:tcW w:w="1040" w:type="dxa"/>
            <w:vAlign w:val="bottom"/>
            <w:tcBorders>
              <w:bottom w:val="single" w:sz="8" w:color="939598"/>
            </w:tcBorders>
          </w:tcPr>
          <w:p>
            <w:pPr>
              <w:jc w:val="right"/>
              <w:ind w:right="133"/>
              <w:spacing w:after="0"/>
              <w:rPr>
                <w:sz w:val="20"/>
                <w:szCs w:val="20"/>
                <w:color w:val="auto"/>
              </w:rPr>
            </w:pPr>
            <w:r>
              <w:rPr>
                <w:rFonts w:ascii="Arial" w:cs="Arial" w:eastAsia="Arial" w:hAnsi="Arial"/>
                <w:sz w:val="13"/>
                <w:szCs w:val="13"/>
                <w:color w:val="auto"/>
              </w:rPr>
              <w:t>12/16/2021</w:t>
            </w:r>
          </w:p>
        </w:tc>
        <w:tc>
          <w:tcPr>
            <w:tcW w:w="840" w:type="dxa"/>
            <w:vAlign w:val="bottom"/>
            <w:tcBorders>
              <w:bottom w:val="single" w:sz="8" w:color="939598"/>
            </w:tcBorders>
          </w:tcPr>
          <w:p>
            <w:pPr>
              <w:ind w:left="200"/>
              <w:spacing w:after="0"/>
              <w:rPr>
                <w:sz w:val="20"/>
                <w:szCs w:val="20"/>
                <w:color w:val="auto"/>
              </w:rPr>
            </w:pPr>
            <w:r>
              <w:rPr>
                <w:rFonts w:ascii="Arial" w:cs="Arial" w:eastAsia="Arial" w:hAnsi="Arial"/>
                <w:sz w:val="13"/>
                <w:szCs w:val="13"/>
                <w:color w:val="auto"/>
              </w:rPr>
              <w:t>11,466</w:t>
            </w: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w w:val="98"/>
              </w:rPr>
              <w:t>17.78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12/16/2031</w:t>
            </w:r>
          </w:p>
        </w:tc>
        <w:tc>
          <w:tcPr>
            <w:tcW w:w="4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920" w:type="dxa"/>
            <w:vAlign w:val="bottom"/>
            <w:vMerge w:val="continue"/>
          </w:tcPr>
          <w:p>
            <w:pPr>
              <w:spacing w:after="0"/>
              <w:rPr>
                <w:sz w:val="4"/>
                <w:szCs w:val="4"/>
                <w:color w:val="auto"/>
              </w:rPr>
            </w:pPr>
          </w:p>
        </w:tc>
        <w:tc>
          <w:tcPr>
            <w:tcW w:w="1040" w:type="dxa"/>
            <w:vAlign w:val="bottom"/>
            <w:vMerge w:val="restart"/>
          </w:tcPr>
          <w:p>
            <w:pPr>
              <w:jc w:val="right"/>
              <w:spacing w:after="0" w:line="209" w:lineRule="exact"/>
              <w:rPr>
                <w:sz w:val="20"/>
                <w:szCs w:val="20"/>
                <w:color w:val="auto"/>
              </w:rPr>
            </w:pPr>
            <w:r>
              <w:rPr>
                <w:rFonts w:ascii="Arial" w:cs="Arial" w:eastAsia="Arial" w:hAnsi="Arial"/>
                <w:sz w:val="13"/>
                <w:szCs w:val="13"/>
                <w:color w:val="auto"/>
              </w:rPr>
              <w:t>8/1/2022</w:t>
            </w:r>
            <w:r>
              <w:rPr>
                <w:rFonts w:ascii="Arial" w:cs="Arial" w:eastAsia="Arial" w:hAnsi="Arial"/>
                <w:sz w:val="22"/>
                <w:szCs w:val="22"/>
                <w:color w:val="auto"/>
                <w:vertAlign w:val="superscript"/>
              </w:rPr>
              <w:t>(3)</w:t>
            </w: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gridSpan w:val="2"/>
            <w:vMerge w:val="restart"/>
          </w:tcPr>
          <w:p>
            <w:pPr>
              <w:jc w:val="right"/>
              <w:ind w:right="113"/>
              <w:spacing w:after="0"/>
              <w:rPr>
                <w:sz w:val="20"/>
                <w:szCs w:val="20"/>
                <w:color w:val="auto"/>
              </w:rPr>
            </w:pPr>
            <w:r>
              <w:rPr>
                <w:rFonts w:ascii="Arial" w:cs="Arial" w:eastAsia="Arial" w:hAnsi="Arial"/>
                <w:sz w:val="13"/>
                <w:szCs w:val="13"/>
                <w:color w:val="auto"/>
              </w:rPr>
              <w:t>6,183</w:t>
            </w:r>
          </w:p>
        </w:tc>
        <w:tc>
          <w:tcPr>
            <w:tcW w:w="700" w:type="dxa"/>
            <w:vAlign w:val="bottom"/>
            <w:vMerge w:val="restart"/>
          </w:tcPr>
          <w:p>
            <w:pPr>
              <w:jc w:val="right"/>
              <w:ind w:right="53"/>
              <w:spacing w:after="0"/>
              <w:rPr>
                <w:sz w:val="20"/>
                <w:szCs w:val="20"/>
                <w:color w:val="auto"/>
              </w:rPr>
            </w:pPr>
            <w:r>
              <w:rPr>
                <w:rFonts w:ascii="Arial" w:cs="Arial" w:eastAsia="Arial" w:hAnsi="Arial"/>
                <w:sz w:val="13"/>
                <w:szCs w:val="13"/>
                <w:color w:val="auto"/>
              </w:rPr>
              <w:t>81,121</w:t>
            </w: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920" w:type="dxa"/>
            <w:vAlign w:val="bottom"/>
          </w:tcPr>
          <w:p>
            <w:pPr>
              <w:ind w:left="140"/>
              <w:spacing w:after="0"/>
              <w:rPr>
                <w:sz w:val="20"/>
                <w:szCs w:val="20"/>
                <w:color w:val="auto"/>
              </w:rPr>
            </w:pPr>
            <w:r>
              <w:rPr>
                <w:rFonts w:ascii="Arial" w:cs="Arial" w:eastAsia="Arial" w:hAnsi="Arial"/>
                <w:sz w:val="13"/>
                <w:szCs w:val="13"/>
                <w:b w:val="1"/>
                <w:bCs w:val="1"/>
                <w:color w:val="auto"/>
              </w:rPr>
              <w:t>Khurana</w:t>
            </w:r>
          </w:p>
        </w:tc>
        <w:tc>
          <w:tcPr>
            <w:tcW w:w="1040" w:type="dxa"/>
            <w:vAlign w:val="bottom"/>
            <w:tcBorders>
              <w:bottom w:val="single" w:sz="8" w:color="939598"/>
            </w:tcBorders>
            <w:vMerge w:val="continue"/>
          </w:tcPr>
          <w:p>
            <w:pPr>
              <w:spacing w:after="0"/>
              <w:rPr>
                <w:sz w:val="14"/>
                <w:szCs w:val="14"/>
                <w:color w:val="auto"/>
              </w:rPr>
            </w:pPr>
          </w:p>
        </w:tc>
        <w:tc>
          <w:tcPr>
            <w:tcW w:w="840" w:type="dxa"/>
            <w:vAlign w:val="bottom"/>
            <w:tcBorders>
              <w:bottom w:val="single" w:sz="8" w:color="939598"/>
            </w:tcBorders>
          </w:tcPr>
          <w:p>
            <w:pPr>
              <w:spacing w:after="0"/>
              <w:rPr>
                <w:sz w:val="14"/>
                <w:szCs w:val="14"/>
                <w:color w:val="auto"/>
              </w:rPr>
            </w:pPr>
          </w:p>
        </w:tc>
        <w:tc>
          <w:tcPr>
            <w:tcW w:w="980" w:type="dxa"/>
            <w:vAlign w:val="bottom"/>
            <w:tcBorders>
              <w:bottom w:val="single" w:sz="8" w:color="939598"/>
            </w:tcBorders>
          </w:tcPr>
          <w:p>
            <w:pPr>
              <w:spacing w:after="0"/>
              <w:rPr>
                <w:sz w:val="14"/>
                <w:szCs w:val="14"/>
                <w:color w:val="auto"/>
              </w:rPr>
            </w:pPr>
          </w:p>
        </w:tc>
        <w:tc>
          <w:tcPr>
            <w:tcW w:w="620" w:type="dxa"/>
            <w:vAlign w:val="bottom"/>
            <w:tcBorders>
              <w:bottom w:val="single" w:sz="8" w:color="939598"/>
            </w:tcBorders>
          </w:tcPr>
          <w:p>
            <w:pPr>
              <w:spacing w:after="0"/>
              <w:rPr>
                <w:sz w:val="14"/>
                <w:szCs w:val="14"/>
                <w:color w:val="auto"/>
              </w:rPr>
            </w:pPr>
          </w:p>
        </w:tc>
        <w:tc>
          <w:tcPr>
            <w:tcW w:w="720" w:type="dxa"/>
            <w:vAlign w:val="bottom"/>
            <w:tcBorders>
              <w:bottom w:val="single" w:sz="8" w:color="939598"/>
            </w:tcBorders>
          </w:tcPr>
          <w:p>
            <w:pPr>
              <w:spacing w:after="0"/>
              <w:rPr>
                <w:sz w:val="14"/>
                <w:szCs w:val="14"/>
                <w:color w:val="auto"/>
              </w:rPr>
            </w:pPr>
          </w:p>
        </w:tc>
        <w:tc>
          <w:tcPr>
            <w:tcW w:w="760" w:type="dxa"/>
            <w:vAlign w:val="bottom"/>
            <w:tcBorders>
              <w:bottom w:val="single" w:sz="8" w:color="939598"/>
            </w:tcBorders>
            <w:gridSpan w:val="2"/>
            <w:vMerge w:val="continue"/>
          </w:tcPr>
          <w:p>
            <w:pPr>
              <w:spacing w:after="0"/>
              <w:rPr>
                <w:sz w:val="14"/>
                <w:szCs w:val="14"/>
                <w:color w:val="auto"/>
              </w:rPr>
            </w:pPr>
          </w:p>
        </w:tc>
        <w:tc>
          <w:tcPr>
            <w:tcW w:w="700" w:type="dxa"/>
            <w:vAlign w:val="bottom"/>
            <w:tcBorders>
              <w:bottom w:val="single" w:sz="8" w:color="939598"/>
            </w:tcBorders>
            <w:vMerge w:val="continue"/>
          </w:tcPr>
          <w:p>
            <w:pPr>
              <w:spacing w:after="0"/>
              <w:rPr>
                <w:sz w:val="14"/>
                <w:szCs w:val="14"/>
                <w:color w:val="auto"/>
              </w:rPr>
            </w:pPr>
          </w:p>
        </w:tc>
        <w:tc>
          <w:tcPr>
            <w:tcW w:w="1060" w:type="dxa"/>
            <w:vAlign w:val="bottom"/>
            <w:tcBorders>
              <w:bottom w:val="single" w:sz="8" w:color="939598"/>
            </w:tcBorders>
          </w:tcPr>
          <w:p>
            <w:pPr>
              <w:spacing w:after="0"/>
              <w:rPr>
                <w:sz w:val="14"/>
                <w:szCs w:val="14"/>
                <w:color w:val="auto"/>
              </w:rPr>
            </w:pPr>
          </w:p>
        </w:tc>
        <w:tc>
          <w:tcPr>
            <w:tcW w:w="1100" w:type="dxa"/>
            <w:vAlign w:val="bottom"/>
            <w:tcBorders>
              <w:bottom w:val="single" w:sz="8" w:color="939598"/>
            </w:tcBorders>
          </w:tcPr>
          <w:p>
            <w:pPr>
              <w:spacing w:after="0"/>
              <w:rPr>
                <w:sz w:val="14"/>
                <w:szCs w:val="14"/>
                <w:color w:val="auto"/>
              </w:rPr>
            </w:pPr>
          </w:p>
        </w:tc>
        <w:tc>
          <w:tcPr>
            <w:tcW w:w="120" w:type="dxa"/>
            <w:vAlign w:val="bottom"/>
            <w:tcBorders>
              <w:bottom w:val="single" w:sz="8" w:color="939598"/>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40" w:type="dxa"/>
            <w:vAlign w:val="bottom"/>
            <w:tcBorders>
              <w:bottom w:val="single" w:sz="8" w:color="939598"/>
            </w:tcBorders>
          </w:tcPr>
          <w:p>
            <w:pPr>
              <w:jc w:val="right"/>
              <w:spacing w:after="0" w:line="209" w:lineRule="exact"/>
              <w:rPr>
                <w:sz w:val="20"/>
                <w:szCs w:val="20"/>
                <w:color w:val="auto"/>
              </w:rPr>
            </w:pPr>
            <w:r>
              <w:rPr>
                <w:rFonts w:ascii="Arial" w:cs="Arial" w:eastAsia="Arial" w:hAnsi="Arial"/>
                <w:sz w:val="13"/>
                <w:szCs w:val="13"/>
                <w:color w:val="auto"/>
              </w:rPr>
              <w:t>8/1/2023</w:t>
            </w:r>
            <w:r>
              <w:rPr>
                <w:rFonts w:ascii="Arial" w:cs="Arial" w:eastAsia="Arial" w:hAnsi="Arial"/>
                <w:sz w:val="22"/>
                <w:szCs w:val="22"/>
                <w:color w:val="auto"/>
                <w:vertAlign w:val="superscript"/>
              </w:rPr>
              <w:t>(4)</w:t>
            </w:r>
          </w:p>
        </w:tc>
        <w:tc>
          <w:tcPr>
            <w:tcW w:w="84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113"/>
              <w:spacing w:after="0"/>
              <w:rPr>
                <w:sz w:val="20"/>
                <w:szCs w:val="20"/>
                <w:color w:val="auto"/>
              </w:rPr>
            </w:pPr>
            <w:r>
              <w:rPr>
                <w:rFonts w:ascii="Arial" w:cs="Arial" w:eastAsia="Arial" w:hAnsi="Arial"/>
                <w:sz w:val="13"/>
                <w:szCs w:val="13"/>
                <w:color w:val="auto"/>
              </w:rPr>
              <w:t>9,817</w:t>
            </w:r>
          </w:p>
        </w:tc>
        <w:tc>
          <w:tcPr>
            <w:tcW w:w="70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128,799</w:t>
            </w:r>
          </w:p>
        </w:tc>
        <w:tc>
          <w:tcPr>
            <w:tcW w:w="10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040" w:type="dxa"/>
            <w:vAlign w:val="bottom"/>
            <w:tcBorders>
              <w:bottom w:val="single" w:sz="8" w:color="939598"/>
            </w:tcBorders>
          </w:tcPr>
          <w:p>
            <w:pPr>
              <w:jc w:val="right"/>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(5)</w:t>
            </w:r>
          </w:p>
        </w:tc>
        <w:tc>
          <w:tcPr>
            <w:tcW w:w="84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113"/>
              <w:spacing w:after="0"/>
              <w:rPr>
                <w:sz w:val="20"/>
                <w:szCs w:val="20"/>
                <w:color w:val="auto"/>
              </w:rPr>
            </w:pPr>
            <w:r>
              <w:rPr>
                <w:rFonts w:ascii="Arial" w:cs="Arial" w:eastAsia="Arial" w:hAnsi="Arial"/>
                <w:sz w:val="13"/>
                <w:szCs w:val="13"/>
                <w:color w:val="auto"/>
              </w:rPr>
              <w:t>7,438</w:t>
            </w:r>
          </w:p>
        </w:tc>
        <w:tc>
          <w:tcPr>
            <w:tcW w:w="70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97,587</w:t>
            </w:r>
          </w:p>
        </w:tc>
        <w:tc>
          <w:tcPr>
            <w:tcW w:w="10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040" w:type="dxa"/>
            <w:vAlign w:val="bottom"/>
            <w:tcBorders>
              <w:bottom w:val="single" w:sz="8" w:color="939598"/>
            </w:tcBorders>
          </w:tcPr>
          <w:p>
            <w:pPr>
              <w:jc w:val="right"/>
              <w:spacing w:after="0" w:line="209" w:lineRule="exact"/>
              <w:rPr>
                <w:sz w:val="20"/>
                <w:szCs w:val="20"/>
                <w:color w:val="auto"/>
              </w:rPr>
            </w:pPr>
            <w:r>
              <w:rPr>
                <w:rFonts w:ascii="Arial" w:cs="Arial" w:eastAsia="Arial" w:hAnsi="Arial"/>
                <w:sz w:val="13"/>
                <w:szCs w:val="13"/>
                <w:color w:val="auto"/>
              </w:rPr>
              <w:t>6/3/2024</w:t>
            </w:r>
            <w:r>
              <w:rPr>
                <w:rFonts w:ascii="Arial" w:cs="Arial" w:eastAsia="Arial" w:hAnsi="Arial"/>
                <w:sz w:val="22"/>
                <w:szCs w:val="22"/>
                <w:color w:val="auto"/>
                <w:vertAlign w:val="superscript"/>
              </w:rPr>
              <w:t>(6)</w:t>
            </w:r>
          </w:p>
        </w:tc>
        <w:tc>
          <w:tcPr>
            <w:tcW w:w="84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4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jc w:val="center"/>
              <w:spacing w:after="0"/>
              <w:rPr>
                <w:sz w:val="20"/>
                <w:szCs w:val="20"/>
                <w:color w:val="auto"/>
              </w:rPr>
            </w:pPr>
            <w:r>
              <w:rPr>
                <w:rFonts w:ascii="Arial" w:cs="Arial" w:eastAsia="Arial" w:hAnsi="Arial"/>
                <w:sz w:val="13"/>
                <w:szCs w:val="13"/>
                <w:color w:val="auto"/>
              </w:rPr>
              <w:t>16,138</w:t>
            </w:r>
          </w:p>
        </w:tc>
        <w:tc>
          <w:tcPr>
            <w:tcW w:w="1100" w:type="dxa"/>
            <w:vAlign w:val="bottom"/>
            <w:tcBorders>
              <w:bottom w:val="single" w:sz="8" w:color="939598"/>
            </w:tcBorders>
          </w:tcPr>
          <w:p>
            <w:pPr>
              <w:jc w:val="right"/>
              <w:ind w:right="213"/>
              <w:spacing w:after="0"/>
              <w:rPr>
                <w:sz w:val="20"/>
                <w:szCs w:val="20"/>
                <w:color w:val="auto"/>
              </w:rPr>
            </w:pPr>
            <w:r>
              <w:rPr>
                <w:rFonts w:ascii="Arial" w:cs="Arial" w:eastAsia="Arial" w:hAnsi="Arial"/>
                <w:sz w:val="13"/>
                <w:szCs w:val="13"/>
                <w:color w:val="auto"/>
              </w:rPr>
              <w:t>211,731</w:t>
            </w: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40" w:type="dxa"/>
            <w:vAlign w:val="bottom"/>
            <w:tcBorders>
              <w:bottom w:val="single" w:sz="8" w:color="939598"/>
            </w:tcBorders>
          </w:tcPr>
          <w:p>
            <w:pPr>
              <w:jc w:val="right"/>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(7)</w:t>
            </w:r>
          </w:p>
        </w:tc>
        <w:tc>
          <w:tcPr>
            <w:tcW w:w="84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60" w:type="dxa"/>
            <w:vAlign w:val="bottom"/>
            <w:tcBorders>
              <w:bottom w:val="single" w:sz="8" w:color="939598"/>
            </w:tcBorders>
            <w:gridSpan w:val="2"/>
          </w:tcPr>
          <w:p>
            <w:pPr>
              <w:jc w:val="right"/>
              <w:ind w:right="113"/>
              <w:spacing w:after="0"/>
              <w:rPr>
                <w:sz w:val="20"/>
                <w:szCs w:val="20"/>
                <w:color w:val="auto"/>
              </w:rPr>
            </w:pPr>
            <w:r>
              <w:rPr>
                <w:rFonts w:ascii="Arial" w:cs="Arial" w:eastAsia="Arial" w:hAnsi="Arial"/>
                <w:sz w:val="13"/>
                <w:szCs w:val="13"/>
                <w:color w:val="auto"/>
              </w:rPr>
              <w:t>7,236</w:t>
            </w:r>
          </w:p>
        </w:tc>
        <w:tc>
          <w:tcPr>
            <w:tcW w:w="700" w:type="dxa"/>
            <w:vAlign w:val="bottom"/>
            <w:tcBorders>
              <w:bottom w:val="single" w:sz="8" w:color="939598"/>
            </w:tcBorders>
          </w:tcPr>
          <w:p>
            <w:pPr>
              <w:jc w:val="right"/>
              <w:ind w:right="53"/>
              <w:spacing w:after="0"/>
              <w:rPr>
                <w:sz w:val="20"/>
                <w:szCs w:val="20"/>
                <w:color w:val="auto"/>
              </w:rPr>
            </w:pPr>
            <w:r>
              <w:rPr>
                <w:rFonts w:ascii="Arial" w:cs="Arial" w:eastAsia="Arial" w:hAnsi="Arial"/>
                <w:sz w:val="13"/>
                <w:szCs w:val="13"/>
                <w:color w:val="auto"/>
              </w:rPr>
              <w:t>94,936</w:t>
            </w:r>
          </w:p>
        </w:tc>
        <w:tc>
          <w:tcPr>
            <w:tcW w:w="1060" w:type="dxa"/>
            <w:vAlign w:val="bottom"/>
            <w:tcBorders>
              <w:bottom w:val="single" w:sz="8" w:color="939598"/>
            </w:tcBorders>
          </w:tcPr>
          <w:p>
            <w:pPr>
              <w:spacing w:after="0"/>
              <w:rPr>
                <w:sz w:val="18"/>
                <w:szCs w:val="18"/>
                <w:color w:val="auto"/>
              </w:rPr>
            </w:pPr>
          </w:p>
        </w:tc>
        <w:tc>
          <w:tcPr>
            <w:tcW w:w="1100" w:type="dxa"/>
            <w:vAlign w:val="bottom"/>
            <w:tcBorders>
              <w:bottom w:val="single" w:sz="8" w:color="939598"/>
            </w:tcBorders>
          </w:tcPr>
          <w:p>
            <w:pPr>
              <w:spacing w:after="0"/>
              <w:rPr>
                <w:sz w:val="18"/>
                <w:szCs w:val="18"/>
                <w:color w:val="auto"/>
              </w:rPr>
            </w:pP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1040" w:type="dxa"/>
            <w:vAlign w:val="bottom"/>
            <w:tcBorders>
              <w:bottom w:val="single" w:sz="8" w:color="939598"/>
            </w:tcBorders>
          </w:tcPr>
          <w:p>
            <w:pPr>
              <w:jc w:val="right"/>
              <w:spacing w:after="0" w:line="209"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(8)</w:t>
            </w:r>
          </w:p>
        </w:tc>
        <w:tc>
          <w:tcPr>
            <w:tcW w:w="840" w:type="dxa"/>
            <w:vAlign w:val="bottom"/>
            <w:tcBorders>
              <w:bottom w:val="single" w:sz="8" w:color="939598"/>
            </w:tcBorders>
          </w:tcPr>
          <w:p>
            <w:pPr>
              <w:spacing w:after="0"/>
              <w:rPr>
                <w:sz w:val="18"/>
                <w:szCs w:val="18"/>
                <w:color w:val="auto"/>
              </w:rPr>
            </w:pPr>
          </w:p>
        </w:tc>
        <w:tc>
          <w:tcPr>
            <w:tcW w:w="98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40" w:type="dxa"/>
            <w:vAlign w:val="bottom"/>
            <w:tcBorders>
              <w:bottom w:val="single" w:sz="8" w:color="939598"/>
            </w:tcBorders>
          </w:tcPr>
          <w:p>
            <w:pPr>
              <w:spacing w:after="0"/>
              <w:rPr>
                <w:sz w:val="18"/>
                <w:szCs w:val="18"/>
                <w:color w:val="auto"/>
              </w:rPr>
            </w:pPr>
          </w:p>
        </w:tc>
        <w:tc>
          <w:tcPr>
            <w:tcW w:w="720" w:type="dxa"/>
            <w:vAlign w:val="bottom"/>
            <w:tcBorders>
              <w:bottom w:val="single" w:sz="8" w:color="939598"/>
            </w:tcBorders>
          </w:tcPr>
          <w:p>
            <w:pPr>
              <w:spacing w:after="0"/>
              <w:rPr>
                <w:sz w:val="18"/>
                <w:szCs w:val="18"/>
                <w:color w:val="auto"/>
              </w:rPr>
            </w:pPr>
          </w:p>
        </w:tc>
        <w:tc>
          <w:tcPr>
            <w:tcW w:w="700" w:type="dxa"/>
            <w:vAlign w:val="bottom"/>
            <w:tcBorders>
              <w:bottom w:val="single" w:sz="8" w:color="939598"/>
            </w:tcBorders>
          </w:tcPr>
          <w:p>
            <w:pPr>
              <w:spacing w:after="0"/>
              <w:rPr>
                <w:sz w:val="18"/>
                <w:szCs w:val="18"/>
                <w:color w:val="auto"/>
              </w:rPr>
            </w:pPr>
          </w:p>
        </w:tc>
        <w:tc>
          <w:tcPr>
            <w:tcW w:w="1060" w:type="dxa"/>
            <w:vAlign w:val="bottom"/>
            <w:tcBorders>
              <w:bottom w:val="single" w:sz="8" w:color="939598"/>
            </w:tcBorders>
          </w:tcPr>
          <w:p>
            <w:pPr>
              <w:jc w:val="right"/>
              <w:ind w:right="254"/>
              <w:spacing w:after="0"/>
              <w:rPr>
                <w:sz w:val="20"/>
                <w:szCs w:val="20"/>
                <w:color w:val="auto"/>
              </w:rPr>
            </w:pPr>
            <w:r>
              <w:rPr>
                <w:rFonts w:ascii="Arial" w:cs="Arial" w:eastAsia="Arial" w:hAnsi="Arial"/>
                <w:sz w:val="13"/>
                <w:szCs w:val="13"/>
                <w:color w:val="auto"/>
              </w:rPr>
              <w:t>6,588</w:t>
            </w:r>
          </w:p>
        </w:tc>
        <w:tc>
          <w:tcPr>
            <w:tcW w:w="1100" w:type="dxa"/>
            <w:vAlign w:val="bottom"/>
            <w:tcBorders>
              <w:bottom w:val="single" w:sz="8" w:color="939598"/>
            </w:tcBorders>
          </w:tcPr>
          <w:p>
            <w:pPr>
              <w:jc w:val="right"/>
              <w:ind w:right="213"/>
              <w:spacing w:after="0"/>
              <w:rPr>
                <w:sz w:val="20"/>
                <w:szCs w:val="20"/>
                <w:color w:val="auto"/>
              </w:rPr>
            </w:pPr>
            <w:r>
              <w:rPr>
                <w:rFonts w:ascii="Arial" w:cs="Arial" w:eastAsia="Arial" w:hAnsi="Arial"/>
                <w:sz w:val="13"/>
                <w:szCs w:val="13"/>
                <w:color w:val="auto"/>
              </w:rPr>
              <w:t>86,435</w:t>
            </w:r>
          </w:p>
        </w:tc>
        <w:tc>
          <w:tcPr>
            <w:tcW w:w="120" w:type="dxa"/>
            <w:vAlign w:val="bottom"/>
            <w:tcBorders>
              <w:bottom w:val="single" w:sz="8" w:color="939598"/>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tcBorders>
              <w:bottom w:val="single" w:sz="8" w:color="F0533D"/>
            </w:tcBorders>
          </w:tcPr>
          <w:p>
            <w:pPr>
              <w:spacing w:after="0"/>
              <w:rPr>
                <w:sz w:val="17"/>
                <w:szCs w:val="17"/>
                <w:color w:val="auto"/>
              </w:rPr>
            </w:pPr>
          </w:p>
        </w:tc>
        <w:tc>
          <w:tcPr>
            <w:tcW w:w="1040" w:type="dxa"/>
            <w:vAlign w:val="bottom"/>
            <w:tcBorders>
              <w:bottom w:val="single" w:sz="8" w:color="F0533D"/>
            </w:tcBorders>
          </w:tcPr>
          <w:p>
            <w:pPr>
              <w:jc w:val="right"/>
              <w:spacing w:after="0" w:line="195" w:lineRule="exact"/>
              <w:rPr>
                <w:sz w:val="20"/>
                <w:szCs w:val="20"/>
                <w:color w:val="auto"/>
              </w:rPr>
            </w:pPr>
            <w:r>
              <w:rPr>
                <w:rFonts w:ascii="Arial" w:cs="Arial" w:eastAsia="Arial" w:hAnsi="Arial"/>
                <w:sz w:val="13"/>
                <w:szCs w:val="13"/>
                <w:color w:val="auto"/>
              </w:rPr>
              <w:t>6/2/2025</w:t>
            </w:r>
            <w:r>
              <w:rPr>
                <w:rFonts w:ascii="Arial" w:cs="Arial" w:eastAsia="Arial" w:hAnsi="Arial"/>
                <w:sz w:val="22"/>
                <w:szCs w:val="22"/>
                <w:color w:val="auto"/>
                <w:vertAlign w:val="superscript"/>
              </w:rPr>
              <w:t>(9)</w:t>
            </w:r>
          </w:p>
        </w:tc>
        <w:tc>
          <w:tcPr>
            <w:tcW w:w="840" w:type="dxa"/>
            <w:vAlign w:val="bottom"/>
            <w:tcBorders>
              <w:bottom w:val="single" w:sz="8" w:color="F0533D"/>
            </w:tcBorders>
          </w:tcPr>
          <w:p>
            <w:pPr>
              <w:spacing w:after="0"/>
              <w:rPr>
                <w:sz w:val="17"/>
                <w:szCs w:val="17"/>
                <w:color w:val="auto"/>
              </w:rPr>
            </w:pPr>
          </w:p>
        </w:tc>
        <w:tc>
          <w:tcPr>
            <w:tcW w:w="980" w:type="dxa"/>
            <w:vAlign w:val="bottom"/>
            <w:tcBorders>
              <w:bottom w:val="single" w:sz="8" w:color="F0533D"/>
            </w:tcBorders>
          </w:tcPr>
          <w:p>
            <w:pPr>
              <w:spacing w:after="0"/>
              <w:rPr>
                <w:sz w:val="17"/>
                <w:szCs w:val="17"/>
                <w:color w:val="auto"/>
              </w:rPr>
            </w:pPr>
          </w:p>
        </w:tc>
        <w:tc>
          <w:tcPr>
            <w:tcW w:w="620" w:type="dxa"/>
            <w:vAlign w:val="bottom"/>
            <w:tcBorders>
              <w:bottom w:val="single" w:sz="8" w:color="F0533D"/>
            </w:tcBorders>
          </w:tcPr>
          <w:p>
            <w:pPr>
              <w:spacing w:after="0"/>
              <w:rPr>
                <w:sz w:val="17"/>
                <w:szCs w:val="17"/>
                <w:color w:val="auto"/>
              </w:rPr>
            </w:pPr>
          </w:p>
        </w:tc>
        <w:tc>
          <w:tcPr>
            <w:tcW w:w="720" w:type="dxa"/>
            <w:vAlign w:val="bottom"/>
            <w:tcBorders>
              <w:bottom w:val="single" w:sz="8" w:color="F0533D"/>
            </w:tcBorders>
          </w:tcPr>
          <w:p>
            <w:pPr>
              <w:spacing w:after="0"/>
              <w:rPr>
                <w:sz w:val="17"/>
                <w:szCs w:val="17"/>
                <w:color w:val="auto"/>
              </w:rPr>
            </w:pPr>
          </w:p>
        </w:tc>
        <w:tc>
          <w:tcPr>
            <w:tcW w:w="760" w:type="dxa"/>
            <w:vAlign w:val="bottom"/>
            <w:tcBorders>
              <w:bottom w:val="single" w:sz="8" w:color="F0533D"/>
            </w:tcBorders>
            <w:gridSpan w:val="2"/>
          </w:tcPr>
          <w:p>
            <w:pPr>
              <w:jc w:val="center"/>
              <w:spacing w:after="0"/>
              <w:rPr>
                <w:sz w:val="20"/>
                <w:szCs w:val="20"/>
                <w:color w:val="auto"/>
              </w:rPr>
            </w:pPr>
            <w:r>
              <w:rPr>
                <w:rFonts w:ascii="Arial" w:cs="Arial" w:eastAsia="Arial" w:hAnsi="Arial"/>
                <w:sz w:val="13"/>
                <w:szCs w:val="13"/>
                <w:color w:val="auto"/>
              </w:rPr>
              <w:t>24,807</w:t>
            </w:r>
          </w:p>
        </w:tc>
        <w:tc>
          <w:tcPr>
            <w:tcW w:w="700" w:type="dxa"/>
            <w:vAlign w:val="bottom"/>
            <w:tcBorders>
              <w:bottom w:val="single" w:sz="8" w:color="F0533D"/>
            </w:tcBorders>
          </w:tcPr>
          <w:p>
            <w:pPr>
              <w:jc w:val="center"/>
              <w:spacing w:after="0"/>
              <w:rPr>
                <w:sz w:val="20"/>
                <w:szCs w:val="20"/>
                <w:color w:val="auto"/>
              </w:rPr>
            </w:pPr>
            <w:r>
              <w:rPr>
                <w:rFonts w:ascii="Arial" w:cs="Arial" w:eastAsia="Arial" w:hAnsi="Arial"/>
                <w:sz w:val="13"/>
                <w:szCs w:val="13"/>
                <w:color w:val="auto"/>
              </w:rPr>
              <w:t>325,468</w:t>
            </w:r>
          </w:p>
        </w:tc>
        <w:tc>
          <w:tcPr>
            <w:tcW w:w="1060" w:type="dxa"/>
            <w:vAlign w:val="bottom"/>
            <w:tcBorders>
              <w:bottom w:val="single" w:sz="8" w:color="F0533D"/>
            </w:tcBorders>
          </w:tcPr>
          <w:p>
            <w:pPr>
              <w:spacing w:after="0"/>
              <w:rPr>
                <w:sz w:val="17"/>
                <w:szCs w:val="17"/>
                <w:color w:val="auto"/>
              </w:rPr>
            </w:pPr>
          </w:p>
        </w:tc>
        <w:tc>
          <w:tcPr>
            <w:tcW w:w="1100" w:type="dxa"/>
            <w:vAlign w:val="bottom"/>
            <w:tcBorders>
              <w:bottom w:val="single" w:sz="8" w:color="F0533D"/>
            </w:tcBorders>
          </w:tcPr>
          <w:p>
            <w:pPr>
              <w:spacing w:after="0"/>
              <w:rPr>
                <w:sz w:val="17"/>
                <w:szCs w:val="17"/>
                <w:color w:val="auto"/>
              </w:rPr>
            </w:pPr>
          </w:p>
        </w:tc>
        <w:tc>
          <w:tcPr>
            <w:tcW w:w="120" w:type="dxa"/>
            <w:vAlign w:val="bottom"/>
            <w:tcBorders>
              <w:bottom w:val="single" w:sz="8" w:color="F0533D"/>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40" w:hanging="356"/>
        <w:spacing w:after="0"/>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Stock options vest in four equal annual installments beginning on the anniversary of the grant date.</w:t>
      </w:r>
    </w:p>
    <w:p>
      <w:pPr>
        <w:spacing w:after="0" w:line="69" w:lineRule="exact"/>
        <w:rPr>
          <w:rFonts w:ascii="Arial" w:cs="Arial" w:eastAsia="Arial" w:hAnsi="Arial"/>
          <w:sz w:val="23"/>
          <w:szCs w:val="23"/>
          <w:color w:val="auto"/>
          <w:vertAlign w:val="superscript"/>
        </w:rPr>
      </w:pPr>
    </w:p>
    <w:p>
      <w:pPr>
        <w:ind w:left="540" w:right="759" w:hanging="356"/>
        <w:spacing w:after="0" w:line="199"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For information on vesting upon specified termination events or a change in control, see “Potential Payments upon Termination or Change in Control.”</w:t>
      </w:r>
    </w:p>
    <w:p>
      <w:pPr>
        <w:spacing w:after="0" w:line="5"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These RSUs vest in one installment on August 1, 2026.</w:t>
      </w:r>
    </w:p>
    <w:p>
      <w:pPr>
        <w:spacing w:after="0" w:line="52" w:lineRule="exact"/>
        <w:rPr>
          <w:rFonts w:ascii="Arial" w:cs="Arial" w:eastAsia="Arial" w:hAnsi="Arial"/>
          <w:sz w:val="23"/>
          <w:szCs w:val="23"/>
          <w:color w:val="auto"/>
          <w:vertAlign w:val="superscript"/>
        </w:rPr>
      </w:pPr>
    </w:p>
    <w:p>
      <w:pPr>
        <w:ind w:left="540" w:hanging="356"/>
        <w:spacing w:after="0" w:line="197"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These RSUs vest in two equal installments on August 1, 2026 and August 1, 2027.</w:t>
      </w:r>
    </w:p>
    <w:p>
      <w:pPr>
        <w:spacing w:after="0" w:line="52" w:lineRule="exact"/>
        <w:rPr>
          <w:rFonts w:ascii="Arial" w:cs="Arial" w:eastAsia="Arial" w:hAnsi="Arial"/>
          <w:sz w:val="23"/>
          <w:szCs w:val="23"/>
          <w:color w:val="auto"/>
          <w:vertAlign w:val="superscript"/>
        </w:rPr>
      </w:pPr>
    </w:p>
    <w:p>
      <w:pPr>
        <w:ind w:left="540" w:hanging="356"/>
        <w:spacing w:after="0" w:line="197"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These RSUs vest in three equal installments on June 3, 2026, June 3, 2027 and June 3, 2028.</w:t>
      </w:r>
    </w:p>
    <w:p>
      <w:pPr>
        <w:spacing w:after="0" w:line="70" w:lineRule="exact"/>
        <w:rPr>
          <w:rFonts w:ascii="Arial" w:cs="Arial" w:eastAsia="Arial" w:hAnsi="Arial"/>
          <w:sz w:val="23"/>
          <w:szCs w:val="23"/>
          <w:color w:val="auto"/>
          <w:vertAlign w:val="superscript"/>
        </w:rPr>
      </w:pPr>
    </w:p>
    <w:p>
      <w:pPr>
        <w:ind w:left="540" w:right="99" w:hanging="356"/>
        <w:spacing w:after="0" w:line="219"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50% of the PSU awards granted on June 3, 2024 will vest, if at all, based on the Company’s achievement of the Adjusted Operating Cash Flow metric, 25% of such PSU awards will vest, if at all, based on the Company’s achievement of the Total Signings metric and 25% of such PSU awards will vest, if at all, based on the Company’s achievement of the Relative TSR metric. The number of shares reflected for each of the NEOs represents the target number of shares that would vest based on Adjusted Operating Cash Flow and Total Signings metrics (because our performance as of March 31, 2026 was between threshold and target performance with respect to these performance metrics) and the threshold number of shares that would vest based on Relative TSR (because our performance as of March 31, 2026 was below threshold performance with respect to this metric). The actual number of shares that will be distributed with respect to these fiscal 2025 PSU awards is not yet determinable. The fiscal 2025 PSU awards vest in proportion to actual performance over the three-year performance period ending on March 31, 2027.</w:t>
      </w:r>
    </w:p>
    <w:p>
      <w:pPr>
        <w:spacing w:after="0" w:line="6"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These RSUs vest in four equal annual installments beginning on the anniversary of the grant date.</w:t>
      </w:r>
    </w:p>
    <w:p>
      <w:pPr>
        <w:spacing w:after="0" w:line="69" w:lineRule="exact"/>
        <w:rPr>
          <w:rFonts w:ascii="Arial" w:cs="Arial" w:eastAsia="Arial" w:hAnsi="Arial"/>
          <w:sz w:val="23"/>
          <w:szCs w:val="23"/>
          <w:color w:val="auto"/>
          <w:vertAlign w:val="superscript"/>
        </w:rPr>
      </w:pPr>
    </w:p>
    <w:p>
      <w:pPr>
        <w:ind w:left="540" w:right="139" w:hanging="356"/>
        <w:spacing w:after="0" w:line="218"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100% of the PSU awards granted on June 2, 2025 will vest, if at all, based on the Company’s achievement of the Adjusted Operating Cash Flow metric. The number of shares reflected for each of the NEOs represents the threshold number of shares that would vest based on the Adjusted Operating Cash Flow metric (because our performance as of March 31, 2026 was below threshold performance with respect to this performance metric) with no Relative TSR modifier applied (because our performance as of March 31, 2026 was below threshold performance). The actual number of shares that will be distributed with respect to these fiscal 2026 PSU awards is not yet determinable. The fiscal 2026 PSU awards vest in proportion to actual performance over the three-year performance period ending on March 31, 2028. See the description of the PSU awards in “Compensation Discussion and Analysis — Elements of Compensation and Compensation Decisions — Long-Term Equity Incentives.”</w:t>
      </w:r>
    </w:p>
    <w:p>
      <w:pPr>
        <w:spacing w:after="0" w:line="8"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These RSUs cliff vest 100% on the third anniversary of the grant date.</w:t>
      </w:r>
    </w:p>
    <w:p>
      <w:pPr>
        <w:spacing w:after="0" w:line="21" w:lineRule="exact"/>
        <w:rPr>
          <w:rFonts w:ascii="Arial" w:cs="Arial" w:eastAsia="Arial" w:hAnsi="Arial"/>
          <w:sz w:val="23"/>
          <w:szCs w:val="23"/>
          <w:color w:val="auto"/>
          <w:vertAlign w:val="superscript"/>
        </w:rPr>
      </w:pPr>
    </w:p>
    <w:p>
      <w:pPr>
        <w:ind w:left="540" w:hanging="356"/>
        <w:spacing w:after="0" w:line="225"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These RSUs will vest six months from the date of grant.</w:t>
      </w:r>
    </w:p>
    <w:p>
      <w:pPr>
        <w:spacing w:after="0" w:line="69" w:lineRule="exact"/>
        <w:rPr>
          <w:rFonts w:ascii="Arial" w:cs="Arial" w:eastAsia="Arial" w:hAnsi="Arial"/>
          <w:sz w:val="23"/>
          <w:szCs w:val="23"/>
          <w:color w:val="auto"/>
          <w:vertAlign w:val="superscript"/>
        </w:rPr>
      </w:pPr>
    </w:p>
    <w:p>
      <w:pPr>
        <w:ind w:left="540" w:right="239" w:hanging="356"/>
        <w:spacing w:after="0" w:line="199" w:lineRule="auto"/>
        <w:tabs>
          <w:tab w:leader="none" w:pos="540" w:val="left"/>
        </w:tabs>
        <w:numPr>
          <w:ilvl w:val="0"/>
          <w:numId w:val="84"/>
        </w:numPr>
        <w:rPr>
          <w:rFonts w:ascii="Arial" w:cs="Arial" w:eastAsia="Arial" w:hAnsi="Arial"/>
          <w:sz w:val="23"/>
          <w:szCs w:val="23"/>
          <w:color w:val="auto"/>
          <w:vertAlign w:val="superscript"/>
        </w:rPr>
      </w:pPr>
      <w:r>
        <w:rPr>
          <w:rFonts w:ascii="Arial" w:cs="Arial" w:eastAsia="Arial" w:hAnsi="Arial"/>
          <w:sz w:val="15"/>
          <w:szCs w:val="15"/>
          <w:color w:val="auto"/>
        </w:rPr>
        <w:t>The market value is based on the closing price on the NYSE of our common stock on March 31, 2026, the last trading day of fiscal 2026 ($13.12), multiplied by the relevant number of shares.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68 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3" w:name="page74"/>
    <w:bookmarkEnd w:id="7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Option Exercises and Stock Vested in Fiscal 2026</w:t>
      </w:r>
    </w:p>
    <w:p>
      <w:pPr>
        <w:spacing w:after="0" w:line="173" w:lineRule="exact"/>
        <w:rPr>
          <w:sz w:val="20"/>
          <w:szCs w:val="20"/>
          <w:color w:val="auto"/>
        </w:rPr>
      </w:pPr>
    </w:p>
    <w:p>
      <w:pPr>
        <w:ind w:left="80" w:right="159"/>
        <w:spacing w:after="0" w:line="267" w:lineRule="auto"/>
        <w:rPr>
          <w:sz w:val="20"/>
          <w:szCs w:val="20"/>
          <w:color w:val="auto"/>
        </w:rPr>
      </w:pPr>
      <w:r>
        <w:rPr>
          <w:rFonts w:ascii="Arial" w:cs="Arial" w:eastAsia="Arial" w:hAnsi="Arial"/>
          <w:sz w:val="17"/>
          <w:szCs w:val="17"/>
          <w:color w:val="auto"/>
        </w:rPr>
        <w:t>The following table provides information regarding RSUs and PSUs that vested during fiscal 2026 for our NEOs. Our NEOs did not exercise any options during fiscal 2026.</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3280" w:type="dxa"/>
            <w:vAlign w:val="bottom"/>
            <w:tcBorders>
              <w:bottom w:val="single" w:sz="8" w:color="F0533D"/>
            </w:tcBorders>
          </w:tcPr>
          <w:p>
            <w:pPr>
              <w:jc w:val="right"/>
              <w:spacing w:after="0"/>
              <w:rPr>
                <w:sz w:val="20"/>
                <w:szCs w:val="20"/>
                <w:color w:val="auto"/>
              </w:rPr>
            </w:pPr>
            <w:r>
              <w:rPr>
                <w:rFonts w:ascii="Arial" w:cs="Arial" w:eastAsia="Arial" w:hAnsi="Arial"/>
                <w:sz w:val="13"/>
                <w:szCs w:val="13"/>
                <w:b w:val="1"/>
                <w:bCs w:val="1"/>
                <w:color w:val="F0533D"/>
              </w:rPr>
              <w:t>Stock Awards</w:t>
            </w:r>
          </w:p>
        </w:tc>
        <w:tc>
          <w:tcPr>
            <w:tcW w:w="2420" w:type="dxa"/>
            <w:vAlign w:val="bottom"/>
            <w:tcBorders>
              <w:bottom w:val="single" w:sz="8" w:color="F0533D"/>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60" w:type="dxa"/>
            <w:vAlign w:val="bottom"/>
            <w:vMerge w:val="restart"/>
          </w:tcPr>
          <w:p>
            <w:pPr>
              <w:ind w:left="160"/>
              <w:spacing w:after="0"/>
              <w:rPr>
                <w:sz w:val="20"/>
                <w:szCs w:val="20"/>
                <w:color w:val="auto"/>
              </w:rPr>
            </w:pPr>
            <w:r>
              <w:rPr>
                <w:rFonts w:ascii="Arial" w:cs="Arial" w:eastAsia="Arial" w:hAnsi="Arial"/>
                <w:sz w:val="13"/>
                <w:szCs w:val="13"/>
                <w:b w:val="1"/>
                <w:bCs w:val="1"/>
                <w:color w:val="F0533D"/>
              </w:rPr>
              <w:t>Name</w:t>
            </w:r>
          </w:p>
        </w:tc>
        <w:tc>
          <w:tcPr>
            <w:tcW w:w="3280" w:type="dxa"/>
            <w:vAlign w:val="bottom"/>
          </w:tcPr>
          <w:p>
            <w:pPr>
              <w:jc w:val="right"/>
              <w:ind w:right="493"/>
              <w:spacing w:after="0" w:line="197" w:lineRule="exact"/>
              <w:rPr>
                <w:sz w:val="20"/>
                <w:szCs w:val="20"/>
                <w:color w:val="auto"/>
              </w:rPr>
            </w:pPr>
            <w:r>
              <w:rPr>
                <w:rFonts w:ascii="Arial" w:cs="Arial" w:eastAsia="Arial" w:hAnsi="Arial"/>
                <w:sz w:val="13"/>
                <w:szCs w:val="13"/>
                <w:b w:val="1"/>
                <w:bCs w:val="1"/>
                <w:color w:val="F0533D"/>
              </w:rPr>
              <w:t>Number of Shares Acquired on Vesting</w:t>
            </w:r>
            <w:r>
              <w:rPr>
                <w:rFonts w:ascii="Arial" w:cs="Arial" w:eastAsia="Arial" w:hAnsi="Arial"/>
                <w:sz w:val="22"/>
                <w:szCs w:val="22"/>
                <w:b w:val="1"/>
                <w:bCs w:val="1"/>
                <w:color w:val="F0533D"/>
                <w:vertAlign w:val="superscript"/>
              </w:rPr>
              <w:t>(1)</w:t>
            </w:r>
          </w:p>
        </w:tc>
        <w:tc>
          <w:tcPr>
            <w:tcW w:w="2420" w:type="dxa"/>
            <w:vAlign w:val="bottom"/>
          </w:tcPr>
          <w:p>
            <w:pPr>
              <w:jc w:val="right"/>
              <w:ind w:right="533"/>
              <w:spacing w:after="0" w:line="197" w:lineRule="exact"/>
              <w:rPr>
                <w:sz w:val="20"/>
                <w:szCs w:val="20"/>
                <w:color w:val="auto"/>
              </w:rPr>
            </w:pPr>
            <w:r>
              <w:rPr>
                <w:rFonts w:ascii="Arial" w:cs="Arial" w:eastAsia="Arial" w:hAnsi="Arial"/>
                <w:sz w:val="13"/>
                <w:szCs w:val="13"/>
                <w:b w:val="1"/>
                <w:bCs w:val="1"/>
                <w:color w:val="F0533D"/>
              </w:rPr>
              <w:t>Value Realized on Vesting</w:t>
            </w:r>
            <w:r>
              <w:rPr>
                <w:rFonts w:ascii="Arial" w:cs="Arial" w:eastAsia="Arial" w:hAnsi="Arial"/>
                <w:sz w:val="22"/>
                <w:szCs w:val="22"/>
                <w:b w:val="1"/>
                <w:bCs w:val="1"/>
                <w:color w:val="F0533D"/>
                <w:vertAlign w:val="superscript"/>
              </w:rPr>
              <w:t>(2)</w:t>
            </w:r>
          </w:p>
        </w:tc>
        <w:tc>
          <w:tcPr>
            <w:tcW w:w="0" w:type="dxa"/>
            <w:vAlign w:val="bottom"/>
          </w:tcPr>
          <w:p>
            <w:pPr>
              <w:spacing w:after="0"/>
              <w:rPr>
                <w:sz w:val="1"/>
                <w:szCs w:val="1"/>
                <w:color w:val="auto"/>
              </w:rPr>
            </w:pPr>
          </w:p>
        </w:tc>
      </w:tr>
      <w:tr>
        <w:trPr>
          <w:trHeight w:val="188"/>
        </w:trPr>
        <w:tc>
          <w:tcPr>
            <w:tcW w:w="3160" w:type="dxa"/>
            <w:vAlign w:val="bottom"/>
            <w:tcBorders>
              <w:bottom w:val="single" w:sz="8" w:color="F0533D"/>
            </w:tcBorders>
            <w:vMerge w:val="continue"/>
          </w:tcPr>
          <w:p>
            <w:pPr>
              <w:spacing w:after="0"/>
              <w:rPr>
                <w:sz w:val="16"/>
                <w:szCs w:val="16"/>
                <w:color w:val="auto"/>
              </w:rPr>
            </w:pPr>
          </w:p>
        </w:tc>
        <w:tc>
          <w:tcPr>
            <w:tcW w:w="3280" w:type="dxa"/>
            <w:vAlign w:val="bottom"/>
            <w:tcBorders>
              <w:bottom w:val="single" w:sz="8" w:color="F0533D"/>
            </w:tcBorders>
          </w:tcPr>
          <w:p>
            <w:pPr>
              <w:jc w:val="center"/>
              <w:ind w:right="413"/>
              <w:spacing w:after="0"/>
              <w:rPr>
                <w:sz w:val="20"/>
                <w:szCs w:val="20"/>
                <w:color w:val="auto"/>
              </w:rPr>
            </w:pPr>
            <w:r>
              <w:rPr>
                <w:rFonts w:ascii="Arial" w:cs="Arial" w:eastAsia="Arial" w:hAnsi="Arial"/>
                <w:sz w:val="13"/>
                <w:szCs w:val="13"/>
                <w:b w:val="1"/>
                <w:bCs w:val="1"/>
                <w:color w:val="F0533D"/>
              </w:rPr>
              <w:t>(#)</w:t>
            </w:r>
          </w:p>
        </w:tc>
        <w:tc>
          <w:tcPr>
            <w:tcW w:w="2420" w:type="dxa"/>
            <w:vAlign w:val="bottom"/>
            <w:tcBorders>
              <w:bottom w:val="single" w:sz="8" w:color="F0533D"/>
            </w:tcBorders>
          </w:tcPr>
          <w:p>
            <w:pPr>
              <w:jc w:val="right"/>
              <w:ind w:right="1353"/>
              <w:spacing w:after="0"/>
              <w:rPr>
                <w:sz w:val="20"/>
                <w:szCs w:val="20"/>
                <w:color w:val="auto"/>
              </w:rPr>
            </w:pPr>
            <w:r>
              <w:rPr>
                <w:rFonts w:ascii="Arial" w:cs="Arial" w:eastAsia="Arial" w:hAnsi="Arial"/>
                <w:sz w:val="13"/>
                <w:szCs w:val="13"/>
                <w:b w:val="1"/>
                <w:bCs w:val="1"/>
                <w:color w:val="F0533D"/>
              </w:rPr>
              <w:t>($)</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Martin Schroeter</w:t>
            </w:r>
          </w:p>
        </w:tc>
        <w:tc>
          <w:tcPr>
            <w:tcW w:w="3280" w:type="dxa"/>
            <w:vAlign w:val="bottom"/>
            <w:tcBorders>
              <w:bottom w:val="single" w:sz="8" w:color="F0533D"/>
            </w:tcBorders>
          </w:tcPr>
          <w:p>
            <w:pPr>
              <w:jc w:val="center"/>
              <w:ind w:right="413"/>
              <w:spacing w:after="0"/>
              <w:rPr>
                <w:sz w:val="20"/>
                <w:szCs w:val="20"/>
                <w:color w:val="auto"/>
              </w:rPr>
            </w:pPr>
            <w:r>
              <w:rPr>
                <w:rFonts w:ascii="Arial" w:cs="Arial" w:eastAsia="Arial" w:hAnsi="Arial"/>
                <w:sz w:val="13"/>
                <w:szCs w:val="13"/>
                <w:color w:val="auto"/>
              </w:rPr>
              <w:t>932,877</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35,112,127</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Harsh Chugh</w:t>
            </w:r>
          </w:p>
        </w:tc>
        <w:tc>
          <w:tcPr>
            <w:tcW w:w="3280" w:type="dxa"/>
            <w:vAlign w:val="bottom"/>
            <w:tcBorders>
              <w:bottom w:val="single" w:sz="8" w:color="F0533D"/>
            </w:tcBorders>
          </w:tcPr>
          <w:p>
            <w:pPr>
              <w:jc w:val="right"/>
              <w:ind w:right="1573"/>
              <w:spacing w:after="0"/>
              <w:rPr>
                <w:sz w:val="20"/>
                <w:szCs w:val="20"/>
                <w:color w:val="auto"/>
              </w:rPr>
            </w:pPr>
            <w:r>
              <w:rPr>
                <w:rFonts w:ascii="Arial" w:cs="Arial" w:eastAsia="Arial" w:hAnsi="Arial"/>
                <w:sz w:val="13"/>
                <w:szCs w:val="13"/>
                <w:color w:val="auto"/>
              </w:rPr>
              <w:t>77,515</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2,944,071</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Elly Keinan</w:t>
            </w:r>
          </w:p>
        </w:tc>
        <w:tc>
          <w:tcPr>
            <w:tcW w:w="3280" w:type="dxa"/>
            <w:vAlign w:val="bottom"/>
            <w:tcBorders>
              <w:bottom w:val="single" w:sz="8" w:color="F0533D"/>
            </w:tcBorders>
          </w:tcPr>
          <w:p>
            <w:pPr>
              <w:jc w:val="center"/>
              <w:ind w:right="413"/>
              <w:spacing w:after="0"/>
              <w:rPr>
                <w:sz w:val="20"/>
                <w:szCs w:val="20"/>
                <w:color w:val="auto"/>
              </w:rPr>
            </w:pPr>
            <w:r>
              <w:rPr>
                <w:rFonts w:ascii="Arial" w:cs="Arial" w:eastAsia="Arial" w:hAnsi="Arial"/>
                <w:sz w:val="13"/>
                <w:szCs w:val="13"/>
                <w:color w:val="auto"/>
              </w:rPr>
              <w:t>672,834</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25,320,203</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Maryjo Charbonnier</w:t>
            </w:r>
          </w:p>
        </w:tc>
        <w:tc>
          <w:tcPr>
            <w:tcW w:w="3280" w:type="dxa"/>
            <w:vAlign w:val="bottom"/>
            <w:tcBorders>
              <w:bottom w:val="single" w:sz="8" w:color="F0533D"/>
            </w:tcBorders>
          </w:tcPr>
          <w:p>
            <w:pPr>
              <w:jc w:val="right"/>
              <w:ind w:right="1573"/>
              <w:spacing w:after="0"/>
              <w:rPr>
                <w:sz w:val="20"/>
                <w:szCs w:val="20"/>
                <w:color w:val="auto"/>
              </w:rPr>
            </w:pPr>
            <w:r>
              <w:rPr>
                <w:rFonts w:ascii="Arial" w:cs="Arial" w:eastAsia="Arial" w:hAnsi="Arial"/>
                <w:sz w:val="13"/>
                <w:szCs w:val="13"/>
                <w:color w:val="auto"/>
              </w:rPr>
              <w:t>88,532</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3,331,647</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Mark Ringes</w:t>
            </w:r>
          </w:p>
        </w:tc>
        <w:tc>
          <w:tcPr>
            <w:tcW w:w="3280" w:type="dxa"/>
            <w:vAlign w:val="bottom"/>
            <w:tcBorders>
              <w:bottom w:val="single" w:sz="8" w:color="F0533D"/>
            </w:tcBorders>
          </w:tcPr>
          <w:p>
            <w:pPr>
              <w:jc w:val="right"/>
              <w:ind w:right="1573"/>
              <w:spacing w:after="0"/>
              <w:rPr>
                <w:sz w:val="20"/>
                <w:szCs w:val="20"/>
                <w:color w:val="auto"/>
              </w:rPr>
            </w:pPr>
            <w:r>
              <w:rPr>
                <w:rFonts w:ascii="Arial" w:cs="Arial" w:eastAsia="Arial" w:hAnsi="Arial"/>
                <w:sz w:val="13"/>
                <w:szCs w:val="13"/>
                <w:color w:val="auto"/>
              </w:rPr>
              <w:t>20,428</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771,374</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David Wyshner</w:t>
            </w:r>
          </w:p>
        </w:tc>
        <w:tc>
          <w:tcPr>
            <w:tcW w:w="3280" w:type="dxa"/>
            <w:vAlign w:val="bottom"/>
            <w:tcBorders>
              <w:bottom w:val="single" w:sz="8" w:color="F0533D"/>
            </w:tcBorders>
          </w:tcPr>
          <w:p>
            <w:pPr>
              <w:jc w:val="center"/>
              <w:ind w:right="413"/>
              <w:spacing w:after="0"/>
              <w:rPr>
                <w:sz w:val="20"/>
                <w:szCs w:val="20"/>
                <w:color w:val="auto"/>
              </w:rPr>
            </w:pPr>
            <w:r>
              <w:rPr>
                <w:rFonts w:ascii="Arial" w:cs="Arial" w:eastAsia="Arial" w:hAnsi="Arial"/>
                <w:sz w:val="13"/>
                <w:szCs w:val="13"/>
                <w:color w:val="auto"/>
              </w:rPr>
              <w:t>354,123</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13,326,411</w:t>
            </w:r>
          </w:p>
        </w:tc>
        <w:tc>
          <w:tcPr>
            <w:tcW w:w="0" w:type="dxa"/>
            <w:vAlign w:val="bottom"/>
          </w:tcPr>
          <w:p>
            <w:pPr>
              <w:spacing w:after="0"/>
              <w:rPr>
                <w:sz w:val="1"/>
                <w:szCs w:val="1"/>
                <w:color w:val="auto"/>
              </w:rPr>
            </w:pPr>
          </w:p>
        </w:tc>
      </w:tr>
      <w:tr>
        <w:trPr>
          <w:trHeight w:val="183"/>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Edward Sebold</w:t>
            </w:r>
          </w:p>
        </w:tc>
        <w:tc>
          <w:tcPr>
            <w:tcW w:w="3280" w:type="dxa"/>
            <w:vAlign w:val="bottom"/>
            <w:tcBorders>
              <w:bottom w:val="single" w:sz="8" w:color="F0533D"/>
            </w:tcBorders>
          </w:tcPr>
          <w:p>
            <w:pPr>
              <w:jc w:val="center"/>
              <w:ind w:right="413"/>
              <w:spacing w:after="0"/>
              <w:rPr>
                <w:sz w:val="20"/>
                <w:szCs w:val="20"/>
                <w:color w:val="auto"/>
              </w:rPr>
            </w:pPr>
            <w:r>
              <w:rPr>
                <w:rFonts w:ascii="Arial" w:cs="Arial" w:eastAsia="Arial" w:hAnsi="Arial"/>
                <w:sz w:val="13"/>
                <w:szCs w:val="13"/>
                <w:color w:val="auto"/>
              </w:rPr>
              <w:t>132,798</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4,997,471</w:t>
            </w:r>
          </w:p>
        </w:tc>
        <w:tc>
          <w:tcPr>
            <w:tcW w:w="0" w:type="dxa"/>
            <w:vAlign w:val="bottom"/>
          </w:tcPr>
          <w:p>
            <w:pPr>
              <w:spacing w:after="0"/>
              <w:rPr>
                <w:sz w:val="1"/>
                <w:szCs w:val="1"/>
                <w:color w:val="auto"/>
              </w:rPr>
            </w:pPr>
          </w:p>
        </w:tc>
      </w:tr>
      <w:tr>
        <w:trPr>
          <w:trHeight w:val="162"/>
        </w:trPr>
        <w:tc>
          <w:tcPr>
            <w:tcW w:w="3160" w:type="dxa"/>
            <w:vAlign w:val="bottom"/>
            <w:tcBorders>
              <w:bottom w:val="single" w:sz="8" w:color="F0533D"/>
            </w:tcBorders>
          </w:tcPr>
          <w:p>
            <w:pPr>
              <w:ind w:left="160"/>
              <w:spacing w:after="0"/>
              <w:rPr>
                <w:sz w:val="20"/>
                <w:szCs w:val="20"/>
                <w:color w:val="auto"/>
              </w:rPr>
            </w:pPr>
            <w:r>
              <w:rPr>
                <w:rFonts w:ascii="Arial" w:cs="Arial" w:eastAsia="Arial" w:hAnsi="Arial"/>
                <w:sz w:val="13"/>
                <w:szCs w:val="13"/>
                <w:color w:val="auto"/>
              </w:rPr>
              <w:t>Vineet Khurana</w:t>
            </w:r>
          </w:p>
        </w:tc>
        <w:tc>
          <w:tcPr>
            <w:tcW w:w="3280" w:type="dxa"/>
            <w:vAlign w:val="bottom"/>
            <w:tcBorders>
              <w:bottom w:val="single" w:sz="8" w:color="F0533D"/>
            </w:tcBorders>
          </w:tcPr>
          <w:p>
            <w:pPr>
              <w:jc w:val="right"/>
              <w:ind w:right="1573"/>
              <w:spacing w:after="0"/>
              <w:rPr>
                <w:sz w:val="20"/>
                <w:szCs w:val="20"/>
                <w:color w:val="auto"/>
              </w:rPr>
            </w:pPr>
            <w:r>
              <w:rPr>
                <w:rFonts w:ascii="Arial" w:cs="Arial" w:eastAsia="Arial" w:hAnsi="Arial"/>
                <w:sz w:val="13"/>
                <w:szCs w:val="13"/>
                <w:color w:val="auto"/>
              </w:rPr>
              <w:t>66,400</w:t>
            </w:r>
          </w:p>
        </w:tc>
        <w:tc>
          <w:tcPr>
            <w:tcW w:w="2420" w:type="dxa"/>
            <w:vAlign w:val="bottom"/>
            <w:tcBorders>
              <w:bottom w:val="single" w:sz="8" w:color="F0533D"/>
            </w:tcBorders>
          </w:tcPr>
          <w:p>
            <w:pPr>
              <w:jc w:val="right"/>
              <w:ind w:right="1093"/>
              <w:spacing w:after="0"/>
              <w:rPr>
                <w:sz w:val="20"/>
                <w:szCs w:val="20"/>
                <w:color w:val="auto"/>
              </w:rPr>
            </w:pPr>
            <w:r>
              <w:rPr>
                <w:rFonts w:ascii="Arial" w:cs="Arial" w:eastAsia="Arial" w:hAnsi="Arial"/>
                <w:sz w:val="13"/>
                <w:szCs w:val="13"/>
                <w:color w:val="auto"/>
              </w:rPr>
              <w:t>2,498,774</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40" w:hanging="356"/>
        <w:spacing w:after="0"/>
        <w:tabs>
          <w:tab w:leader="none" w:pos="540" w:val="left"/>
        </w:tabs>
        <w:numPr>
          <w:ilvl w:val="0"/>
          <w:numId w:val="85"/>
        </w:numPr>
        <w:rPr>
          <w:rFonts w:ascii="Arial" w:cs="Arial" w:eastAsia="Arial" w:hAnsi="Arial"/>
          <w:sz w:val="23"/>
          <w:szCs w:val="23"/>
          <w:color w:val="auto"/>
          <w:vertAlign w:val="superscript"/>
        </w:rPr>
      </w:pPr>
      <w:r>
        <w:rPr>
          <w:rFonts w:ascii="Arial" w:cs="Arial" w:eastAsia="Arial" w:hAnsi="Arial"/>
          <w:sz w:val="15"/>
          <w:szCs w:val="15"/>
          <w:color w:val="auto"/>
        </w:rPr>
        <w:t>The shares acquired on vesting represent RSUs that vested as follows:</w:t>
      </w:r>
    </w:p>
    <w:p>
      <w:pPr>
        <w:spacing w:after="0" w:line="69" w:lineRule="exact"/>
        <w:rPr>
          <w:rFonts w:ascii="Arial" w:cs="Arial" w:eastAsia="Arial" w:hAnsi="Arial"/>
          <w:sz w:val="23"/>
          <w:szCs w:val="23"/>
          <w:color w:val="auto"/>
          <w:vertAlign w:val="superscript"/>
        </w:rPr>
      </w:pPr>
    </w:p>
    <w:p>
      <w:pPr>
        <w:ind w:left="900" w:right="719" w:hanging="356"/>
        <w:spacing w:after="0" w:line="197" w:lineRule="auto"/>
        <w:tabs>
          <w:tab w:leader="none" w:pos="900" w:val="left"/>
        </w:tabs>
        <w:numPr>
          <w:ilvl w:val="1"/>
          <w:numId w:val="85"/>
        </w:numPr>
        <w:rPr>
          <w:rFonts w:ascii="Arial" w:cs="Arial" w:eastAsia="Arial" w:hAnsi="Arial"/>
          <w:sz w:val="15"/>
          <w:szCs w:val="15"/>
          <w:color w:val="auto"/>
        </w:rPr>
      </w:pPr>
      <w:r>
        <w:rPr>
          <w:rFonts w:ascii="Arial" w:cs="Arial" w:eastAsia="Arial" w:hAnsi="Arial"/>
          <w:sz w:val="15"/>
          <w:szCs w:val="15"/>
          <w:color w:val="auto"/>
        </w:rPr>
        <w:t>As to Mr. Schroeter – 680,419 PSUs that vested on May 30, 2025, 38,014 RSUs that vested on June 3, 2025, 155,270 RSUs that vested on August 1, 2025 and 59,174 RSUs that vested on December 16, 2025.</w:t>
      </w:r>
    </w:p>
    <w:p>
      <w:pPr>
        <w:ind w:left="900"/>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900" w:right="219"/>
        <w:spacing w:after="0" w:line="187" w:lineRule="auto"/>
        <w:rPr>
          <w:rFonts w:ascii="Arial" w:cs="Arial" w:eastAsia="Arial" w:hAnsi="Arial"/>
          <w:sz w:val="15"/>
          <w:szCs w:val="15"/>
          <w:color w:val="auto"/>
        </w:rPr>
      </w:pPr>
      <w:r>
        <w:rPr>
          <w:rFonts w:ascii="Arial" w:cs="Arial" w:eastAsia="Arial" w:hAnsi="Arial"/>
          <w:sz w:val="15"/>
          <w:szCs w:val="15"/>
          <w:color w:val="auto"/>
        </w:rPr>
        <w:t>As to Mr. Chugh – 64,803 PSUs that vested on May 30, 2025, 1,653 RSUs that vested on June 3, 2025, 7,395 RSUs that vested on August 1, 2025 and 3,664 RSUs that vested on December 16, 2025.</w:t>
      </w:r>
    </w:p>
    <w:p>
      <w:pPr>
        <w:spacing w:after="0" w:line="1" w:lineRule="exact"/>
        <w:rPr>
          <w:rFonts w:ascii="Arial" w:cs="Arial" w:eastAsia="Arial" w:hAnsi="Arial"/>
          <w:sz w:val="15"/>
          <w:szCs w:val="15"/>
          <w:color w:val="auto"/>
        </w:rPr>
      </w:pPr>
    </w:p>
    <w:p>
      <w:pPr>
        <w:ind w:left="900"/>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900" w:right="899"/>
        <w:spacing w:after="0" w:line="187" w:lineRule="auto"/>
        <w:rPr>
          <w:rFonts w:ascii="Arial" w:cs="Arial" w:eastAsia="Arial" w:hAnsi="Arial"/>
          <w:sz w:val="15"/>
          <w:szCs w:val="15"/>
          <w:color w:val="auto"/>
        </w:rPr>
      </w:pPr>
      <w:r>
        <w:rPr>
          <w:rFonts w:ascii="Arial" w:cs="Arial" w:eastAsia="Arial" w:hAnsi="Arial"/>
          <w:sz w:val="15"/>
          <w:szCs w:val="15"/>
          <w:color w:val="auto"/>
        </w:rPr>
        <w:t>As to Mr. Keinan – 492,495 PSUs that vested on May 30, 2025, 25,123 RSUs that vested on June 3, 2025, 112,385 RSUs that vested on August 1, 2025 and 42,831 RSUs that vested on December 16, 2025.</w:t>
      </w:r>
    </w:p>
    <w:p>
      <w:pPr>
        <w:spacing w:after="0" w:line="1" w:lineRule="exact"/>
        <w:rPr>
          <w:rFonts w:ascii="Arial" w:cs="Arial" w:eastAsia="Arial" w:hAnsi="Arial"/>
          <w:sz w:val="15"/>
          <w:szCs w:val="15"/>
          <w:color w:val="auto"/>
        </w:rPr>
      </w:pPr>
    </w:p>
    <w:p>
      <w:pPr>
        <w:ind w:left="900"/>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900" w:right="659"/>
        <w:spacing w:after="0" w:line="187" w:lineRule="auto"/>
        <w:rPr>
          <w:rFonts w:ascii="Arial" w:cs="Arial" w:eastAsia="Arial" w:hAnsi="Arial"/>
          <w:sz w:val="15"/>
          <w:szCs w:val="15"/>
          <w:color w:val="auto"/>
        </w:rPr>
      </w:pPr>
      <w:r>
        <w:rPr>
          <w:rFonts w:ascii="Arial" w:cs="Arial" w:eastAsia="Arial" w:hAnsi="Arial"/>
          <w:sz w:val="15"/>
          <w:szCs w:val="15"/>
          <w:color w:val="auto"/>
        </w:rPr>
        <w:t>As to Ms. Charbonnier – 64,803 PSUs that vested on May 30, 2025, 3,305 RSUs that vested on June 3, 2025, 14,788 RSUs that vested on August 1, 2025 and 5,636 RSUs that vested on December 16, 2025.</w:t>
      </w:r>
    </w:p>
    <w:p>
      <w:pPr>
        <w:spacing w:after="0" w:line="1" w:lineRule="exact"/>
        <w:rPr>
          <w:rFonts w:ascii="Arial" w:cs="Arial" w:eastAsia="Arial" w:hAnsi="Arial"/>
          <w:sz w:val="15"/>
          <w:szCs w:val="15"/>
          <w:color w:val="auto"/>
        </w:rPr>
      </w:pPr>
    </w:p>
    <w:p>
      <w:pPr>
        <w:ind w:left="900"/>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900" w:right="319"/>
        <w:spacing w:after="0" w:line="200" w:lineRule="auto"/>
        <w:rPr>
          <w:rFonts w:ascii="Arial" w:cs="Arial" w:eastAsia="Arial" w:hAnsi="Arial"/>
          <w:sz w:val="15"/>
          <w:szCs w:val="15"/>
          <w:color w:val="auto"/>
        </w:rPr>
      </w:pPr>
      <w:r>
        <w:rPr>
          <w:rFonts w:ascii="Arial" w:cs="Arial" w:eastAsia="Arial" w:hAnsi="Arial"/>
          <w:sz w:val="15"/>
          <w:szCs w:val="15"/>
          <w:color w:val="auto"/>
        </w:rPr>
        <w:t>As to Mr. Ringes – 13,709 PSUs that vested on May 30, 2025, 1,454 RSUs that vested on June 3, 2025, 882 RSUs that vested on June 6, 2025, 3,115 RSUs that vested on August 1, 2025 and 1,268 RSUs that vested on December 16, 2025.</w:t>
      </w:r>
    </w:p>
    <w:p>
      <w:pPr>
        <w:ind w:left="900"/>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900" w:right="779"/>
        <w:spacing w:after="0" w:line="187" w:lineRule="auto"/>
        <w:rPr>
          <w:rFonts w:ascii="Arial" w:cs="Arial" w:eastAsia="Arial" w:hAnsi="Arial"/>
          <w:sz w:val="15"/>
          <w:szCs w:val="15"/>
          <w:color w:val="auto"/>
        </w:rPr>
      </w:pPr>
      <w:r>
        <w:rPr>
          <w:rFonts w:ascii="Arial" w:cs="Arial" w:eastAsia="Arial" w:hAnsi="Arial"/>
          <w:sz w:val="15"/>
          <w:szCs w:val="15"/>
          <w:color w:val="auto"/>
        </w:rPr>
        <w:t>As to Mr. Wyshner – 259,208 PSUs that vested on May 30, 2025, 13,222 RSUs that vested on June 3, 2025, 59,150 RSUs that vested on August 1, 2025 and 22,543 RSUs that vested on December 16, 2025.</w:t>
      </w:r>
    </w:p>
    <w:p>
      <w:pPr>
        <w:spacing w:after="0" w:line="1" w:lineRule="exact"/>
        <w:rPr>
          <w:rFonts w:ascii="Arial" w:cs="Arial" w:eastAsia="Arial" w:hAnsi="Arial"/>
          <w:sz w:val="15"/>
          <w:szCs w:val="15"/>
          <w:color w:val="auto"/>
        </w:rPr>
      </w:pPr>
    </w:p>
    <w:p>
      <w:pPr>
        <w:ind w:left="900"/>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900" w:right="119"/>
        <w:spacing w:after="0" w:line="187" w:lineRule="auto"/>
        <w:rPr>
          <w:rFonts w:ascii="Arial" w:cs="Arial" w:eastAsia="Arial" w:hAnsi="Arial"/>
          <w:sz w:val="15"/>
          <w:szCs w:val="15"/>
          <w:color w:val="auto"/>
        </w:rPr>
      </w:pPr>
      <w:r>
        <w:rPr>
          <w:rFonts w:ascii="Arial" w:cs="Arial" w:eastAsia="Arial" w:hAnsi="Arial"/>
          <w:sz w:val="15"/>
          <w:szCs w:val="15"/>
          <w:color w:val="auto"/>
        </w:rPr>
        <w:t>As to Mr. Sebold – 97,204 PSUs that vested on May 30, 2025, 4,958 RSUs that vested on June 3, 2025, 22,182 RSUs that vested on August 1, 2025 and 8,454 RSUs that vested on December 16, 2025.</w:t>
      </w:r>
    </w:p>
    <w:p>
      <w:pPr>
        <w:spacing w:after="0" w:line="1" w:lineRule="exact"/>
        <w:rPr>
          <w:rFonts w:ascii="Arial" w:cs="Arial" w:eastAsia="Arial" w:hAnsi="Arial"/>
          <w:sz w:val="15"/>
          <w:szCs w:val="15"/>
          <w:color w:val="auto"/>
        </w:rPr>
      </w:pPr>
    </w:p>
    <w:p>
      <w:pPr>
        <w:ind w:left="900"/>
        <w:spacing w:after="0" w:line="225" w:lineRule="auto"/>
        <w:rPr>
          <w:rFonts w:ascii="Arial" w:cs="Arial" w:eastAsia="Arial" w:hAnsi="Arial"/>
          <w:sz w:val="15"/>
          <w:szCs w:val="15"/>
          <w:color w:val="auto"/>
        </w:rPr>
      </w:pPr>
      <w:r>
        <w:rPr>
          <w:rFonts w:ascii="Arial" w:cs="Arial" w:eastAsia="Arial" w:hAnsi="Arial"/>
          <w:sz w:val="15"/>
          <w:szCs w:val="15"/>
          <w:color w:val="auto"/>
        </w:rPr>
        <w:t> </w:t>
      </w:r>
    </w:p>
    <w:p>
      <w:pPr>
        <w:ind w:left="900" w:right="959"/>
        <w:spacing w:after="0" w:line="244" w:lineRule="auto"/>
        <w:rPr>
          <w:rFonts w:ascii="Arial" w:cs="Arial" w:eastAsia="Arial" w:hAnsi="Arial"/>
          <w:sz w:val="15"/>
          <w:szCs w:val="15"/>
          <w:color w:val="auto"/>
        </w:rPr>
      </w:pPr>
      <w:r>
        <w:rPr>
          <w:rFonts w:ascii="Arial" w:cs="Arial" w:eastAsia="Arial" w:hAnsi="Arial"/>
          <w:sz w:val="15"/>
          <w:szCs w:val="15"/>
          <w:color w:val="auto"/>
        </w:rPr>
        <w:t>As to Mr. Khurana – 48,603 PSUs that vested on May 30, 2025, 2,479 RSUs that vested on June 3, 2025, 11,091 RSUs that vested on August 1, 2025 and 4,227 RSUs that vested on December 16, 2025.</w:t>
      </w:r>
    </w:p>
    <w:p>
      <w:pPr>
        <w:spacing w:after="0" w:line="67" w:lineRule="exact"/>
        <w:rPr>
          <w:rFonts w:ascii="Arial" w:cs="Arial" w:eastAsia="Arial" w:hAnsi="Arial"/>
          <w:sz w:val="15"/>
          <w:szCs w:val="15"/>
          <w:color w:val="auto"/>
        </w:rPr>
      </w:pPr>
    </w:p>
    <w:p>
      <w:pPr>
        <w:jc w:val="both"/>
        <w:ind w:left="540" w:right="159" w:hanging="356"/>
        <w:spacing w:after="0" w:line="206" w:lineRule="auto"/>
        <w:tabs>
          <w:tab w:leader="none" w:pos="540" w:val="left"/>
        </w:tabs>
        <w:numPr>
          <w:ilvl w:val="0"/>
          <w:numId w:val="85"/>
        </w:numPr>
        <w:rPr>
          <w:rFonts w:ascii="Arial" w:cs="Arial" w:eastAsia="Arial" w:hAnsi="Arial"/>
          <w:sz w:val="23"/>
          <w:szCs w:val="23"/>
          <w:color w:val="auto"/>
          <w:vertAlign w:val="superscript"/>
        </w:rPr>
      </w:pPr>
      <w:r>
        <w:rPr>
          <w:rFonts w:ascii="Arial" w:cs="Arial" w:eastAsia="Arial" w:hAnsi="Arial"/>
          <w:sz w:val="15"/>
          <w:szCs w:val="15"/>
          <w:color w:val="auto"/>
        </w:rPr>
        <w:t>The value realized on vesting is based on the average high and low of our common stock on the NYSE on the vesting date. If vesting occurs on a day on which the NYSE is closed, the value realized on vesting is based on the average high and low of our stock price on the last trading day prior to the vesting date.</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Pension Benefits in Fiscal 2026</w:t>
      </w:r>
    </w:p>
    <w:p>
      <w:pPr>
        <w:spacing w:after="0" w:line="173" w:lineRule="exact"/>
        <w:rPr>
          <w:sz w:val="20"/>
          <w:szCs w:val="20"/>
          <w:color w:val="auto"/>
        </w:rPr>
      </w:pPr>
    </w:p>
    <w:p>
      <w:pPr>
        <w:ind w:left="80" w:right="259"/>
        <w:spacing w:after="0" w:line="267" w:lineRule="auto"/>
        <w:rPr>
          <w:sz w:val="20"/>
          <w:szCs w:val="20"/>
          <w:color w:val="auto"/>
        </w:rPr>
      </w:pPr>
      <w:r>
        <w:rPr>
          <w:rFonts w:ascii="Arial" w:cs="Arial" w:eastAsia="Arial" w:hAnsi="Arial"/>
          <w:sz w:val="17"/>
          <w:szCs w:val="17"/>
          <w:color w:val="auto"/>
        </w:rPr>
        <w:t>During fiscal 2026, no NEOs participated in either a tax-qualified or non-qualified defined benefit plan sponsored by the Company.</w:t>
      </w:r>
    </w:p>
    <w:p>
      <w:pPr>
        <w:spacing w:after="0" w:line="18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4" w:name="page75"/>
    <w:bookmarkEnd w:id="7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Non-Qualified Deferred Compensation for Fiscal 2026</w:t>
      </w:r>
    </w:p>
    <w:p>
      <w:pPr>
        <w:spacing w:after="0" w:line="173" w:lineRule="exact"/>
        <w:rPr>
          <w:sz w:val="20"/>
          <w:szCs w:val="20"/>
          <w:color w:val="auto"/>
        </w:rPr>
      </w:pPr>
    </w:p>
    <w:p>
      <w:pPr>
        <w:ind w:left="80" w:right="179"/>
        <w:spacing w:after="0" w:line="236" w:lineRule="auto"/>
        <w:rPr>
          <w:sz w:val="20"/>
          <w:szCs w:val="20"/>
          <w:color w:val="auto"/>
        </w:rPr>
      </w:pPr>
      <w:r>
        <w:rPr>
          <w:rFonts w:ascii="Arial" w:cs="Arial" w:eastAsia="Arial" w:hAnsi="Arial"/>
          <w:sz w:val="17"/>
          <w:szCs w:val="17"/>
          <w:color w:val="auto"/>
        </w:rPr>
        <w:t>The following table provides information regarding contributions, earnings and balances for our NEOs under the Kyndryl Excess Plan, as well as under the IBM Excess 401(k) Plus Plan, in which they participated in fiscal 2021 prior to the Spin-off and maintain balances, but to which they may not make further contributions. Under each of the plans, deferred account balances are fully vested at all times. In addition, neither plan provides any opportunity for above-market or preferential earnings, nor does either plan provide any minimum internal rate of return. Additionally, the Kyndryl Excess Plan and the IBM Excess 401(k) Plus Plan do not permit “hardship” withdrawals. The Kyndryl Excess Plan and the IBM Excess 401(k) Plus Plan are not funded, and plan participants have only an unsecured contractual commitment by the applicable company to pay amounts owed under each plan. Each of these plans is further described below.</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2100" w:type="dxa"/>
            <w:vAlign w:val="bottom"/>
            <w:vMerge w:val="restart"/>
          </w:tcPr>
          <w:p>
            <w:pPr>
              <w:jc w:val="center"/>
              <w:ind w:left="613"/>
              <w:spacing w:after="0"/>
              <w:rPr>
                <w:sz w:val="20"/>
                <w:szCs w:val="20"/>
                <w:color w:val="auto"/>
              </w:rPr>
            </w:pPr>
            <w:r>
              <w:rPr>
                <w:rFonts w:ascii="Arial" w:cs="Arial" w:eastAsia="Arial" w:hAnsi="Arial"/>
                <w:sz w:val="13"/>
                <w:szCs w:val="13"/>
                <w:b w:val="1"/>
                <w:bCs w:val="1"/>
                <w:color w:val="F0533D"/>
              </w:rPr>
              <w:t>Executive</w:t>
            </w: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F0533D"/>
              </w:rPr>
              <w:t>Registrant</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0533D"/>
              </w:rPr>
              <w:t>Aggregate</w:t>
            </w:r>
          </w:p>
        </w:tc>
        <w:tc>
          <w:tcPr>
            <w:tcW w:w="1100" w:type="dxa"/>
            <w:vAlign w:val="bottom"/>
          </w:tcPr>
          <w:p>
            <w:pPr>
              <w:jc w:val="center"/>
              <w:ind w:left="33"/>
              <w:spacing w:after="0"/>
              <w:rPr>
                <w:sz w:val="20"/>
                <w:szCs w:val="20"/>
                <w:color w:val="auto"/>
              </w:rPr>
            </w:pPr>
            <w:r>
              <w:rPr>
                <w:rFonts w:ascii="Arial" w:cs="Arial" w:eastAsia="Arial" w:hAnsi="Arial"/>
                <w:sz w:val="13"/>
                <w:szCs w:val="13"/>
                <w:b w:val="1"/>
                <w:bCs w:val="1"/>
                <w:color w:val="F0533D"/>
              </w:rPr>
              <w:t>Aggregate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0533D"/>
              </w:rPr>
              <w:t>Earnings</w:t>
            </w:r>
          </w:p>
        </w:tc>
        <w:tc>
          <w:tcPr>
            <w:tcW w:w="1100" w:type="dxa"/>
            <w:vAlign w:val="bottom"/>
          </w:tcPr>
          <w:p>
            <w:pPr>
              <w:jc w:val="center"/>
              <w:ind w:left="33"/>
              <w:spacing w:after="0"/>
              <w:rPr>
                <w:sz w:val="20"/>
                <w:szCs w:val="20"/>
                <w:color w:val="auto"/>
              </w:rPr>
            </w:pPr>
            <w:r>
              <w:rPr>
                <w:rFonts w:ascii="Arial" w:cs="Arial" w:eastAsia="Arial" w:hAnsi="Arial"/>
                <w:sz w:val="13"/>
                <w:szCs w:val="13"/>
                <w:b w:val="1"/>
                <w:bCs w:val="1"/>
                <w:color w:val="F0533D"/>
              </w:rPr>
              <w:t>Balance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100" w:type="dxa"/>
            <w:vAlign w:val="bottom"/>
          </w:tcPr>
          <w:p>
            <w:pPr>
              <w:jc w:val="center"/>
              <w:ind w:left="653"/>
              <w:spacing w:after="0"/>
              <w:rPr>
                <w:sz w:val="20"/>
                <w:szCs w:val="20"/>
                <w:color w:val="auto"/>
              </w:rPr>
            </w:pPr>
            <w:r>
              <w:rPr>
                <w:rFonts w:ascii="Arial" w:cs="Arial" w:eastAsia="Arial" w:hAnsi="Arial"/>
                <w:sz w:val="13"/>
                <w:szCs w:val="13"/>
                <w:b w:val="1"/>
                <w:bCs w:val="1"/>
                <w:color w:val="F0533D"/>
              </w:rPr>
              <w:t>Contributions</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F0533D"/>
              </w:rPr>
              <w:t>Contributions</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0533D"/>
              </w:rPr>
              <w:t>in</w:t>
            </w:r>
          </w:p>
        </w:tc>
        <w:tc>
          <w:tcPr>
            <w:tcW w:w="1100" w:type="dxa"/>
            <w:vAlign w:val="bottom"/>
          </w:tcPr>
          <w:p>
            <w:pPr>
              <w:jc w:val="center"/>
              <w:ind w:left="73"/>
              <w:spacing w:after="0"/>
              <w:rPr>
                <w:sz w:val="20"/>
                <w:szCs w:val="20"/>
                <w:color w:val="auto"/>
              </w:rPr>
            </w:pPr>
            <w:r>
              <w:rPr>
                <w:rFonts w:ascii="Arial" w:cs="Arial" w:eastAsia="Arial" w:hAnsi="Arial"/>
                <w:sz w:val="13"/>
                <w:szCs w:val="13"/>
                <w:b w:val="1"/>
                <w:bCs w:val="1"/>
                <w:color w:val="F0533D"/>
              </w:rPr>
              <w:t>at Last</w:t>
            </w:r>
          </w:p>
        </w:tc>
        <w:tc>
          <w:tcPr>
            <w:tcW w:w="0" w:type="dxa"/>
            <w:vAlign w:val="bottom"/>
          </w:tcPr>
          <w:p>
            <w:pPr>
              <w:spacing w:after="0"/>
              <w:rPr>
                <w:sz w:val="1"/>
                <w:szCs w:val="1"/>
                <w:color w:val="auto"/>
              </w:rPr>
            </w:pPr>
          </w:p>
        </w:tc>
      </w:tr>
      <w:tr>
        <w:trPr>
          <w:trHeight w:val="159"/>
        </w:trPr>
        <w:tc>
          <w:tcPr>
            <w:tcW w:w="3080" w:type="dxa"/>
            <w:vAlign w:val="bottom"/>
          </w:tcPr>
          <w:p>
            <w:pPr>
              <w:spacing w:after="0"/>
              <w:rPr>
                <w:sz w:val="13"/>
                <w:szCs w:val="13"/>
                <w:color w:val="auto"/>
              </w:rPr>
            </w:pPr>
          </w:p>
        </w:tc>
        <w:tc>
          <w:tcPr>
            <w:tcW w:w="2100" w:type="dxa"/>
            <w:vAlign w:val="bottom"/>
          </w:tcPr>
          <w:p>
            <w:pPr>
              <w:jc w:val="center"/>
              <w:ind w:left="633"/>
              <w:spacing w:after="0"/>
              <w:rPr>
                <w:sz w:val="20"/>
                <w:szCs w:val="20"/>
                <w:color w:val="auto"/>
              </w:rPr>
            </w:pPr>
            <w:r>
              <w:rPr>
                <w:rFonts w:ascii="Arial" w:cs="Arial" w:eastAsia="Arial" w:hAnsi="Arial"/>
                <w:sz w:val="13"/>
                <w:szCs w:val="13"/>
                <w:b w:val="1"/>
                <w:bCs w:val="1"/>
                <w:color w:val="F0533D"/>
              </w:rPr>
              <w:t>in Last FY</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F0533D"/>
              </w:rPr>
              <w:t>in Last FY</w:t>
            </w:r>
          </w:p>
        </w:tc>
        <w:tc>
          <w:tcPr>
            <w:tcW w:w="1200" w:type="dxa"/>
            <w:vAlign w:val="bottom"/>
          </w:tcPr>
          <w:p>
            <w:pPr>
              <w:jc w:val="center"/>
              <w:spacing w:after="0"/>
              <w:rPr>
                <w:sz w:val="20"/>
                <w:szCs w:val="20"/>
                <w:color w:val="auto"/>
              </w:rPr>
            </w:pPr>
            <w:r>
              <w:rPr>
                <w:rFonts w:ascii="Arial" w:cs="Arial" w:eastAsia="Arial" w:hAnsi="Arial"/>
                <w:sz w:val="13"/>
                <w:szCs w:val="13"/>
                <w:b w:val="1"/>
                <w:bCs w:val="1"/>
                <w:color w:val="F0533D"/>
              </w:rPr>
              <w:t>Last FY</w:t>
            </w:r>
          </w:p>
        </w:tc>
        <w:tc>
          <w:tcPr>
            <w:tcW w:w="1100" w:type="dxa"/>
            <w:vAlign w:val="bottom"/>
          </w:tcPr>
          <w:p>
            <w:pPr>
              <w:jc w:val="center"/>
              <w:ind w:left="33"/>
              <w:spacing w:after="0"/>
              <w:rPr>
                <w:sz w:val="20"/>
                <w:szCs w:val="20"/>
                <w:color w:val="auto"/>
              </w:rPr>
            </w:pPr>
            <w:r>
              <w:rPr>
                <w:rFonts w:ascii="Arial" w:cs="Arial" w:eastAsia="Arial" w:hAnsi="Arial"/>
                <w:sz w:val="13"/>
                <w:szCs w:val="13"/>
                <w:b w:val="1"/>
                <w:bCs w:val="1"/>
                <w:color w:val="F0533D"/>
              </w:rPr>
              <w:t>FYE</w:t>
            </w:r>
          </w:p>
        </w:tc>
        <w:tc>
          <w:tcPr>
            <w:tcW w:w="0" w:type="dxa"/>
            <w:vAlign w:val="bottom"/>
          </w:tcPr>
          <w:p>
            <w:pPr>
              <w:spacing w:after="0"/>
              <w:rPr>
                <w:sz w:val="1"/>
                <w:szCs w:val="1"/>
                <w:color w:val="auto"/>
              </w:rPr>
            </w:pPr>
          </w:p>
        </w:tc>
      </w:tr>
      <w:tr>
        <w:trPr>
          <w:trHeight w:val="193"/>
        </w:trPr>
        <w:tc>
          <w:tcPr>
            <w:tcW w:w="3080" w:type="dxa"/>
            <w:vAlign w:val="bottom"/>
            <w:tcBorders>
              <w:bottom w:val="single" w:sz="8" w:color="F0533D"/>
            </w:tcBorders>
          </w:tcPr>
          <w:p>
            <w:pPr>
              <w:ind w:left="160"/>
              <w:spacing w:after="0"/>
              <w:rPr>
                <w:sz w:val="20"/>
                <w:szCs w:val="20"/>
                <w:color w:val="auto"/>
              </w:rPr>
            </w:pPr>
            <w:r>
              <w:rPr>
                <w:rFonts w:ascii="Arial" w:cs="Arial" w:eastAsia="Arial" w:hAnsi="Arial"/>
                <w:sz w:val="13"/>
                <w:szCs w:val="13"/>
                <w:b w:val="1"/>
                <w:bCs w:val="1"/>
                <w:color w:val="F0533D"/>
              </w:rPr>
              <w:t>Name</w:t>
            </w:r>
          </w:p>
        </w:tc>
        <w:tc>
          <w:tcPr>
            <w:tcW w:w="2100" w:type="dxa"/>
            <w:vAlign w:val="bottom"/>
            <w:tcBorders>
              <w:bottom w:val="single" w:sz="8" w:color="F0533D"/>
            </w:tcBorders>
          </w:tcPr>
          <w:p>
            <w:pPr>
              <w:jc w:val="center"/>
              <w:ind w:left="653"/>
              <w:spacing w:after="0" w:line="192" w:lineRule="exact"/>
              <w:rPr>
                <w:sz w:val="20"/>
                <w:szCs w:val="20"/>
                <w:color w:val="auto"/>
              </w:rPr>
            </w:pPr>
            <w:r>
              <w:rPr>
                <w:rFonts w:ascii="Arial" w:cs="Arial" w:eastAsia="Arial" w:hAnsi="Arial"/>
                <w:sz w:val="13"/>
                <w:szCs w:val="13"/>
                <w:b w:val="1"/>
                <w:bCs w:val="1"/>
                <w:color w:val="F0533D"/>
                <w:w w:val="88"/>
              </w:rPr>
              <w:t>($)</w:t>
            </w:r>
            <w:r>
              <w:rPr>
                <w:rFonts w:ascii="Arial" w:cs="Arial" w:eastAsia="Arial" w:hAnsi="Arial"/>
                <w:sz w:val="22"/>
                <w:szCs w:val="22"/>
                <w:b w:val="1"/>
                <w:bCs w:val="1"/>
                <w:color w:val="F0533D"/>
                <w:w w:val="88"/>
                <w:vertAlign w:val="superscript"/>
              </w:rPr>
              <w:t>(1)</w:t>
            </w:r>
          </w:p>
        </w:tc>
        <w:tc>
          <w:tcPr>
            <w:tcW w:w="1380" w:type="dxa"/>
            <w:vAlign w:val="bottom"/>
            <w:tcBorders>
              <w:bottom w:val="single" w:sz="8" w:color="F0533D"/>
            </w:tcBorders>
          </w:tcPr>
          <w:p>
            <w:pPr>
              <w:jc w:val="center"/>
              <w:spacing w:after="0" w:line="192" w:lineRule="exact"/>
              <w:rPr>
                <w:sz w:val="20"/>
                <w:szCs w:val="20"/>
                <w:color w:val="auto"/>
              </w:rPr>
            </w:pPr>
            <w:r>
              <w:rPr>
                <w:rFonts w:ascii="Arial" w:cs="Arial" w:eastAsia="Arial" w:hAnsi="Arial"/>
                <w:sz w:val="13"/>
                <w:szCs w:val="13"/>
                <w:b w:val="1"/>
                <w:bCs w:val="1"/>
                <w:color w:val="F0533D"/>
                <w:w w:val="88"/>
              </w:rPr>
              <w:t>($)</w:t>
            </w:r>
            <w:r>
              <w:rPr>
                <w:rFonts w:ascii="Arial" w:cs="Arial" w:eastAsia="Arial" w:hAnsi="Arial"/>
                <w:sz w:val="22"/>
                <w:szCs w:val="22"/>
                <w:b w:val="1"/>
                <w:bCs w:val="1"/>
                <w:color w:val="F0533D"/>
                <w:w w:val="88"/>
                <w:vertAlign w:val="superscript"/>
              </w:rPr>
              <w:t>(2)</w:t>
            </w:r>
          </w:p>
        </w:tc>
        <w:tc>
          <w:tcPr>
            <w:tcW w:w="1200" w:type="dxa"/>
            <w:vAlign w:val="bottom"/>
            <w:tcBorders>
              <w:bottom w:val="single" w:sz="8" w:color="F0533D"/>
            </w:tcBorders>
          </w:tcPr>
          <w:p>
            <w:pPr>
              <w:jc w:val="center"/>
              <w:spacing w:after="0" w:line="192" w:lineRule="exact"/>
              <w:rPr>
                <w:sz w:val="20"/>
                <w:szCs w:val="20"/>
                <w:color w:val="auto"/>
              </w:rPr>
            </w:pPr>
            <w:r>
              <w:rPr>
                <w:rFonts w:ascii="Arial" w:cs="Arial" w:eastAsia="Arial" w:hAnsi="Arial"/>
                <w:sz w:val="13"/>
                <w:szCs w:val="13"/>
                <w:b w:val="1"/>
                <w:bCs w:val="1"/>
                <w:color w:val="F0533D"/>
                <w:w w:val="88"/>
              </w:rPr>
              <w:t>($)</w:t>
            </w:r>
            <w:r>
              <w:rPr>
                <w:rFonts w:ascii="Arial" w:cs="Arial" w:eastAsia="Arial" w:hAnsi="Arial"/>
                <w:sz w:val="22"/>
                <w:szCs w:val="22"/>
                <w:b w:val="1"/>
                <w:bCs w:val="1"/>
                <w:color w:val="F0533D"/>
                <w:w w:val="88"/>
                <w:vertAlign w:val="superscript"/>
              </w:rPr>
              <w:t>(3)</w:t>
            </w:r>
          </w:p>
        </w:tc>
        <w:tc>
          <w:tcPr>
            <w:tcW w:w="1100" w:type="dxa"/>
            <w:vAlign w:val="bottom"/>
            <w:tcBorders>
              <w:bottom w:val="single" w:sz="8" w:color="F0533D"/>
            </w:tcBorders>
          </w:tcPr>
          <w:p>
            <w:pPr>
              <w:jc w:val="center"/>
              <w:ind w:left="73"/>
              <w:spacing w:after="0" w:line="192" w:lineRule="exact"/>
              <w:rPr>
                <w:sz w:val="20"/>
                <w:szCs w:val="20"/>
                <w:color w:val="auto"/>
              </w:rPr>
            </w:pPr>
            <w:r>
              <w:rPr>
                <w:rFonts w:ascii="Arial" w:cs="Arial" w:eastAsia="Arial" w:hAnsi="Arial"/>
                <w:sz w:val="13"/>
                <w:szCs w:val="13"/>
                <w:b w:val="1"/>
                <w:bCs w:val="1"/>
                <w:color w:val="F0533D"/>
                <w:w w:val="94"/>
              </w:rPr>
              <w:t>($)</w:t>
            </w:r>
            <w:r>
              <w:rPr>
                <w:rFonts w:ascii="Arial" w:cs="Arial" w:eastAsia="Arial" w:hAnsi="Arial"/>
                <w:sz w:val="22"/>
                <w:szCs w:val="22"/>
                <w:b w:val="1"/>
                <w:bCs w:val="1"/>
                <w:color w:val="F0533D"/>
                <w:w w:val="94"/>
                <w:vertAlign w:val="superscript"/>
              </w:rPr>
              <w:t>(4)</w:t>
            </w: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Martin Schroeter</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225,454</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72,452</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861,312</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4,452</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29,096</w:t>
            </w:r>
          </w:p>
        </w:tc>
        <w:tc>
          <w:tcPr>
            <w:tcW w:w="0" w:type="dxa"/>
            <w:vAlign w:val="bottom"/>
          </w:tcPr>
          <w:p>
            <w:pPr>
              <w:spacing w:after="0"/>
              <w:rPr>
                <w:sz w:val="1"/>
                <w:szCs w:val="1"/>
                <w:color w:val="auto"/>
              </w:rPr>
            </w:pPr>
          </w:p>
        </w:tc>
      </w:tr>
      <w:tr>
        <w:trPr>
          <w:trHeight w:val="134"/>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Harsh Chugh</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Elly Keinan</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160,900</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54,896</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639,589</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192</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2,637</w:t>
            </w:r>
          </w:p>
        </w:tc>
        <w:tc>
          <w:tcPr>
            <w:tcW w:w="0" w:type="dxa"/>
            <w:vAlign w:val="bottom"/>
          </w:tcPr>
          <w:p>
            <w:pPr>
              <w:spacing w:after="0"/>
              <w:rPr>
                <w:sz w:val="1"/>
                <w:szCs w:val="1"/>
                <w:color w:val="auto"/>
              </w:rPr>
            </w:pPr>
          </w:p>
        </w:tc>
      </w:tr>
      <w:tr>
        <w:trPr>
          <w:trHeight w:val="133"/>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Maryjo Charbonnier</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80,362</w:t>
            </w:r>
          </w:p>
        </w:tc>
        <w:tc>
          <w:tcPr>
            <w:tcW w:w="1200" w:type="dxa"/>
            <w:vAlign w:val="bottom"/>
          </w:tcPr>
          <w:p>
            <w:pPr>
              <w:jc w:val="right"/>
              <w:ind w:right="253"/>
              <w:spacing w:after="0"/>
              <w:rPr>
                <w:sz w:val="20"/>
                <w:szCs w:val="20"/>
                <w:color w:val="auto"/>
              </w:rPr>
            </w:pPr>
            <w:r>
              <w:rPr>
                <w:rFonts w:ascii="Arial" w:cs="Arial" w:eastAsia="Arial" w:hAnsi="Arial"/>
                <w:sz w:val="13"/>
                <w:szCs w:val="13"/>
                <w:color w:val="auto"/>
              </w:rPr>
              <w:t>(14)</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322,869</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Mark Ringes</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41,863</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12,262</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168,107</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David Wyshner</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Edward Sebold</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570,968</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88,043</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364,524</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3,294,369</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73"/>
              <w:spacing w:after="0"/>
              <w:rPr>
                <w:sz w:val="20"/>
                <w:szCs w:val="20"/>
                <w:color w:val="auto"/>
              </w:rPr>
            </w:pPr>
            <w:r>
              <w:rPr>
                <w:rFonts w:ascii="Arial" w:cs="Arial" w:eastAsia="Arial" w:hAnsi="Arial"/>
                <w:sz w:val="13"/>
                <w:szCs w:val="13"/>
                <w:color w:val="auto"/>
              </w:rPr>
              <w:t>322,406</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2,293,706</w:t>
            </w:r>
          </w:p>
        </w:tc>
        <w:tc>
          <w:tcPr>
            <w:tcW w:w="0" w:type="dxa"/>
            <w:vAlign w:val="bottom"/>
          </w:tcPr>
          <w:p>
            <w:pPr>
              <w:spacing w:after="0"/>
              <w:rPr>
                <w:sz w:val="1"/>
                <w:szCs w:val="1"/>
                <w:color w:val="auto"/>
              </w:rPr>
            </w:pPr>
          </w:p>
        </w:tc>
      </w:tr>
      <w:tr>
        <w:trPr>
          <w:trHeight w:val="133"/>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tcPr>
          <w:p>
            <w:pPr>
              <w:ind w:left="160"/>
              <w:spacing w:after="0" w:line="129" w:lineRule="exact"/>
              <w:rPr>
                <w:sz w:val="20"/>
                <w:szCs w:val="20"/>
                <w:color w:val="auto"/>
              </w:rPr>
            </w:pPr>
            <w:r>
              <w:rPr>
                <w:rFonts w:ascii="Arial" w:cs="Arial" w:eastAsia="Arial" w:hAnsi="Arial"/>
                <w:sz w:val="13"/>
                <w:szCs w:val="13"/>
                <w:color w:val="auto"/>
              </w:rPr>
              <w:t>Vineet Khurana</w:t>
            </w:r>
          </w:p>
        </w:tc>
        <w:tc>
          <w:tcPr>
            <w:tcW w:w="21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340"/>
              <w:spacing w:after="0"/>
              <w:rPr>
                <w:sz w:val="20"/>
                <w:szCs w:val="20"/>
                <w:color w:val="auto"/>
              </w:rPr>
            </w:pPr>
            <w:r>
              <w:rPr>
                <w:rFonts w:ascii="Arial" w:cs="Arial" w:eastAsia="Arial" w:hAnsi="Arial"/>
                <w:sz w:val="13"/>
                <w:szCs w:val="13"/>
                <w:color w:val="auto"/>
              </w:rPr>
              <w:t>Kyndryl Excess Plan</w:t>
            </w:r>
          </w:p>
        </w:tc>
        <w:tc>
          <w:tcPr>
            <w:tcW w:w="2100" w:type="dxa"/>
            <w:vAlign w:val="bottom"/>
          </w:tcPr>
          <w:p>
            <w:pPr>
              <w:jc w:val="right"/>
              <w:ind w:right="393"/>
              <w:spacing w:after="0"/>
              <w:rPr>
                <w:sz w:val="20"/>
                <w:szCs w:val="20"/>
                <w:color w:val="auto"/>
              </w:rPr>
            </w:pPr>
            <w:r>
              <w:rPr>
                <w:rFonts w:ascii="Arial" w:cs="Arial" w:eastAsia="Arial" w:hAnsi="Arial"/>
                <w:sz w:val="13"/>
                <w:szCs w:val="13"/>
                <w:color w:val="auto"/>
              </w:rPr>
              <w:t>28,639</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45,775</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32,340</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310,957</w:t>
            </w:r>
          </w:p>
        </w:tc>
        <w:tc>
          <w:tcPr>
            <w:tcW w:w="0" w:type="dxa"/>
            <w:vAlign w:val="bottom"/>
          </w:tcPr>
          <w:p>
            <w:pPr>
              <w:spacing w:after="0"/>
              <w:rPr>
                <w:sz w:val="1"/>
                <w:szCs w:val="1"/>
                <w:color w:val="auto"/>
              </w:rPr>
            </w:pPr>
          </w:p>
        </w:tc>
      </w:tr>
      <w:tr>
        <w:trPr>
          <w:trHeight w:val="176"/>
        </w:trPr>
        <w:tc>
          <w:tcPr>
            <w:tcW w:w="3080" w:type="dxa"/>
            <w:vAlign w:val="bottom"/>
          </w:tcPr>
          <w:p>
            <w:pPr>
              <w:ind w:left="340"/>
              <w:spacing w:after="0"/>
              <w:rPr>
                <w:sz w:val="20"/>
                <w:szCs w:val="20"/>
                <w:color w:val="auto"/>
              </w:rPr>
            </w:pPr>
            <w:r>
              <w:rPr>
                <w:rFonts w:ascii="Arial" w:cs="Arial" w:eastAsia="Arial" w:hAnsi="Arial"/>
                <w:sz w:val="13"/>
                <w:szCs w:val="13"/>
                <w:color w:val="auto"/>
              </w:rPr>
              <w:t>IBM Excess 401 (k) Plus Plan</w:t>
            </w:r>
          </w:p>
        </w:tc>
        <w:tc>
          <w:tcPr>
            <w:tcW w:w="2100" w:type="dxa"/>
            <w:vAlign w:val="bottom"/>
          </w:tcPr>
          <w:p>
            <w:pPr>
              <w:jc w:val="right"/>
              <w:ind w:right="373"/>
              <w:spacing w:after="0"/>
              <w:rPr>
                <w:sz w:val="20"/>
                <w:szCs w:val="20"/>
                <w:color w:val="auto"/>
              </w:rPr>
            </w:pPr>
            <w:r>
              <w:rPr>
                <w:rFonts w:ascii="Arial" w:cs="Arial" w:eastAsia="Arial" w:hAnsi="Arial"/>
                <w:sz w:val="13"/>
                <w:szCs w:val="13"/>
                <w:color w:val="auto"/>
              </w:rPr>
              <w:t>—</w:t>
            </w:r>
          </w:p>
        </w:tc>
        <w:tc>
          <w:tcPr>
            <w:tcW w:w="1380" w:type="dxa"/>
            <w:vAlign w:val="bottom"/>
          </w:tcPr>
          <w:p>
            <w:pPr>
              <w:jc w:val="right"/>
              <w:ind w:right="393"/>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293"/>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3080" w:type="dxa"/>
            <w:vAlign w:val="bottom"/>
            <w:tcBorders>
              <w:bottom w:val="single" w:sz="8" w:color="F0533D"/>
            </w:tcBorders>
          </w:tcPr>
          <w:p>
            <w:pPr>
              <w:spacing w:after="0"/>
              <w:rPr>
                <w:sz w:val="11"/>
                <w:szCs w:val="11"/>
                <w:color w:val="auto"/>
              </w:rPr>
            </w:pPr>
          </w:p>
        </w:tc>
        <w:tc>
          <w:tcPr>
            <w:tcW w:w="2100" w:type="dxa"/>
            <w:vAlign w:val="bottom"/>
            <w:tcBorders>
              <w:bottom w:val="single" w:sz="8" w:color="F0533D"/>
            </w:tcBorders>
          </w:tcPr>
          <w:p>
            <w:pPr>
              <w:spacing w:after="0"/>
              <w:rPr>
                <w:sz w:val="11"/>
                <w:szCs w:val="11"/>
                <w:color w:val="auto"/>
              </w:rPr>
            </w:pPr>
          </w:p>
        </w:tc>
        <w:tc>
          <w:tcPr>
            <w:tcW w:w="1380" w:type="dxa"/>
            <w:vAlign w:val="bottom"/>
            <w:tcBorders>
              <w:bottom w:val="single" w:sz="8" w:color="F0533D"/>
            </w:tcBorders>
          </w:tcPr>
          <w:p>
            <w:pPr>
              <w:spacing w:after="0"/>
              <w:rPr>
                <w:sz w:val="11"/>
                <w:szCs w:val="11"/>
                <w:color w:val="auto"/>
              </w:rPr>
            </w:pPr>
          </w:p>
        </w:tc>
        <w:tc>
          <w:tcPr>
            <w:tcW w:w="1200" w:type="dxa"/>
            <w:vAlign w:val="bottom"/>
            <w:tcBorders>
              <w:bottom w:val="single" w:sz="8" w:color="F0533D"/>
            </w:tcBorders>
          </w:tcPr>
          <w:p>
            <w:pPr>
              <w:spacing w:after="0"/>
              <w:rPr>
                <w:sz w:val="11"/>
                <w:szCs w:val="11"/>
                <w:color w:val="auto"/>
              </w:rPr>
            </w:pPr>
          </w:p>
        </w:tc>
        <w:tc>
          <w:tcPr>
            <w:tcW w:w="1100" w:type="dxa"/>
            <w:vAlign w:val="bottom"/>
            <w:tcBorders>
              <w:bottom w:val="single" w:sz="8" w:color="F0533D"/>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40" w:right="359" w:hanging="356"/>
        <w:spacing w:after="0" w:line="199" w:lineRule="auto"/>
        <w:tabs>
          <w:tab w:leader="none" w:pos="540" w:val="left"/>
        </w:tabs>
        <w:numPr>
          <w:ilvl w:val="0"/>
          <w:numId w:val="86"/>
        </w:numPr>
        <w:rPr>
          <w:rFonts w:ascii="Arial" w:cs="Arial" w:eastAsia="Arial" w:hAnsi="Arial"/>
          <w:sz w:val="23"/>
          <w:szCs w:val="23"/>
          <w:color w:val="auto"/>
          <w:vertAlign w:val="superscript"/>
        </w:rPr>
      </w:pPr>
      <w:r>
        <w:rPr>
          <w:rFonts w:ascii="Arial" w:cs="Arial" w:eastAsia="Arial" w:hAnsi="Arial"/>
          <w:sz w:val="15"/>
          <w:szCs w:val="15"/>
          <w:color w:val="auto"/>
        </w:rPr>
        <w:t>The amounts in this column are reported as compensation for fiscal 2026 in the “Base Salary” and “Non-Equity Incentive Plan Compensation” columns of the Summary Compensation Table.</w:t>
      </w:r>
    </w:p>
    <w:p>
      <w:pPr>
        <w:spacing w:after="0" w:line="69" w:lineRule="exact"/>
        <w:rPr>
          <w:rFonts w:ascii="Arial" w:cs="Arial" w:eastAsia="Arial" w:hAnsi="Arial"/>
          <w:sz w:val="23"/>
          <w:szCs w:val="23"/>
          <w:color w:val="auto"/>
          <w:vertAlign w:val="superscript"/>
        </w:rPr>
      </w:pPr>
    </w:p>
    <w:p>
      <w:pPr>
        <w:ind w:left="540" w:right="119" w:hanging="356"/>
        <w:spacing w:after="0" w:line="206" w:lineRule="auto"/>
        <w:tabs>
          <w:tab w:leader="none" w:pos="540" w:val="left"/>
        </w:tabs>
        <w:numPr>
          <w:ilvl w:val="0"/>
          <w:numId w:val="86"/>
        </w:numPr>
        <w:rPr>
          <w:rFonts w:ascii="Arial" w:cs="Arial" w:eastAsia="Arial" w:hAnsi="Arial"/>
          <w:sz w:val="23"/>
          <w:szCs w:val="23"/>
          <w:color w:val="auto"/>
          <w:vertAlign w:val="superscript"/>
        </w:rPr>
      </w:pPr>
      <w:r>
        <w:rPr>
          <w:rFonts w:ascii="Arial" w:cs="Arial" w:eastAsia="Arial" w:hAnsi="Arial"/>
          <w:sz w:val="15"/>
          <w:szCs w:val="15"/>
          <w:color w:val="auto"/>
        </w:rPr>
        <w:t>Represents the amount of the automatic contribution made by us in accordance with the Kyndryl Excess Plan. The amounts in this column are reported as compensation for fiscal 2026 in the “All Other Compensation” column of the Summary Compensation Table.</w:t>
      </w:r>
    </w:p>
    <w:p>
      <w:pPr>
        <w:spacing w:after="0" w:line="70" w:lineRule="exact"/>
        <w:rPr>
          <w:rFonts w:ascii="Arial" w:cs="Arial" w:eastAsia="Arial" w:hAnsi="Arial"/>
          <w:sz w:val="23"/>
          <w:szCs w:val="23"/>
          <w:color w:val="auto"/>
          <w:vertAlign w:val="superscript"/>
        </w:rPr>
      </w:pPr>
    </w:p>
    <w:p>
      <w:pPr>
        <w:ind w:left="540" w:right="299" w:hanging="356"/>
        <w:spacing w:after="0" w:line="199" w:lineRule="auto"/>
        <w:tabs>
          <w:tab w:leader="none" w:pos="540" w:val="left"/>
        </w:tabs>
        <w:numPr>
          <w:ilvl w:val="0"/>
          <w:numId w:val="86"/>
        </w:numPr>
        <w:rPr>
          <w:rFonts w:ascii="Arial" w:cs="Arial" w:eastAsia="Arial" w:hAnsi="Arial"/>
          <w:sz w:val="23"/>
          <w:szCs w:val="23"/>
          <w:color w:val="auto"/>
          <w:vertAlign w:val="superscript"/>
        </w:rPr>
      </w:pPr>
      <w:r>
        <w:rPr>
          <w:rFonts w:ascii="Arial" w:cs="Arial" w:eastAsia="Arial" w:hAnsi="Arial"/>
          <w:sz w:val="15"/>
          <w:szCs w:val="15"/>
          <w:color w:val="auto"/>
        </w:rPr>
        <w:t>Amounts in this column are not reported as compensation for fiscal 2026 in the Summary Compensation Table since they do not reflect above-market or preferential earnings.</w:t>
      </w:r>
    </w:p>
    <w:p>
      <w:pPr>
        <w:spacing w:after="0" w:line="69" w:lineRule="exact"/>
        <w:rPr>
          <w:rFonts w:ascii="Arial" w:cs="Arial" w:eastAsia="Arial" w:hAnsi="Arial"/>
          <w:sz w:val="23"/>
          <w:szCs w:val="23"/>
          <w:color w:val="auto"/>
          <w:vertAlign w:val="superscript"/>
        </w:rPr>
      </w:pPr>
    </w:p>
    <w:p>
      <w:pPr>
        <w:ind w:left="540" w:right="199" w:hanging="356"/>
        <w:spacing w:after="0" w:line="203" w:lineRule="auto"/>
        <w:tabs>
          <w:tab w:leader="none" w:pos="540" w:val="left"/>
        </w:tabs>
        <w:numPr>
          <w:ilvl w:val="0"/>
          <w:numId w:val="86"/>
        </w:numPr>
        <w:rPr>
          <w:rFonts w:ascii="Arial" w:cs="Arial" w:eastAsia="Arial" w:hAnsi="Arial"/>
          <w:sz w:val="23"/>
          <w:szCs w:val="23"/>
          <w:color w:val="auto"/>
          <w:vertAlign w:val="superscript"/>
        </w:rPr>
      </w:pPr>
      <w:r>
        <w:rPr>
          <w:rFonts w:ascii="Arial" w:cs="Arial" w:eastAsia="Arial" w:hAnsi="Arial"/>
          <w:sz w:val="15"/>
          <w:szCs w:val="15"/>
          <w:color w:val="auto"/>
        </w:rPr>
        <w:t>Amounts in this column include the following aggregate amounts for each of the following NEOs reported as compensation to such NEOs for fiscal 2026 and previous periods, if applicable, in the “Base Salary,” “Non-Equity Incentive Plan Compensation” and “All Other Compensation” columns of the Summary Compensation Table: Mr. Schroeter, $225,454 in fiscal 2026, $502,510 in previous periods; Mr. Keinan, $160,900 in fiscal 2026, $373,409 in previous periods;</w:t>
      </w:r>
    </w:p>
    <w:p>
      <w:pPr>
        <w:ind w:left="540" w:right="499"/>
        <w:spacing w:after="0" w:line="244" w:lineRule="auto"/>
        <w:rPr>
          <w:rFonts w:ascii="Arial" w:cs="Arial" w:eastAsia="Arial" w:hAnsi="Arial"/>
          <w:sz w:val="23"/>
          <w:szCs w:val="23"/>
          <w:color w:val="auto"/>
          <w:vertAlign w:val="superscript"/>
        </w:rPr>
      </w:pPr>
      <w:r>
        <w:rPr>
          <w:rFonts w:ascii="Arial" w:cs="Arial" w:eastAsia="Arial" w:hAnsi="Arial"/>
          <w:sz w:val="15"/>
          <w:szCs w:val="15"/>
          <w:color w:val="auto"/>
        </w:rPr>
        <w:t>Ms. Charbonnier, $80,362 in fiscal 2026, $218,864 in previous periods; Mr. Ringes, $41,863 in fiscal 2026; Mr. Sebold, $88,043 in fiscal 2026, $2,976,354 in previous periods; and Mr. Khurana, $45,775 in fiscal 2026.</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70 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5" w:name="page76"/>
    <w:bookmarkEnd w:id="7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IBM Excess 401(k) Plus Plan</w:t>
      </w:r>
    </w:p>
    <w:p>
      <w:pPr>
        <w:spacing w:after="0" w:line="154" w:lineRule="exact"/>
        <w:rPr>
          <w:sz w:val="20"/>
          <w:szCs w:val="20"/>
          <w:color w:val="auto"/>
        </w:rPr>
      </w:pPr>
    </w:p>
    <w:p>
      <w:pPr>
        <w:ind w:left="80" w:right="99"/>
        <w:spacing w:after="0" w:line="249" w:lineRule="auto"/>
        <w:rPr>
          <w:sz w:val="20"/>
          <w:szCs w:val="20"/>
          <w:color w:val="auto"/>
        </w:rPr>
      </w:pPr>
      <w:r>
        <w:rPr>
          <w:rFonts w:ascii="Arial" w:cs="Arial" w:eastAsia="Arial" w:hAnsi="Arial"/>
          <w:sz w:val="17"/>
          <w:szCs w:val="17"/>
          <w:color w:val="auto"/>
        </w:rPr>
        <w:t>IBM maintains the IBM Excess 401(k) Plus Plan (the “IBM Excess Plan”), in which Messrs. Schroeter, Keinan and Sebold participated in 2021, prior to the Spin-off. Following the Spin-off, our NEOs became ineligible to make deferral elections under the IBM Excess Plan.</w:t>
      </w:r>
    </w:p>
    <w:p>
      <w:pPr>
        <w:spacing w:after="0" w:line="121" w:lineRule="exact"/>
        <w:rPr>
          <w:sz w:val="20"/>
          <w:szCs w:val="20"/>
          <w:color w:val="auto"/>
        </w:rPr>
      </w:pPr>
    </w:p>
    <w:p>
      <w:pPr>
        <w:ind w:left="80" w:right="119"/>
        <w:spacing w:after="0" w:line="239" w:lineRule="auto"/>
        <w:rPr>
          <w:sz w:val="20"/>
          <w:szCs w:val="20"/>
          <w:color w:val="auto"/>
        </w:rPr>
      </w:pPr>
      <w:r>
        <w:rPr>
          <w:rFonts w:ascii="Arial" w:cs="Arial" w:eastAsia="Arial" w:hAnsi="Arial"/>
          <w:sz w:val="17"/>
          <w:szCs w:val="17"/>
          <w:color w:val="auto"/>
        </w:rPr>
        <w:t>Deferrals under the IBM Excess Plan may be allocated among various notional investment choices, which typically replicate the performance of the comparable investment funds in the IBM 401(k) Plan. For Messrs. Schroeter, Keinan and Sebold, their transfer to Kyndryl in connection with the Spin-off did not trigger a distribution of the amounts in their accounts in the IBM Excess Plan. Rather, upon their separation of service from Kyndryl, they will receive, or have received, a distribution of the amounts in their accounts in a lump sum or installments based upon their distribution election.</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Kyndryl Excess Plan</w:t>
      </w:r>
    </w:p>
    <w:p>
      <w:pPr>
        <w:spacing w:after="0" w:line="154" w:lineRule="exact"/>
        <w:rPr>
          <w:sz w:val="20"/>
          <w:szCs w:val="20"/>
          <w:color w:val="auto"/>
        </w:rPr>
      </w:pPr>
    </w:p>
    <w:p>
      <w:pPr>
        <w:ind w:left="80" w:right="199"/>
        <w:spacing w:after="0" w:line="244" w:lineRule="auto"/>
        <w:rPr>
          <w:sz w:val="20"/>
          <w:szCs w:val="20"/>
          <w:color w:val="auto"/>
        </w:rPr>
      </w:pPr>
      <w:r>
        <w:rPr>
          <w:rFonts w:ascii="Arial" w:cs="Arial" w:eastAsia="Arial" w:hAnsi="Arial"/>
          <w:sz w:val="17"/>
          <w:szCs w:val="17"/>
          <w:color w:val="auto"/>
        </w:rPr>
        <w:t>In connection with the Spin-off, we adopted the Kyndryl Excess Plan, a nonqualified deferred compensation plan that, starting in calendar year 2022, offers eligible employees an opportunity to defer up to 80% of their eligible compensation (including base and performance pay, but not any non-recurring compensation) in excess of the limits imposed by the Code under the Kyndryl 401(k) Plan.</w:t>
      </w:r>
    </w:p>
    <w:p>
      <w:pPr>
        <w:spacing w:after="0" w:line="123" w:lineRule="exact"/>
        <w:rPr>
          <w:sz w:val="20"/>
          <w:szCs w:val="20"/>
          <w:color w:val="auto"/>
        </w:rPr>
      </w:pPr>
    </w:p>
    <w:p>
      <w:pPr>
        <w:ind w:left="80" w:right="219"/>
        <w:spacing w:after="0" w:line="241" w:lineRule="auto"/>
        <w:rPr>
          <w:sz w:val="20"/>
          <w:szCs w:val="20"/>
          <w:color w:val="auto"/>
        </w:rPr>
      </w:pPr>
      <w:r>
        <w:rPr>
          <w:rFonts w:ascii="Arial" w:cs="Arial" w:eastAsia="Arial" w:hAnsi="Arial"/>
          <w:sz w:val="17"/>
          <w:szCs w:val="17"/>
          <w:color w:val="auto"/>
        </w:rPr>
        <w:t>Employees became eligible to participate in the Kyndryl Excess Plan beginning in 2022 if they (i) were hired as an executive or promoted to an executive position by Kyndryl after September 1, 2021 and prior to November 15, 2021 or (ii) directly transferred from IBM to Kyndryl and either (a) made elective deferrals under the IBM Excess Plan for the 2021 plan year or (b) were hired as an executive by IBM between November 15, 2020 and September 1, 2021. Each of the NEOs was eligible to participate in the Kyndryl Excess Plan in fiscal 2026.</w:t>
      </w:r>
    </w:p>
    <w:p>
      <w:pPr>
        <w:spacing w:after="0" w:line="126" w:lineRule="exact"/>
        <w:rPr>
          <w:sz w:val="20"/>
          <w:szCs w:val="20"/>
          <w:color w:val="auto"/>
        </w:rPr>
      </w:pPr>
    </w:p>
    <w:p>
      <w:pPr>
        <w:ind w:left="80" w:right="99"/>
        <w:spacing w:after="0" w:line="249" w:lineRule="auto"/>
        <w:rPr>
          <w:sz w:val="20"/>
          <w:szCs w:val="20"/>
          <w:color w:val="auto"/>
        </w:rPr>
      </w:pPr>
      <w:r>
        <w:rPr>
          <w:rFonts w:ascii="Arial" w:cs="Arial" w:eastAsia="Arial" w:hAnsi="Arial"/>
          <w:sz w:val="17"/>
          <w:szCs w:val="17"/>
          <w:color w:val="auto"/>
        </w:rPr>
        <w:t>For certain eligible employees that transferred from IBM, including Messrs. Schroeter, Keinan, Ringes, Sebold and Khurana and Ms. Charbonnier, we make, or have made, an annual automatic contribution to the Kyndryl Excess Plan currently equal to 6% of their eligible pay in excess of the limits under the Code.</w:t>
      </w:r>
    </w:p>
    <w:p>
      <w:pPr>
        <w:spacing w:after="0" w:line="121" w:lineRule="exact"/>
        <w:rPr>
          <w:sz w:val="20"/>
          <w:szCs w:val="20"/>
          <w:color w:val="auto"/>
        </w:rPr>
      </w:pPr>
    </w:p>
    <w:p>
      <w:pPr>
        <w:ind w:left="80" w:right="579"/>
        <w:spacing w:after="0" w:line="249" w:lineRule="auto"/>
        <w:rPr>
          <w:sz w:val="20"/>
          <w:szCs w:val="20"/>
          <w:color w:val="auto"/>
        </w:rPr>
      </w:pPr>
      <w:r>
        <w:rPr>
          <w:rFonts w:ascii="Arial" w:cs="Arial" w:eastAsia="Arial" w:hAnsi="Arial"/>
          <w:sz w:val="17"/>
          <w:szCs w:val="17"/>
          <w:color w:val="auto"/>
        </w:rPr>
        <w:t>Distributions are made following death (in a lump sum) or following a separation from service (in a lump sum or installments, based on the employee’s distribution election), subject to certain exceptions for compliance with Section 409A of the Code.</w:t>
      </w:r>
    </w:p>
    <w:p>
      <w:pPr>
        <w:spacing w:after="0" w:line="121" w:lineRule="exact"/>
        <w:rPr>
          <w:sz w:val="20"/>
          <w:szCs w:val="20"/>
          <w:color w:val="auto"/>
        </w:rPr>
      </w:pPr>
    </w:p>
    <w:p>
      <w:pPr>
        <w:ind w:left="80" w:right="419"/>
        <w:spacing w:after="0" w:line="267" w:lineRule="auto"/>
        <w:rPr>
          <w:sz w:val="20"/>
          <w:szCs w:val="20"/>
          <w:color w:val="auto"/>
        </w:rPr>
      </w:pPr>
      <w:r>
        <w:rPr>
          <w:rFonts w:ascii="Arial" w:cs="Arial" w:eastAsia="Arial" w:hAnsi="Arial"/>
          <w:sz w:val="17"/>
          <w:szCs w:val="17"/>
          <w:color w:val="auto"/>
        </w:rPr>
        <w:t>Deferrals under the Kyndryl Excess Plan may be allocated among hypothetical investment options that mirror the investment options available under our qualified Kyndryl 401(k) Plan.</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Potential Payments upon Termination or Change in Control</w:t>
      </w:r>
    </w:p>
    <w:p>
      <w:pPr>
        <w:spacing w:after="0" w:line="173" w:lineRule="exact"/>
        <w:rPr>
          <w:sz w:val="20"/>
          <w:szCs w:val="20"/>
          <w:color w:val="auto"/>
        </w:rPr>
      </w:pPr>
    </w:p>
    <w:p>
      <w:pPr>
        <w:ind w:left="80" w:right="119"/>
        <w:spacing w:after="0" w:line="241" w:lineRule="auto"/>
        <w:rPr>
          <w:sz w:val="20"/>
          <w:szCs w:val="20"/>
          <w:color w:val="auto"/>
        </w:rPr>
      </w:pPr>
      <w:r>
        <w:rPr>
          <w:rFonts w:ascii="Arial" w:cs="Arial" w:eastAsia="Arial" w:hAnsi="Arial"/>
          <w:sz w:val="17"/>
          <w:szCs w:val="17"/>
          <w:color w:val="auto"/>
        </w:rPr>
        <w:t>The following table describes the potential payments and benefits under the Company’s compensation and benefit plans and contractual agreements to which the NEOs (other than Messrs. Wyshner and Sebold) would have been entitled if a termination of employment or change in control occurred on the last business day of fiscal 2026. The only agreements, arrangements or plans that entitle the NEOs (other than Messrs. Wyshner and Sebold) to severance, perquisites or other enhanced benefits upon termination of their employment or a change in control are:</w:t>
      </w:r>
    </w:p>
    <w:p>
      <w:pPr>
        <w:spacing w:after="0" w:line="72" w:lineRule="exact"/>
        <w:rPr>
          <w:sz w:val="20"/>
          <w:szCs w:val="20"/>
          <w:color w:val="auto"/>
        </w:rPr>
      </w:pPr>
    </w:p>
    <w:p>
      <w:pPr>
        <w:ind w:left="900" w:hanging="356"/>
        <w:spacing w:after="0"/>
        <w:tabs>
          <w:tab w:leader="none" w:pos="900" w:val="left"/>
        </w:tabs>
        <w:numPr>
          <w:ilvl w:val="0"/>
          <w:numId w:val="87"/>
        </w:numPr>
        <w:rPr>
          <w:rFonts w:ascii="Arial" w:cs="Arial" w:eastAsia="Arial" w:hAnsi="Arial"/>
          <w:sz w:val="17"/>
          <w:szCs w:val="17"/>
          <w:color w:val="F0533D"/>
        </w:rPr>
      </w:pPr>
      <w:r>
        <w:rPr>
          <w:rFonts w:ascii="Arial" w:cs="Arial" w:eastAsia="Arial" w:hAnsi="Arial"/>
          <w:sz w:val="17"/>
          <w:szCs w:val="17"/>
          <w:color w:val="auto"/>
        </w:rPr>
        <w:t>the Severance Plan; and</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87"/>
        </w:numPr>
        <w:rPr>
          <w:rFonts w:ascii="Arial" w:cs="Arial" w:eastAsia="Arial" w:hAnsi="Arial"/>
          <w:sz w:val="17"/>
          <w:szCs w:val="17"/>
          <w:color w:val="F0533D"/>
        </w:rPr>
      </w:pPr>
      <w:r>
        <w:rPr>
          <w:rFonts w:ascii="Arial" w:cs="Arial" w:eastAsia="Arial" w:hAnsi="Arial"/>
          <w:sz w:val="17"/>
          <w:szCs w:val="17"/>
          <w:color w:val="auto"/>
        </w:rPr>
        <w:t>the terms of the NEOs’ equity awards.</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amounts shown in the table do not include:</w:t>
      </w:r>
    </w:p>
    <w:p>
      <w:pPr>
        <w:spacing w:after="0" w:line="102" w:lineRule="exact"/>
        <w:rPr>
          <w:sz w:val="20"/>
          <w:szCs w:val="20"/>
          <w:color w:val="auto"/>
        </w:rPr>
      </w:pPr>
    </w:p>
    <w:p>
      <w:pPr>
        <w:ind w:left="900" w:right="159" w:hanging="356"/>
        <w:spacing w:after="0" w:line="267" w:lineRule="auto"/>
        <w:tabs>
          <w:tab w:leader="none" w:pos="900" w:val="left"/>
        </w:tabs>
        <w:numPr>
          <w:ilvl w:val="0"/>
          <w:numId w:val="88"/>
        </w:numPr>
        <w:rPr>
          <w:rFonts w:ascii="Arial" w:cs="Arial" w:eastAsia="Arial" w:hAnsi="Arial"/>
          <w:sz w:val="17"/>
          <w:szCs w:val="17"/>
          <w:color w:val="F0533D"/>
        </w:rPr>
      </w:pPr>
      <w:r>
        <w:rPr>
          <w:rFonts w:ascii="Arial" w:cs="Arial" w:eastAsia="Arial" w:hAnsi="Arial"/>
          <w:sz w:val="17"/>
          <w:szCs w:val="17"/>
          <w:color w:val="auto"/>
        </w:rPr>
        <w:t>payments and benefits to the extent they are provided generally to all salaried employees upon termination of employment and do not discriminate in scope, terms or operation in favor of the NEOs; and</w:t>
      </w:r>
    </w:p>
    <w:p>
      <w:pPr>
        <w:spacing w:after="0" w:line="51" w:lineRule="exact"/>
        <w:rPr>
          <w:rFonts w:ascii="Arial" w:cs="Arial" w:eastAsia="Arial" w:hAnsi="Arial"/>
          <w:sz w:val="17"/>
          <w:szCs w:val="17"/>
          <w:color w:val="F0533D"/>
        </w:rPr>
      </w:pPr>
    </w:p>
    <w:p>
      <w:pPr>
        <w:ind w:left="900" w:right="299" w:hanging="356"/>
        <w:spacing w:after="0" w:line="249" w:lineRule="auto"/>
        <w:tabs>
          <w:tab w:leader="none" w:pos="900" w:val="left"/>
        </w:tabs>
        <w:numPr>
          <w:ilvl w:val="0"/>
          <w:numId w:val="88"/>
        </w:numPr>
        <w:rPr>
          <w:rFonts w:ascii="Arial" w:cs="Arial" w:eastAsia="Arial" w:hAnsi="Arial"/>
          <w:sz w:val="17"/>
          <w:szCs w:val="17"/>
          <w:color w:val="F0533D"/>
        </w:rPr>
      </w:pPr>
      <w:r>
        <w:rPr>
          <w:rFonts w:ascii="Arial" w:cs="Arial" w:eastAsia="Arial" w:hAnsi="Arial"/>
          <w:sz w:val="17"/>
          <w:szCs w:val="17"/>
          <w:color w:val="auto"/>
        </w:rPr>
        <w:t>distributions of previously vested plan balances under the Kyndryl 401(k) Plan, the Kyndryl Excess Plan and the IBM Excess Plan (see “Non-Qualified Deferred Compensation for Fiscal 2026” above for information about the Kyndryl Excess Plan and the IBM Excess Plan).</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6" w:name="page77"/>
    <w:bookmarkEnd w:id="7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Potential Payments to NEOs upon Termination of Employment or Change in Control Table</w:t>
      </w: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2360" w:type="dxa"/>
            <w:vAlign w:val="bottom"/>
          </w:tcPr>
          <w:p>
            <w:pPr>
              <w:spacing w:after="0"/>
              <w:rPr>
                <w:sz w:val="13"/>
                <w:szCs w:val="13"/>
                <w:color w:val="auto"/>
              </w:rPr>
            </w:pPr>
          </w:p>
        </w:tc>
        <w:tc>
          <w:tcPr>
            <w:tcW w:w="1240" w:type="dxa"/>
            <w:vAlign w:val="bottom"/>
          </w:tcPr>
          <w:p>
            <w:pPr>
              <w:jc w:val="center"/>
              <w:ind w:left="113"/>
              <w:spacing w:after="0"/>
              <w:rPr>
                <w:sz w:val="20"/>
                <w:szCs w:val="20"/>
                <w:color w:val="auto"/>
              </w:rPr>
            </w:pPr>
            <w:r>
              <w:rPr>
                <w:rFonts w:ascii="Arial" w:cs="Arial" w:eastAsia="Arial" w:hAnsi="Arial"/>
                <w:sz w:val="13"/>
                <w:szCs w:val="13"/>
                <w:b w:val="1"/>
                <w:bCs w:val="1"/>
                <w:color w:val="F0533D"/>
              </w:rPr>
              <w:t>Covered</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F0533D"/>
              </w:rPr>
              <w:t>Covered Termination</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F0533D"/>
              </w:rPr>
              <w:t>Qualifying</w:t>
            </w:r>
          </w:p>
        </w:tc>
        <w:tc>
          <w:tcPr>
            <w:tcW w:w="100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F0533D"/>
              </w:rPr>
              <w:t>Disability</w:t>
            </w:r>
          </w:p>
        </w:tc>
        <w:tc>
          <w:tcPr>
            <w:tcW w:w="960" w:type="dxa"/>
            <w:vAlign w:val="bottom"/>
            <w:vMerge w:val="restart"/>
          </w:tcPr>
          <w:p>
            <w:pPr>
              <w:jc w:val="right"/>
              <w:ind w:right="233"/>
              <w:spacing w:after="0"/>
              <w:rPr>
                <w:sz w:val="20"/>
                <w:szCs w:val="20"/>
                <w:color w:val="auto"/>
              </w:rPr>
            </w:pPr>
            <w:r>
              <w:rPr>
                <w:rFonts w:ascii="Arial" w:cs="Arial" w:eastAsia="Arial" w:hAnsi="Arial"/>
                <w:sz w:val="13"/>
                <w:szCs w:val="13"/>
                <w:b w:val="1"/>
                <w:bCs w:val="1"/>
                <w:color w:val="F0533D"/>
              </w:rPr>
              <w:t>Death</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140"/>
              <w:spacing w:after="0"/>
              <w:rPr>
                <w:sz w:val="20"/>
                <w:szCs w:val="20"/>
                <w:color w:val="auto"/>
              </w:rPr>
            </w:pPr>
            <w:r>
              <w:rPr>
                <w:rFonts w:ascii="Arial" w:cs="Arial" w:eastAsia="Arial" w:hAnsi="Arial"/>
                <w:sz w:val="13"/>
                <w:szCs w:val="13"/>
                <w:b w:val="1"/>
                <w:bCs w:val="1"/>
                <w:color w:val="F0533D"/>
              </w:rPr>
              <w:t>Name</w:t>
            </w:r>
          </w:p>
        </w:tc>
        <w:tc>
          <w:tcPr>
            <w:tcW w:w="1240" w:type="dxa"/>
            <w:vAlign w:val="bottom"/>
          </w:tcPr>
          <w:p>
            <w:pPr>
              <w:jc w:val="center"/>
              <w:ind w:left="53"/>
              <w:spacing w:after="0"/>
              <w:rPr>
                <w:sz w:val="20"/>
                <w:szCs w:val="20"/>
                <w:color w:val="auto"/>
              </w:rPr>
            </w:pPr>
            <w:r>
              <w:rPr>
                <w:rFonts w:ascii="Arial" w:cs="Arial" w:eastAsia="Arial" w:hAnsi="Arial"/>
                <w:sz w:val="13"/>
                <w:szCs w:val="13"/>
                <w:b w:val="1"/>
                <w:bCs w:val="1"/>
                <w:color w:val="F0533D"/>
              </w:rPr>
              <w:t>Termination</w:t>
            </w:r>
          </w:p>
        </w:tc>
        <w:tc>
          <w:tcPr>
            <w:tcW w:w="2260" w:type="dxa"/>
            <w:vAlign w:val="bottom"/>
          </w:tcPr>
          <w:p>
            <w:pPr>
              <w:jc w:val="center"/>
              <w:spacing w:after="0"/>
              <w:rPr>
                <w:sz w:val="20"/>
                <w:szCs w:val="20"/>
                <w:color w:val="auto"/>
              </w:rPr>
            </w:pPr>
            <w:r>
              <w:rPr>
                <w:rFonts w:ascii="Arial" w:cs="Arial" w:eastAsia="Arial" w:hAnsi="Arial"/>
                <w:sz w:val="13"/>
                <w:szCs w:val="13"/>
                <w:b w:val="1"/>
                <w:bCs w:val="1"/>
                <w:color w:val="F0533D"/>
              </w:rPr>
              <w:t>following a Change in Control</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F0533D"/>
              </w:rPr>
              <w:t>Retirement</w:t>
            </w:r>
          </w:p>
        </w:tc>
        <w:tc>
          <w:tcPr>
            <w:tcW w:w="10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360" w:type="dxa"/>
            <w:vAlign w:val="bottom"/>
            <w:tcBorders>
              <w:bottom w:val="single" w:sz="8" w:color="F0533D"/>
            </w:tcBorders>
            <w:vMerge w:val="continue"/>
          </w:tcPr>
          <w:p>
            <w:pPr>
              <w:spacing w:after="0"/>
              <w:rPr>
                <w:sz w:val="14"/>
                <w:szCs w:val="14"/>
                <w:color w:val="auto"/>
              </w:rPr>
            </w:pPr>
          </w:p>
        </w:tc>
        <w:tc>
          <w:tcPr>
            <w:tcW w:w="1240" w:type="dxa"/>
            <w:vAlign w:val="bottom"/>
            <w:tcBorders>
              <w:bottom w:val="single" w:sz="8" w:color="F0533D"/>
            </w:tcBorders>
          </w:tcPr>
          <w:p>
            <w:pPr>
              <w:jc w:val="center"/>
              <w:ind w:left="93"/>
              <w:spacing w:after="0"/>
              <w:rPr>
                <w:sz w:val="20"/>
                <w:szCs w:val="20"/>
                <w:color w:val="auto"/>
              </w:rPr>
            </w:pPr>
            <w:r>
              <w:rPr>
                <w:rFonts w:ascii="Arial" w:cs="Arial" w:eastAsia="Arial" w:hAnsi="Arial"/>
                <w:sz w:val="13"/>
                <w:szCs w:val="13"/>
                <w:b w:val="1"/>
                <w:bCs w:val="1"/>
                <w:color w:val="F0533D"/>
              </w:rPr>
              <w:t>($)</w:t>
            </w:r>
          </w:p>
        </w:tc>
        <w:tc>
          <w:tcPr>
            <w:tcW w:w="226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1040" w:type="dxa"/>
            <w:vAlign w:val="bottom"/>
            <w:tcBorders>
              <w:bottom w:val="single" w:sz="8" w:color="F0533D"/>
            </w:tcBorders>
          </w:tcPr>
          <w:p>
            <w:pPr>
              <w:jc w:val="center"/>
              <w:spacing w:after="0"/>
              <w:rPr>
                <w:sz w:val="20"/>
                <w:szCs w:val="20"/>
                <w:color w:val="auto"/>
              </w:rPr>
            </w:pPr>
            <w:r>
              <w:rPr>
                <w:rFonts w:ascii="Arial" w:cs="Arial" w:eastAsia="Arial" w:hAnsi="Arial"/>
                <w:sz w:val="13"/>
                <w:szCs w:val="13"/>
                <w:b w:val="1"/>
                <w:bCs w:val="1"/>
                <w:color w:val="F0533D"/>
              </w:rPr>
              <w:t>($)</w:t>
            </w:r>
          </w:p>
        </w:tc>
        <w:tc>
          <w:tcPr>
            <w:tcW w:w="1000" w:type="dxa"/>
            <w:vAlign w:val="bottom"/>
            <w:tcBorders>
              <w:bottom w:val="single" w:sz="8" w:color="F0533D"/>
            </w:tcBorders>
          </w:tcPr>
          <w:p>
            <w:pPr>
              <w:jc w:val="right"/>
              <w:ind w:right="333"/>
              <w:spacing w:after="0"/>
              <w:rPr>
                <w:sz w:val="20"/>
                <w:szCs w:val="20"/>
                <w:color w:val="auto"/>
              </w:rPr>
            </w:pPr>
            <w:r>
              <w:rPr>
                <w:rFonts w:ascii="Arial" w:cs="Arial" w:eastAsia="Arial" w:hAnsi="Arial"/>
                <w:sz w:val="13"/>
                <w:szCs w:val="13"/>
                <w:b w:val="1"/>
                <w:bCs w:val="1"/>
                <w:color w:val="F0533D"/>
              </w:rPr>
              <w:t>($)</w:t>
            </w:r>
          </w:p>
        </w:tc>
        <w:tc>
          <w:tcPr>
            <w:tcW w:w="960" w:type="dxa"/>
            <w:vAlign w:val="bottom"/>
            <w:tcBorders>
              <w:bottom w:val="single" w:sz="8" w:color="F0533D"/>
            </w:tcBorders>
          </w:tcPr>
          <w:p>
            <w:pPr>
              <w:jc w:val="right"/>
              <w:ind w:right="313"/>
              <w:spacing w:after="0"/>
              <w:rPr>
                <w:sz w:val="20"/>
                <w:szCs w:val="20"/>
                <w:color w:val="auto"/>
              </w:rPr>
            </w:pPr>
            <w:r>
              <w:rPr>
                <w:rFonts w:ascii="Arial" w:cs="Arial" w:eastAsia="Arial" w:hAnsi="Arial"/>
                <w:sz w:val="13"/>
                <w:szCs w:val="13"/>
                <w:b w:val="1"/>
                <w:bCs w:val="1"/>
                <w:color w:val="F0533D"/>
              </w:rPr>
              <w:t>($)</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Martin Schroeter</w:t>
            </w:r>
          </w:p>
        </w:tc>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(1)</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5,054,360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12,687,500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Non-Performance Based Cash</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Award</w:t>
            </w:r>
            <w:r>
              <w:rPr>
                <w:rFonts w:ascii="Arial" w:cs="Arial" w:eastAsia="Arial" w:hAnsi="Arial"/>
                <w:sz w:val="21"/>
                <w:szCs w:val="21"/>
                <w:color w:val="auto"/>
                <w:vertAlign w:val="superscript"/>
              </w:rPr>
              <w:t>(2)</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Acceleration of Equity Awards</w:t>
            </w:r>
            <w:r>
              <w:rPr>
                <w:rFonts w:ascii="Arial" w:cs="Arial" w:eastAsia="Arial" w:hAnsi="Arial"/>
                <w:sz w:val="21"/>
                <w:szCs w:val="21"/>
                <w:color w:val="auto"/>
                <w:vertAlign w:val="superscript"/>
              </w:rPr>
              <w:t>(3)</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14,173,457</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4,434,993</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14,173,457</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14,173,457</w:t>
            </w: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Value of Continuing Benefits</w:t>
            </w:r>
            <w:r>
              <w:rPr>
                <w:rFonts w:ascii="Arial" w:cs="Arial" w:eastAsia="Arial" w:hAnsi="Arial"/>
                <w:sz w:val="20"/>
                <w:szCs w:val="20"/>
                <w:color w:val="auto"/>
                <w:vertAlign w:val="superscript"/>
              </w:rPr>
              <w:t>(4)</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49,771</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49,771</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Value of Continuing Financial</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320"/>
              <w:spacing w:after="0" w:line="189" w:lineRule="exact"/>
              <w:rPr>
                <w:sz w:val="20"/>
                <w:szCs w:val="20"/>
                <w:color w:val="auto"/>
              </w:rPr>
            </w:pPr>
            <w:r>
              <w:rPr>
                <w:rFonts w:ascii="Arial" w:cs="Arial" w:eastAsia="Arial" w:hAnsi="Arial"/>
                <w:sz w:val="13"/>
                <w:szCs w:val="13"/>
                <w:color w:val="auto"/>
              </w:rPr>
              <w:t>Advisory Services</w:t>
            </w:r>
            <w:r>
              <w:rPr>
                <w:rFonts w:ascii="Arial" w:cs="Arial" w:eastAsia="Arial" w:hAnsi="Arial"/>
                <w:sz w:val="21"/>
                <w:szCs w:val="21"/>
                <w:color w:val="auto"/>
                <w:vertAlign w:val="superscript"/>
              </w:rPr>
              <w:t>(5)</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7,500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7,500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360" w:type="dxa"/>
            <w:vAlign w:val="bottom"/>
          </w:tcPr>
          <w:p>
            <w:pPr>
              <w:ind w:left="140"/>
              <w:spacing w:after="0" w:line="178" w:lineRule="exact"/>
              <w:rPr>
                <w:sz w:val="20"/>
                <w:szCs w:val="20"/>
                <w:color w:val="auto"/>
              </w:rPr>
            </w:pPr>
            <w:r>
              <w:rPr>
                <w:rFonts w:ascii="Arial" w:cs="Arial" w:eastAsia="Arial" w:hAnsi="Arial"/>
                <w:sz w:val="12"/>
                <w:szCs w:val="12"/>
                <w:color w:val="auto"/>
              </w:rPr>
              <w:t>Outplacement Benefit</w:t>
            </w:r>
            <w:r>
              <w:rPr>
                <w:rFonts w:ascii="Arial" w:cs="Arial" w:eastAsia="Arial" w:hAnsi="Arial"/>
                <w:sz w:val="20"/>
                <w:szCs w:val="20"/>
                <w:color w:val="auto"/>
                <w:vertAlign w:val="superscript"/>
              </w:rPr>
              <w:t>(6)</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80,000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80,000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360" w:type="dxa"/>
            <w:vAlign w:val="bottom"/>
            <w:tcBorders>
              <w:bottom w:val="single" w:sz="8" w:color="F0533D"/>
            </w:tcBorders>
          </w:tcPr>
          <w:p>
            <w:pPr>
              <w:ind w:left="14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F0533D"/>
            </w:tcBorders>
          </w:tcPr>
          <w:p>
            <w:pPr>
              <w:jc w:val="right"/>
              <w:ind w:right="193"/>
              <w:spacing w:after="0"/>
              <w:rPr>
                <w:sz w:val="20"/>
                <w:szCs w:val="20"/>
                <w:color w:val="auto"/>
              </w:rPr>
            </w:pPr>
            <w:r>
              <w:rPr>
                <w:rFonts w:ascii="Arial" w:cs="Arial" w:eastAsia="Arial" w:hAnsi="Arial"/>
                <w:sz w:val="13"/>
                <w:szCs w:val="13"/>
                <w:color w:val="auto"/>
              </w:rPr>
              <w:t>5,191,631</w:t>
            </w:r>
          </w:p>
        </w:tc>
        <w:tc>
          <w:tcPr>
            <w:tcW w:w="2260" w:type="dxa"/>
            <w:vAlign w:val="bottom"/>
            <w:tcBorders>
              <w:bottom w:val="single" w:sz="8" w:color="F0533D"/>
            </w:tcBorders>
          </w:tcPr>
          <w:p>
            <w:pPr>
              <w:jc w:val="right"/>
              <w:ind w:right="733"/>
              <w:spacing w:after="0"/>
              <w:rPr>
                <w:sz w:val="20"/>
                <w:szCs w:val="20"/>
                <w:color w:val="auto"/>
              </w:rPr>
            </w:pPr>
            <w:r>
              <w:rPr>
                <w:rFonts w:ascii="Arial" w:cs="Arial" w:eastAsia="Arial" w:hAnsi="Arial"/>
                <w:sz w:val="13"/>
                <w:szCs w:val="13"/>
                <w:color w:val="auto"/>
              </w:rPr>
              <w:t>26,998,228</w:t>
            </w:r>
          </w:p>
        </w:tc>
        <w:tc>
          <w:tcPr>
            <w:tcW w:w="104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4,434,993</w:t>
            </w:r>
          </w:p>
        </w:tc>
        <w:tc>
          <w:tcPr>
            <w:tcW w:w="1000" w:type="dxa"/>
            <w:vAlign w:val="bottom"/>
            <w:tcBorders>
              <w:bottom w:val="single" w:sz="8" w:color="F0533D"/>
            </w:tcBorders>
          </w:tcPr>
          <w:p>
            <w:pPr>
              <w:jc w:val="right"/>
              <w:ind w:right="93"/>
              <w:spacing w:after="0"/>
              <w:rPr>
                <w:sz w:val="20"/>
                <w:szCs w:val="20"/>
                <w:color w:val="auto"/>
              </w:rPr>
            </w:pPr>
            <w:r>
              <w:rPr>
                <w:rFonts w:ascii="Arial" w:cs="Arial" w:eastAsia="Arial" w:hAnsi="Arial"/>
                <w:sz w:val="13"/>
                <w:szCs w:val="13"/>
                <w:color w:val="auto"/>
              </w:rPr>
              <w:t>14,173,457</w:t>
            </w:r>
          </w:p>
        </w:tc>
        <w:tc>
          <w:tcPr>
            <w:tcW w:w="960" w:type="dxa"/>
            <w:vAlign w:val="bottom"/>
            <w:tcBorders>
              <w:bottom w:val="single" w:sz="8" w:color="F0533D"/>
            </w:tcBorders>
          </w:tcPr>
          <w:p>
            <w:pPr>
              <w:jc w:val="right"/>
              <w:ind w:right="53"/>
              <w:spacing w:after="0"/>
              <w:rPr>
                <w:sz w:val="20"/>
                <w:szCs w:val="20"/>
                <w:color w:val="auto"/>
              </w:rPr>
            </w:pPr>
            <w:r>
              <w:rPr>
                <w:rFonts w:ascii="Arial" w:cs="Arial" w:eastAsia="Arial" w:hAnsi="Arial"/>
                <w:sz w:val="13"/>
                <w:szCs w:val="13"/>
                <w:color w:val="auto"/>
              </w:rPr>
              <w:t>14,173,457</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Harsh Chugh</w:t>
            </w:r>
          </w:p>
        </w:tc>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(1)</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1,773,041</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3,300,000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Non-Performance Based Cash</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Award</w:t>
            </w:r>
            <w:r>
              <w:rPr>
                <w:rFonts w:ascii="Arial" w:cs="Arial" w:eastAsia="Arial" w:hAnsi="Arial"/>
                <w:sz w:val="21"/>
                <w:szCs w:val="21"/>
                <w:color w:val="auto"/>
                <w:vertAlign w:val="superscript"/>
              </w:rPr>
              <w:t>(2)</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262,500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262,500</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262,500</w:t>
            </w: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Acceleration of Equity Awards</w:t>
            </w:r>
            <w:r>
              <w:rPr>
                <w:rFonts w:ascii="Arial" w:cs="Arial" w:eastAsia="Arial" w:hAnsi="Arial"/>
                <w:sz w:val="21"/>
                <w:szCs w:val="21"/>
                <w:color w:val="auto"/>
                <w:vertAlign w:val="superscript"/>
              </w:rPr>
              <w:t>(3)</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1,892,652</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1,892,652</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1,892,652</w:t>
            </w: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Value of Continuing Benefits</w:t>
            </w:r>
            <w:r>
              <w:rPr>
                <w:rFonts w:ascii="Arial" w:cs="Arial" w:eastAsia="Arial" w:hAnsi="Arial"/>
                <w:sz w:val="20"/>
                <w:szCs w:val="20"/>
                <w:color w:val="auto"/>
                <w:vertAlign w:val="superscript"/>
              </w:rPr>
              <w:t>(4)</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49,771</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49,771</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Value of Continuing Financial</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320"/>
              <w:spacing w:after="0" w:line="189" w:lineRule="exact"/>
              <w:rPr>
                <w:sz w:val="20"/>
                <w:szCs w:val="20"/>
                <w:color w:val="auto"/>
              </w:rPr>
            </w:pPr>
            <w:r>
              <w:rPr>
                <w:rFonts w:ascii="Arial" w:cs="Arial" w:eastAsia="Arial" w:hAnsi="Arial"/>
                <w:sz w:val="13"/>
                <w:szCs w:val="13"/>
                <w:color w:val="auto"/>
              </w:rPr>
              <w:t>Advisory Services</w:t>
            </w:r>
            <w:r>
              <w:rPr>
                <w:rFonts w:ascii="Arial" w:cs="Arial" w:eastAsia="Arial" w:hAnsi="Arial"/>
                <w:sz w:val="21"/>
                <w:szCs w:val="21"/>
                <w:color w:val="auto"/>
                <w:vertAlign w:val="superscript"/>
              </w:rPr>
              <w:t>(5)</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6,750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6,750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360" w:type="dxa"/>
            <w:vAlign w:val="bottom"/>
          </w:tcPr>
          <w:p>
            <w:pPr>
              <w:ind w:left="140"/>
              <w:spacing w:after="0" w:line="178" w:lineRule="exact"/>
              <w:rPr>
                <w:sz w:val="20"/>
                <w:szCs w:val="20"/>
                <w:color w:val="auto"/>
              </w:rPr>
            </w:pPr>
            <w:r>
              <w:rPr>
                <w:rFonts w:ascii="Arial" w:cs="Arial" w:eastAsia="Arial" w:hAnsi="Arial"/>
                <w:sz w:val="12"/>
                <w:szCs w:val="12"/>
                <w:color w:val="auto"/>
              </w:rPr>
              <w:t>Outplacement Benefit</w:t>
            </w:r>
            <w:r>
              <w:rPr>
                <w:rFonts w:ascii="Arial" w:cs="Arial" w:eastAsia="Arial" w:hAnsi="Arial"/>
                <w:sz w:val="20"/>
                <w:szCs w:val="20"/>
                <w:color w:val="auto"/>
                <w:vertAlign w:val="superscript"/>
              </w:rPr>
              <w:t>(6)</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80,000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80,000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360" w:type="dxa"/>
            <w:vAlign w:val="bottom"/>
            <w:tcBorders>
              <w:bottom w:val="single" w:sz="8" w:color="F0533D"/>
            </w:tcBorders>
          </w:tcPr>
          <w:p>
            <w:pPr>
              <w:ind w:left="14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F0533D"/>
            </w:tcBorders>
          </w:tcPr>
          <w:p>
            <w:pPr>
              <w:jc w:val="right"/>
              <w:ind w:right="193"/>
              <w:spacing w:after="0"/>
              <w:rPr>
                <w:sz w:val="20"/>
                <w:szCs w:val="20"/>
                <w:color w:val="auto"/>
              </w:rPr>
            </w:pPr>
            <w:r>
              <w:rPr>
                <w:rFonts w:ascii="Arial" w:cs="Arial" w:eastAsia="Arial" w:hAnsi="Arial"/>
                <w:sz w:val="13"/>
                <w:szCs w:val="13"/>
                <w:color w:val="auto"/>
              </w:rPr>
              <w:t>1,909,562</w:t>
            </w:r>
          </w:p>
        </w:tc>
        <w:tc>
          <w:tcPr>
            <w:tcW w:w="2260" w:type="dxa"/>
            <w:vAlign w:val="bottom"/>
            <w:tcBorders>
              <w:bottom w:val="single" w:sz="8" w:color="F0533D"/>
            </w:tcBorders>
          </w:tcPr>
          <w:p>
            <w:pPr>
              <w:jc w:val="right"/>
              <w:ind w:right="753"/>
              <w:spacing w:after="0"/>
              <w:rPr>
                <w:sz w:val="20"/>
                <w:szCs w:val="20"/>
                <w:color w:val="auto"/>
              </w:rPr>
            </w:pPr>
            <w:r>
              <w:rPr>
                <w:rFonts w:ascii="Arial" w:cs="Arial" w:eastAsia="Arial" w:hAnsi="Arial"/>
                <w:sz w:val="13"/>
                <w:szCs w:val="13"/>
                <w:color w:val="auto"/>
              </w:rPr>
              <w:t>5,591,673</w:t>
            </w:r>
          </w:p>
        </w:tc>
        <w:tc>
          <w:tcPr>
            <w:tcW w:w="104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93"/>
              <w:spacing w:after="0"/>
              <w:rPr>
                <w:sz w:val="20"/>
                <w:szCs w:val="20"/>
                <w:color w:val="auto"/>
              </w:rPr>
            </w:pPr>
            <w:r>
              <w:rPr>
                <w:rFonts w:ascii="Arial" w:cs="Arial" w:eastAsia="Arial" w:hAnsi="Arial"/>
                <w:sz w:val="13"/>
                <w:szCs w:val="13"/>
                <w:color w:val="auto"/>
              </w:rPr>
              <w:t>2,155,152</w:t>
            </w:r>
          </w:p>
        </w:tc>
        <w:tc>
          <w:tcPr>
            <w:tcW w:w="960" w:type="dxa"/>
            <w:vAlign w:val="bottom"/>
            <w:tcBorders>
              <w:bottom w:val="single" w:sz="8" w:color="F0533D"/>
            </w:tcBorders>
          </w:tcPr>
          <w:p>
            <w:pPr>
              <w:jc w:val="right"/>
              <w:ind w:right="73"/>
              <w:spacing w:after="0"/>
              <w:rPr>
                <w:sz w:val="20"/>
                <w:szCs w:val="20"/>
                <w:color w:val="auto"/>
              </w:rPr>
            </w:pPr>
            <w:r>
              <w:rPr>
                <w:rFonts w:ascii="Arial" w:cs="Arial" w:eastAsia="Arial" w:hAnsi="Arial"/>
                <w:sz w:val="13"/>
                <w:szCs w:val="13"/>
                <w:color w:val="auto"/>
              </w:rPr>
              <w:t>2,155,152</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Elly Keinan</w:t>
            </w:r>
          </w:p>
        </w:tc>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(1)</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2,844,356</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6,500,000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Non-Performance Based Cash</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Award</w:t>
            </w:r>
            <w:r>
              <w:rPr>
                <w:rFonts w:ascii="Arial" w:cs="Arial" w:eastAsia="Arial" w:hAnsi="Arial"/>
                <w:sz w:val="21"/>
                <w:szCs w:val="21"/>
                <w:color w:val="auto"/>
                <w:vertAlign w:val="superscript"/>
              </w:rPr>
              <w:t>(2)</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Acceleration of Equity Awards</w:t>
            </w:r>
            <w:r>
              <w:rPr>
                <w:rFonts w:ascii="Arial" w:cs="Arial" w:eastAsia="Arial" w:hAnsi="Arial"/>
                <w:sz w:val="21"/>
                <w:szCs w:val="21"/>
                <w:color w:val="auto"/>
                <w:vertAlign w:val="superscript"/>
              </w:rPr>
              <w:t>(3)</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11,633,740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3,115,921</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11,633,740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11,633,740</w:t>
            </w: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Value of Continuing Benefits</w:t>
            </w:r>
            <w:r>
              <w:rPr>
                <w:rFonts w:ascii="Arial" w:cs="Arial" w:eastAsia="Arial" w:hAnsi="Arial"/>
                <w:sz w:val="20"/>
                <w:szCs w:val="20"/>
                <w:color w:val="auto"/>
                <w:vertAlign w:val="superscript"/>
              </w:rPr>
              <w:t>(4)</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36,705</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36,705</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Value of Continuing Financial</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320"/>
              <w:spacing w:after="0" w:line="189" w:lineRule="exact"/>
              <w:rPr>
                <w:sz w:val="20"/>
                <w:szCs w:val="20"/>
                <w:color w:val="auto"/>
              </w:rPr>
            </w:pPr>
            <w:r>
              <w:rPr>
                <w:rFonts w:ascii="Arial" w:cs="Arial" w:eastAsia="Arial" w:hAnsi="Arial"/>
                <w:sz w:val="13"/>
                <w:szCs w:val="13"/>
                <w:color w:val="auto"/>
              </w:rPr>
              <w:t>Advisory Services</w:t>
            </w:r>
            <w:r>
              <w:rPr>
                <w:rFonts w:ascii="Arial" w:cs="Arial" w:eastAsia="Arial" w:hAnsi="Arial"/>
                <w:sz w:val="21"/>
                <w:szCs w:val="21"/>
                <w:color w:val="auto"/>
                <w:vertAlign w:val="superscript"/>
              </w:rPr>
              <w:t>(5)</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6,750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6,750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360" w:type="dxa"/>
            <w:vAlign w:val="bottom"/>
          </w:tcPr>
          <w:p>
            <w:pPr>
              <w:ind w:left="140"/>
              <w:spacing w:after="0" w:line="178" w:lineRule="exact"/>
              <w:rPr>
                <w:sz w:val="20"/>
                <w:szCs w:val="20"/>
                <w:color w:val="auto"/>
              </w:rPr>
            </w:pPr>
            <w:r>
              <w:rPr>
                <w:rFonts w:ascii="Arial" w:cs="Arial" w:eastAsia="Arial" w:hAnsi="Arial"/>
                <w:sz w:val="12"/>
                <w:szCs w:val="12"/>
                <w:color w:val="auto"/>
              </w:rPr>
              <w:t>Outplacement Benefit</w:t>
            </w:r>
            <w:r>
              <w:rPr>
                <w:rFonts w:ascii="Arial" w:cs="Arial" w:eastAsia="Arial" w:hAnsi="Arial"/>
                <w:sz w:val="20"/>
                <w:szCs w:val="20"/>
                <w:color w:val="auto"/>
                <w:vertAlign w:val="superscript"/>
              </w:rPr>
              <w:t>(6)</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80,000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80,000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360" w:type="dxa"/>
            <w:vAlign w:val="bottom"/>
            <w:tcBorders>
              <w:bottom w:val="single" w:sz="8" w:color="F0533D"/>
            </w:tcBorders>
          </w:tcPr>
          <w:p>
            <w:pPr>
              <w:ind w:left="14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F0533D"/>
            </w:tcBorders>
          </w:tcPr>
          <w:p>
            <w:pPr>
              <w:jc w:val="right"/>
              <w:ind w:right="213"/>
              <w:spacing w:after="0"/>
              <w:rPr>
                <w:sz w:val="20"/>
                <w:szCs w:val="20"/>
                <w:color w:val="auto"/>
              </w:rPr>
            </w:pPr>
            <w:r>
              <w:rPr>
                <w:rFonts w:ascii="Arial" w:cs="Arial" w:eastAsia="Arial" w:hAnsi="Arial"/>
                <w:sz w:val="13"/>
                <w:szCs w:val="13"/>
                <w:color w:val="auto"/>
              </w:rPr>
              <w:t>2,967,811</w:t>
            </w:r>
          </w:p>
        </w:tc>
        <w:tc>
          <w:tcPr>
            <w:tcW w:w="2260" w:type="dxa"/>
            <w:vAlign w:val="bottom"/>
            <w:tcBorders>
              <w:bottom w:val="single" w:sz="8" w:color="F0533D"/>
            </w:tcBorders>
          </w:tcPr>
          <w:p>
            <w:pPr>
              <w:jc w:val="right"/>
              <w:ind w:right="733"/>
              <w:spacing w:after="0"/>
              <w:rPr>
                <w:sz w:val="20"/>
                <w:szCs w:val="20"/>
                <w:color w:val="auto"/>
              </w:rPr>
            </w:pPr>
            <w:r>
              <w:rPr>
                <w:rFonts w:ascii="Arial" w:cs="Arial" w:eastAsia="Arial" w:hAnsi="Arial"/>
                <w:sz w:val="13"/>
                <w:szCs w:val="13"/>
                <w:color w:val="auto"/>
              </w:rPr>
              <w:t>18,257,195</w:t>
            </w:r>
          </w:p>
        </w:tc>
        <w:tc>
          <w:tcPr>
            <w:tcW w:w="104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3,115,921</w:t>
            </w:r>
          </w:p>
        </w:tc>
        <w:tc>
          <w:tcPr>
            <w:tcW w:w="1000" w:type="dxa"/>
            <w:vAlign w:val="bottom"/>
            <w:tcBorders>
              <w:bottom w:val="single" w:sz="8" w:color="F0533D"/>
            </w:tcBorders>
          </w:tcPr>
          <w:p>
            <w:pPr>
              <w:jc w:val="right"/>
              <w:ind w:right="93"/>
              <w:spacing w:after="0"/>
              <w:rPr>
                <w:sz w:val="20"/>
                <w:szCs w:val="20"/>
                <w:color w:val="auto"/>
              </w:rPr>
            </w:pPr>
            <w:r>
              <w:rPr>
                <w:rFonts w:ascii="Arial" w:cs="Arial" w:eastAsia="Arial" w:hAnsi="Arial"/>
                <w:sz w:val="13"/>
                <w:szCs w:val="13"/>
                <w:color w:val="auto"/>
              </w:rPr>
              <w:t>11,633,740</w:t>
            </w:r>
          </w:p>
        </w:tc>
        <w:tc>
          <w:tcPr>
            <w:tcW w:w="960" w:type="dxa"/>
            <w:vAlign w:val="bottom"/>
            <w:tcBorders>
              <w:bottom w:val="single" w:sz="8" w:color="F0533D"/>
            </w:tcBorders>
          </w:tcPr>
          <w:p>
            <w:pPr>
              <w:jc w:val="right"/>
              <w:ind w:right="73"/>
              <w:spacing w:after="0"/>
              <w:rPr>
                <w:sz w:val="20"/>
                <w:szCs w:val="20"/>
                <w:color w:val="auto"/>
              </w:rPr>
            </w:pPr>
            <w:r>
              <w:rPr>
                <w:rFonts w:ascii="Arial" w:cs="Arial" w:eastAsia="Arial" w:hAnsi="Arial"/>
                <w:sz w:val="13"/>
                <w:szCs w:val="13"/>
                <w:color w:val="auto"/>
              </w:rPr>
              <w:t>11,633,740</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Maryjo Charbonnier</w:t>
            </w:r>
          </w:p>
        </w:tc>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(1)</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1,649,987</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3,237,500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Non-Performance Based Cash</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Award</w:t>
            </w:r>
            <w:r>
              <w:rPr>
                <w:rFonts w:ascii="Arial" w:cs="Arial" w:eastAsia="Arial" w:hAnsi="Arial"/>
                <w:sz w:val="21"/>
                <w:szCs w:val="21"/>
                <w:color w:val="auto"/>
                <w:vertAlign w:val="superscript"/>
              </w:rPr>
              <w:t>(2)</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Acceleration of Equity Awards</w:t>
            </w:r>
            <w:r>
              <w:rPr>
                <w:rFonts w:ascii="Arial" w:cs="Arial" w:eastAsia="Arial" w:hAnsi="Arial"/>
                <w:sz w:val="21"/>
                <w:szCs w:val="21"/>
                <w:color w:val="auto"/>
                <w:vertAlign w:val="superscript"/>
              </w:rPr>
              <w:t>(3)</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1,235,064</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1,235,064</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1,235,064</w:t>
            </w: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Value of Continuing Benefits</w:t>
            </w:r>
            <w:r>
              <w:rPr>
                <w:rFonts w:ascii="Arial" w:cs="Arial" w:eastAsia="Arial" w:hAnsi="Arial"/>
                <w:sz w:val="20"/>
                <w:szCs w:val="20"/>
                <w:color w:val="auto"/>
                <w:vertAlign w:val="superscript"/>
              </w:rPr>
              <w:t>(4)</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57,503</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57,503</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Value of Continuing Financial</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320"/>
              <w:spacing w:after="0" w:line="189" w:lineRule="exact"/>
              <w:rPr>
                <w:sz w:val="20"/>
                <w:szCs w:val="20"/>
                <w:color w:val="auto"/>
              </w:rPr>
            </w:pPr>
            <w:r>
              <w:rPr>
                <w:rFonts w:ascii="Arial" w:cs="Arial" w:eastAsia="Arial" w:hAnsi="Arial"/>
                <w:sz w:val="13"/>
                <w:szCs w:val="13"/>
                <w:color w:val="auto"/>
              </w:rPr>
              <w:t>Advisory Services</w:t>
            </w:r>
            <w:r>
              <w:rPr>
                <w:rFonts w:ascii="Arial" w:cs="Arial" w:eastAsia="Arial" w:hAnsi="Arial"/>
                <w:sz w:val="21"/>
                <w:szCs w:val="21"/>
                <w:color w:val="auto"/>
                <w:vertAlign w:val="superscript"/>
              </w:rPr>
              <w:t>(5)</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360" w:type="dxa"/>
            <w:vAlign w:val="bottom"/>
          </w:tcPr>
          <w:p>
            <w:pPr>
              <w:ind w:left="140"/>
              <w:spacing w:after="0" w:line="178" w:lineRule="exact"/>
              <w:rPr>
                <w:sz w:val="20"/>
                <w:szCs w:val="20"/>
                <w:color w:val="auto"/>
              </w:rPr>
            </w:pPr>
            <w:r>
              <w:rPr>
                <w:rFonts w:ascii="Arial" w:cs="Arial" w:eastAsia="Arial" w:hAnsi="Arial"/>
                <w:sz w:val="12"/>
                <w:szCs w:val="12"/>
                <w:color w:val="auto"/>
              </w:rPr>
              <w:t>Outplacement Benefit</w:t>
            </w:r>
            <w:r>
              <w:rPr>
                <w:rFonts w:ascii="Arial" w:cs="Arial" w:eastAsia="Arial" w:hAnsi="Arial"/>
                <w:sz w:val="20"/>
                <w:szCs w:val="20"/>
                <w:color w:val="auto"/>
                <w:vertAlign w:val="superscript"/>
              </w:rPr>
              <w:t>(6)</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80,000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80,000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360" w:type="dxa"/>
            <w:vAlign w:val="bottom"/>
            <w:tcBorders>
              <w:bottom w:val="single" w:sz="8" w:color="F0533D"/>
            </w:tcBorders>
          </w:tcPr>
          <w:p>
            <w:pPr>
              <w:ind w:left="14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F0533D"/>
            </w:tcBorders>
          </w:tcPr>
          <w:p>
            <w:pPr>
              <w:jc w:val="right"/>
              <w:ind w:right="193"/>
              <w:spacing w:after="0"/>
              <w:rPr>
                <w:sz w:val="20"/>
                <w:szCs w:val="20"/>
                <w:color w:val="auto"/>
              </w:rPr>
            </w:pPr>
            <w:r>
              <w:rPr>
                <w:rFonts w:ascii="Arial" w:cs="Arial" w:eastAsia="Arial" w:hAnsi="Arial"/>
                <w:sz w:val="13"/>
                <w:szCs w:val="13"/>
                <w:color w:val="auto"/>
              </w:rPr>
              <w:t>1,787,490</w:t>
            </w:r>
          </w:p>
        </w:tc>
        <w:tc>
          <w:tcPr>
            <w:tcW w:w="2260" w:type="dxa"/>
            <w:vAlign w:val="bottom"/>
            <w:tcBorders>
              <w:bottom w:val="single" w:sz="8" w:color="F0533D"/>
            </w:tcBorders>
          </w:tcPr>
          <w:p>
            <w:pPr>
              <w:jc w:val="right"/>
              <w:ind w:right="753"/>
              <w:spacing w:after="0"/>
              <w:rPr>
                <w:sz w:val="20"/>
                <w:szCs w:val="20"/>
                <w:color w:val="auto"/>
              </w:rPr>
            </w:pPr>
            <w:r>
              <w:rPr>
                <w:rFonts w:ascii="Arial" w:cs="Arial" w:eastAsia="Arial" w:hAnsi="Arial"/>
                <w:sz w:val="13"/>
                <w:szCs w:val="13"/>
                <w:color w:val="auto"/>
              </w:rPr>
              <w:t>4,610,067</w:t>
            </w:r>
          </w:p>
        </w:tc>
        <w:tc>
          <w:tcPr>
            <w:tcW w:w="104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93"/>
              <w:spacing w:after="0"/>
              <w:rPr>
                <w:sz w:val="20"/>
                <w:szCs w:val="20"/>
                <w:color w:val="auto"/>
              </w:rPr>
            </w:pPr>
            <w:r>
              <w:rPr>
                <w:rFonts w:ascii="Arial" w:cs="Arial" w:eastAsia="Arial" w:hAnsi="Arial"/>
                <w:sz w:val="13"/>
                <w:szCs w:val="13"/>
                <w:color w:val="auto"/>
              </w:rPr>
              <w:t>1,235,064</w:t>
            </w:r>
          </w:p>
        </w:tc>
        <w:tc>
          <w:tcPr>
            <w:tcW w:w="960" w:type="dxa"/>
            <w:vAlign w:val="bottom"/>
            <w:tcBorders>
              <w:bottom w:val="single" w:sz="8" w:color="F0533D"/>
            </w:tcBorders>
          </w:tcPr>
          <w:p>
            <w:pPr>
              <w:jc w:val="right"/>
              <w:ind w:right="73"/>
              <w:spacing w:after="0"/>
              <w:rPr>
                <w:sz w:val="20"/>
                <w:szCs w:val="20"/>
                <w:color w:val="auto"/>
              </w:rPr>
            </w:pPr>
            <w:r>
              <w:rPr>
                <w:rFonts w:ascii="Arial" w:cs="Arial" w:eastAsia="Arial" w:hAnsi="Arial"/>
                <w:sz w:val="13"/>
                <w:szCs w:val="13"/>
                <w:color w:val="auto"/>
              </w:rPr>
              <w:t>1,235,064</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Mark Ringes</w:t>
            </w:r>
          </w:p>
        </w:tc>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(1)</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1,046,009</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1,914,188</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Non-Performance Based Cash</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Award</w:t>
            </w:r>
            <w:r>
              <w:rPr>
                <w:rFonts w:ascii="Arial" w:cs="Arial" w:eastAsia="Arial" w:hAnsi="Arial"/>
                <w:sz w:val="21"/>
                <w:szCs w:val="21"/>
                <w:color w:val="auto"/>
                <w:vertAlign w:val="superscript"/>
              </w:rPr>
              <w:t>(2)</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172,688</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172,688</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172,688</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172,688</w:t>
            </w: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Acceleration of Equity Awards</w:t>
            </w:r>
            <w:r>
              <w:rPr>
                <w:rFonts w:ascii="Arial" w:cs="Arial" w:eastAsia="Arial" w:hAnsi="Arial"/>
                <w:sz w:val="21"/>
                <w:szCs w:val="21"/>
                <w:color w:val="auto"/>
                <w:vertAlign w:val="superscript"/>
              </w:rPr>
              <w:t>(3)</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967,915</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117,765</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967,915</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967,915</w:t>
            </w: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Value of Continuing Benefits</w:t>
            </w:r>
            <w:r>
              <w:rPr>
                <w:rFonts w:ascii="Arial" w:cs="Arial" w:eastAsia="Arial" w:hAnsi="Arial"/>
                <w:sz w:val="20"/>
                <w:szCs w:val="20"/>
                <w:color w:val="auto"/>
                <w:vertAlign w:val="superscript"/>
              </w:rPr>
              <w:t>(4)</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34,218</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34,218</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Value of Continuing Financial</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320"/>
              <w:spacing w:after="0" w:line="189" w:lineRule="exact"/>
              <w:rPr>
                <w:sz w:val="20"/>
                <w:szCs w:val="20"/>
                <w:color w:val="auto"/>
              </w:rPr>
            </w:pPr>
            <w:r>
              <w:rPr>
                <w:rFonts w:ascii="Arial" w:cs="Arial" w:eastAsia="Arial" w:hAnsi="Arial"/>
                <w:sz w:val="13"/>
                <w:szCs w:val="13"/>
                <w:color w:val="auto"/>
              </w:rPr>
              <w:t>Advisory Services</w:t>
            </w:r>
            <w:r>
              <w:rPr>
                <w:rFonts w:ascii="Arial" w:cs="Arial" w:eastAsia="Arial" w:hAnsi="Arial"/>
                <w:sz w:val="21"/>
                <w:szCs w:val="21"/>
                <w:color w:val="auto"/>
                <w:vertAlign w:val="superscript"/>
              </w:rPr>
              <w:t>(5)</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7,500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7,500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360" w:type="dxa"/>
            <w:vAlign w:val="bottom"/>
          </w:tcPr>
          <w:p>
            <w:pPr>
              <w:ind w:left="140"/>
              <w:spacing w:after="0" w:line="178" w:lineRule="exact"/>
              <w:rPr>
                <w:sz w:val="20"/>
                <w:szCs w:val="20"/>
                <w:color w:val="auto"/>
              </w:rPr>
            </w:pPr>
            <w:r>
              <w:rPr>
                <w:rFonts w:ascii="Arial" w:cs="Arial" w:eastAsia="Arial" w:hAnsi="Arial"/>
                <w:sz w:val="12"/>
                <w:szCs w:val="12"/>
                <w:color w:val="auto"/>
              </w:rPr>
              <w:t>Outplacement Benefit</w:t>
            </w:r>
            <w:r>
              <w:rPr>
                <w:rFonts w:ascii="Arial" w:cs="Arial" w:eastAsia="Arial" w:hAnsi="Arial"/>
                <w:sz w:val="20"/>
                <w:szCs w:val="20"/>
                <w:color w:val="auto"/>
                <w:vertAlign w:val="superscript"/>
              </w:rPr>
              <w:t>(6)</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80,000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80,000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360" w:type="dxa"/>
            <w:vAlign w:val="bottom"/>
            <w:tcBorders>
              <w:bottom w:val="single" w:sz="8" w:color="F0533D"/>
            </w:tcBorders>
          </w:tcPr>
          <w:p>
            <w:pPr>
              <w:ind w:left="14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F0533D"/>
            </w:tcBorders>
          </w:tcPr>
          <w:p>
            <w:pPr>
              <w:jc w:val="right"/>
              <w:ind w:right="193"/>
              <w:spacing w:after="0"/>
              <w:rPr>
                <w:sz w:val="20"/>
                <w:szCs w:val="20"/>
                <w:color w:val="auto"/>
              </w:rPr>
            </w:pPr>
            <w:r>
              <w:rPr>
                <w:rFonts w:ascii="Arial" w:cs="Arial" w:eastAsia="Arial" w:hAnsi="Arial"/>
                <w:sz w:val="13"/>
                <w:szCs w:val="13"/>
                <w:color w:val="auto"/>
              </w:rPr>
              <w:t>1,167,727</w:t>
            </w:r>
          </w:p>
        </w:tc>
        <w:tc>
          <w:tcPr>
            <w:tcW w:w="2260" w:type="dxa"/>
            <w:vAlign w:val="bottom"/>
            <w:tcBorders>
              <w:bottom w:val="single" w:sz="8" w:color="F0533D"/>
            </w:tcBorders>
          </w:tcPr>
          <w:p>
            <w:pPr>
              <w:jc w:val="right"/>
              <w:ind w:right="753"/>
              <w:spacing w:after="0"/>
              <w:rPr>
                <w:sz w:val="20"/>
                <w:szCs w:val="20"/>
                <w:color w:val="auto"/>
              </w:rPr>
            </w:pPr>
            <w:r>
              <w:rPr>
                <w:rFonts w:ascii="Arial" w:cs="Arial" w:eastAsia="Arial" w:hAnsi="Arial"/>
                <w:sz w:val="13"/>
                <w:szCs w:val="13"/>
                <w:color w:val="auto"/>
              </w:rPr>
              <w:t>3,176,509</w:t>
            </w:r>
          </w:p>
        </w:tc>
        <w:tc>
          <w:tcPr>
            <w:tcW w:w="104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290,453</w:t>
            </w:r>
          </w:p>
        </w:tc>
        <w:tc>
          <w:tcPr>
            <w:tcW w:w="1000" w:type="dxa"/>
            <w:vAlign w:val="bottom"/>
            <w:tcBorders>
              <w:bottom w:val="single" w:sz="8" w:color="F0533D"/>
            </w:tcBorders>
          </w:tcPr>
          <w:p>
            <w:pPr>
              <w:jc w:val="right"/>
              <w:ind w:right="93"/>
              <w:spacing w:after="0"/>
              <w:rPr>
                <w:sz w:val="20"/>
                <w:szCs w:val="20"/>
                <w:color w:val="auto"/>
              </w:rPr>
            </w:pPr>
            <w:r>
              <w:rPr>
                <w:rFonts w:ascii="Arial" w:cs="Arial" w:eastAsia="Arial" w:hAnsi="Arial"/>
                <w:sz w:val="13"/>
                <w:szCs w:val="13"/>
                <w:color w:val="auto"/>
              </w:rPr>
              <w:t>1,140,603</w:t>
            </w:r>
          </w:p>
        </w:tc>
        <w:tc>
          <w:tcPr>
            <w:tcW w:w="960" w:type="dxa"/>
            <w:vAlign w:val="bottom"/>
            <w:tcBorders>
              <w:bottom w:val="single" w:sz="8" w:color="F0533D"/>
            </w:tcBorders>
          </w:tcPr>
          <w:p>
            <w:pPr>
              <w:jc w:val="right"/>
              <w:ind w:right="73"/>
              <w:spacing w:after="0"/>
              <w:rPr>
                <w:sz w:val="20"/>
                <w:szCs w:val="20"/>
                <w:color w:val="auto"/>
              </w:rPr>
            </w:pPr>
            <w:r>
              <w:rPr>
                <w:rFonts w:ascii="Arial" w:cs="Arial" w:eastAsia="Arial" w:hAnsi="Arial"/>
                <w:sz w:val="13"/>
                <w:szCs w:val="13"/>
                <w:color w:val="auto"/>
              </w:rPr>
              <w:t>1,140,603</w:t>
            </w:r>
          </w:p>
        </w:tc>
        <w:tc>
          <w:tcPr>
            <w:tcW w:w="0" w:type="dxa"/>
            <w:vAlign w:val="bottom"/>
          </w:tcPr>
          <w:p>
            <w:pPr>
              <w:spacing w:after="0"/>
              <w:rPr>
                <w:sz w:val="1"/>
                <w:szCs w:val="1"/>
                <w:color w:val="auto"/>
              </w:rPr>
            </w:pPr>
          </w:p>
        </w:tc>
      </w:tr>
      <w:tr>
        <w:trPr>
          <w:trHeight w:val="138"/>
        </w:trPr>
        <w:tc>
          <w:tcPr>
            <w:tcW w:w="2360" w:type="dxa"/>
            <w:vAlign w:val="bottom"/>
          </w:tcPr>
          <w:p>
            <w:pPr>
              <w:ind w:left="140"/>
              <w:spacing w:after="0" w:line="138" w:lineRule="exact"/>
              <w:rPr>
                <w:sz w:val="20"/>
                <w:szCs w:val="20"/>
                <w:color w:val="auto"/>
              </w:rPr>
            </w:pPr>
            <w:r>
              <w:rPr>
                <w:rFonts w:ascii="Arial" w:cs="Arial" w:eastAsia="Arial" w:hAnsi="Arial"/>
                <w:sz w:val="13"/>
                <w:szCs w:val="13"/>
                <w:b w:val="1"/>
                <w:bCs w:val="1"/>
                <w:color w:val="auto"/>
              </w:rPr>
              <w:t>Vineet Khurana</w:t>
            </w:r>
          </w:p>
        </w:tc>
        <w:tc>
          <w:tcPr>
            <w:tcW w:w="12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Cash Severance Payment</w:t>
            </w:r>
            <w:r>
              <w:rPr>
                <w:rFonts w:ascii="Arial" w:cs="Arial" w:eastAsia="Arial" w:hAnsi="Arial"/>
                <w:sz w:val="20"/>
                <w:szCs w:val="20"/>
                <w:color w:val="auto"/>
                <w:vertAlign w:val="superscript"/>
              </w:rPr>
              <w:t>(1)</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1,147,041</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2,100,000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Non-Performance Based Cash</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Award</w:t>
            </w:r>
            <w:r>
              <w:rPr>
                <w:rFonts w:ascii="Arial" w:cs="Arial" w:eastAsia="Arial" w:hAnsi="Arial"/>
                <w:sz w:val="21"/>
                <w:szCs w:val="21"/>
                <w:color w:val="auto"/>
                <w:vertAlign w:val="superscript"/>
              </w:rPr>
              <w:t>(2)</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140"/>
              <w:spacing w:after="0" w:line="189" w:lineRule="exact"/>
              <w:rPr>
                <w:sz w:val="20"/>
                <w:szCs w:val="20"/>
                <w:color w:val="auto"/>
              </w:rPr>
            </w:pPr>
            <w:r>
              <w:rPr>
                <w:rFonts w:ascii="Arial" w:cs="Arial" w:eastAsia="Arial" w:hAnsi="Arial"/>
                <w:sz w:val="13"/>
                <w:szCs w:val="13"/>
                <w:color w:val="auto"/>
              </w:rPr>
              <w:t>Acceleration of Equity Awards</w:t>
            </w:r>
            <w:r>
              <w:rPr>
                <w:rFonts w:ascii="Arial" w:cs="Arial" w:eastAsia="Arial" w:hAnsi="Arial"/>
                <w:sz w:val="21"/>
                <w:szCs w:val="21"/>
                <w:color w:val="auto"/>
                <w:vertAlign w:val="superscript"/>
              </w:rPr>
              <w:t>(3)</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2260" w:type="dxa"/>
            <w:vAlign w:val="bottom"/>
          </w:tcPr>
          <w:p>
            <w:pPr>
              <w:jc w:val="right"/>
              <w:ind w:right="753"/>
              <w:spacing w:after="0"/>
              <w:rPr>
                <w:sz w:val="20"/>
                <w:szCs w:val="20"/>
                <w:color w:val="auto"/>
              </w:rPr>
            </w:pPr>
            <w:r>
              <w:rPr>
                <w:rFonts w:ascii="Arial" w:cs="Arial" w:eastAsia="Arial" w:hAnsi="Arial"/>
                <w:sz w:val="13"/>
                <w:szCs w:val="13"/>
                <w:color w:val="auto"/>
              </w:rPr>
              <w:t>1,142,975</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1,142,975</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1,142,975</w:t>
            </w:r>
          </w:p>
        </w:tc>
        <w:tc>
          <w:tcPr>
            <w:tcW w:w="0" w:type="dxa"/>
            <w:vAlign w:val="bottom"/>
          </w:tcPr>
          <w:p>
            <w:pPr>
              <w:spacing w:after="0"/>
              <w:rPr>
                <w:sz w:val="1"/>
                <w:szCs w:val="1"/>
                <w:color w:val="auto"/>
              </w:rPr>
            </w:pPr>
          </w:p>
        </w:tc>
      </w:tr>
      <w:tr>
        <w:trPr>
          <w:trHeight w:val="180"/>
        </w:trPr>
        <w:tc>
          <w:tcPr>
            <w:tcW w:w="2360" w:type="dxa"/>
            <w:vAlign w:val="bottom"/>
          </w:tcPr>
          <w:p>
            <w:pPr>
              <w:ind w:left="140"/>
              <w:spacing w:after="0" w:line="180" w:lineRule="exact"/>
              <w:rPr>
                <w:sz w:val="20"/>
                <w:szCs w:val="20"/>
                <w:color w:val="auto"/>
              </w:rPr>
            </w:pPr>
            <w:r>
              <w:rPr>
                <w:rFonts w:ascii="Arial" w:cs="Arial" w:eastAsia="Arial" w:hAnsi="Arial"/>
                <w:sz w:val="12"/>
                <w:szCs w:val="12"/>
                <w:color w:val="auto"/>
              </w:rPr>
              <w:t>Value of Continuing Benefits</w:t>
            </w:r>
            <w:r>
              <w:rPr>
                <w:rFonts w:ascii="Arial" w:cs="Arial" w:eastAsia="Arial" w:hAnsi="Arial"/>
                <w:sz w:val="20"/>
                <w:szCs w:val="20"/>
                <w:color w:val="auto"/>
                <w:vertAlign w:val="superscript"/>
              </w:rPr>
              <w:t>(4)</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16,684</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16,684</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360" w:type="dxa"/>
            <w:vAlign w:val="bottom"/>
          </w:tcPr>
          <w:p>
            <w:pPr>
              <w:ind w:left="140"/>
              <w:spacing w:after="0"/>
              <w:rPr>
                <w:sz w:val="20"/>
                <w:szCs w:val="20"/>
                <w:color w:val="auto"/>
              </w:rPr>
            </w:pPr>
            <w:r>
              <w:rPr>
                <w:rFonts w:ascii="Arial" w:cs="Arial" w:eastAsia="Arial" w:hAnsi="Arial"/>
                <w:sz w:val="13"/>
                <w:szCs w:val="13"/>
                <w:color w:val="auto"/>
              </w:rPr>
              <w:t>Value of Continuing Financial</w:t>
            </w:r>
          </w:p>
        </w:tc>
        <w:tc>
          <w:tcPr>
            <w:tcW w:w="12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360" w:type="dxa"/>
            <w:vAlign w:val="bottom"/>
          </w:tcPr>
          <w:p>
            <w:pPr>
              <w:ind w:left="320"/>
              <w:spacing w:after="0" w:line="189" w:lineRule="exact"/>
              <w:rPr>
                <w:sz w:val="20"/>
                <w:szCs w:val="20"/>
                <w:color w:val="auto"/>
              </w:rPr>
            </w:pPr>
            <w:r>
              <w:rPr>
                <w:rFonts w:ascii="Arial" w:cs="Arial" w:eastAsia="Arial" w:hAnsi="Arial"/>
                <w:sz w:val="13"/>
                <w:szCs w:val="13"/>
                <w:color w:val="auto"/>
              </w:rPr>
              <w:t>Advisory Services</w:t>
            </w:r>
            <w:r>
              <w:rPr>
                <w:rFonts w:ascii="Arial" w:cs="Arial" w:eastAsia="Arial" w:hAnsi="Arial"/>
                <w:sz w:val="21"/>
                <w:szCs w:val="21"/>
                <w:color w:val="auto"/>
                <w:vertAlign w:val="superscript"/>
              </w:rPr>
              <w:t>(5)</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6,750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6,750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360" w:type="dxa"/>
            <w:vAlign w:val="bottom"/>
          </w:tcPr>
          <w:p>
            <w:pPr>
              <w:ind w:left="140"/>
              <w:spacing w:after="0" w:line="178" w:lineRule="exact"/>
              <w:rPr>
                <w:sz w:val="20"/>
                <w:szCs w:val="20"/>
                <w:color w:val="auto"/>
              </w:rPr>
            </w:pPr>
            <w:r>
              <w:rPr>
                <w:rFonts w:ascii="Arial" w:cs="Arial" w:eastAsia="Arial" w:hAnsi="Arial"/>
                <w:sz w:val="12"/>
                <w:szCs w:val="12"/>
                <w:color w:val="auto"/>
              </w:rPr>
              <w:t>Outplacement Benefit</w:t>
            </w:r>
            <w:r>
              <w:rPr>
                <w:rFonts w:ascii="Arial" w:cs="Arial" w:eastAsia="Arial" w:hAnsi="Arial"/>
                <w:sz w:val="20"/>
                <w:szCs w:val="20"/>
                <w:color w:val="auto"/>
                <w:vertAlign w:val="superscript"/>
              </w:rPr>
              <w:t>(6)</w:t>
            </w:r>
          </w:p>
        </w:tc>
        <w:tc>
          <w:tcPr>
            <w:tcW w:w="1240" w:type="dxa"/>
            <w:vAlign w:val="bottom"/>
          </w:tcPr>
          <w:p>
            <w:pPr>
              <w:jc w:val="right"/>
              <w:ind w:right="193"/>
              <w:spacing w:after="0"/>
              <w:rPr>
                <w:sz w:val="20"/>
                <w:szCs w:val="20"/>
                <w:color w:val="auto"/>
              </w:rPr>
            </w:pPr>
            <w:r>
              <w:rPr>
                <w:rFonts w:ascii="Arial" w:cs="Arial" w:eastAsia="Arial" w:hAnsi="Arial"/>
                <w:sz w:val="13"/>
                <w:szCs w:val="13"/>
                <w:color w:val="auto"/>
              </w:rPr>
              <w:t>80,000</w:t>
            </w:r>
          </w:p>
        </w:tc>
        <w:tc>
          <w:tcPr>
            <w:tcW w:w="2260" w:type="dxa"/>
            <w:vAlign w:val="bottom"/>
          </w:tcPr>
          <w:p>
            <w:pPr>
              <w:jc w:val="right"/>
              <w:ind w:right="733"/>
              <w:spacing w:after="0"/>
              <w:rPr>
                <w:sz w:val="20"/>
                <w:szCs w:val="20"/>
                <w:color w:val="auto"/>
              </w:rPr>
            </w:pPr>
            <w:r>
              <w:rPr>
                <w:rFonts w:ascii="Arial" w:cs="Arial" w:eastAsia="Arial" w:hAnsi="Arial"/>
                <w:sz w:val="13"/>
                <w:szCs w:val="13"/>
                <w:color w:val="auto"/>
              </w:rPr>
              <w:t>80,000</w:t>
            </w:r>
          </w:p>
        </w:tc>
        <w:tc>
          <w:tcPr>
            <w:tcW w:w="104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360" w:type="dxa"/>
            <w:vAlign w:val="bottom"/>
            <w:tcBorders>
              <w:bottom w:val="single" w:sz="8" w:color="F0533D"/>
            </w:tcBorders>
          </w:tcPr>
          <w:p>
            <w:pPr>
              <w:ind w:left="14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F0533D"/>
            </w:tcBorders>
          </w:tcPr>
          <w:p>
            <w:pPr>
              <w:jc w:val="right"/>
              <w:ind w:right="193"/>
              <w:spacing w:after="0"/>
              <w:rPr>
                <w:sz w:val="20"/>
                <w:szCs w:val="20"/>
                <w:color w:val="auto"/>
              </w:rPr>
            </w:pPr>
            <w:r>
              <w:rPr>
                <w:rFonts w:ascii="Arial" w:cs="Arial" w:eastAsia="Arial" w:hAnsi="Arial"/>
                <w:sz w:val="13"/>
                <w:szCs w:val="13"/>
                <w:color w:val="auto"/>
              </w:rPr>
              <w:t>1,250,475</w:t>
            </w:r>
          </w:p>
        </w:tc>
        <w:tc>
          <w:tcPr>
            <w:tcW w:w="2260" w:type="dxa"/>
            <w:vAlign w:val="bottom"/>
            <w:tcBorders>
              <w:bottom w:val="single" w:sz="8" w:color="F0533D"/>
            </w:tcBorders>
          </w:tcPr>
          <w:p>
            <w:pPr>
              <w:jc w:val="right"/>
              <w:ind w:right="753"/>
              <w:spacing w:after="0"/>
              <w:rPr>
                <w:sz w:val="20"/>
                <w:szCs w:val="20"/>
                <w:color w:val="auto"/>
              </w:rPr>
            </w:pPr>
            <w:r>
              <w:rPr>
                <w:rFonts w:ascii="Arial" w:cs="Arial" w:eastAsia="Arial" w:hAnsi="Arial"/>
                <w:sz w:val="13"/>
                <w:szCs w:val="13"/>
                <w:color w:val="auto"/>
              </w:rPr>
              <w:t>3,346,409</w:t>
            </w:r>
          </w:p>
        </w:tc>
        <w:tc>
          <w:tcPr>
            <w:tcW w:w="1040" w:type="dxa"/>
            <w:vAlign w:val="bottom"/>
            <w:tcBorders>
              <w:bottom w:val="single" w:sz="8" w:color="F0533D"/>
            </w:tcBorders>
          </w:tcPr>
          <w:p>
            <w:pPr>
              <w:jc w:val="right"/>
              <w:ind w:right="173"/>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F0533D"/>
            </w:tcBorders>
          </w:tcPr>
          <w:p>
            <w:pPr>
              <w:jc w:val="right"/>
              <w:ind w:right="93"/>
              <w:spacing w:after="0"/>
              <w:rPr>
                <w:sz w:val="20"/>
                <w:szCs w:val="20"/>
                <w:color w:val="auto"/>
              </w:rPr>
            </w:pPr>
            <w:r>
              <w:rPr>
                <w:rFonts w:ascii="Arial" w:cs="Arial" w:eastAsia="Arial" w:hAnsi="Arial"/>
                <w:sz w:val="13"/>
                <w:szCs w:val="13"/>
                <w:color w:val="auto"/>
              </w:rPr>
              <w:t>1,142,975</w:t>
            </w:r>
          </w:p>
        </w:tc>
        <w:tc>
          <w:tcPr>
            <w:tcW w:w="960" w:type="dxa"/>
            <w:vAlign w:val="bottom"/>
            <w:tcBorders>
              <w:bottom w:val="single" w:sz="8" w:color="F0533D"/>
            </w:tcBorders>
          </w:tcPr>
          <w:p>
            <w:pPr>
              <w:jc w:val="right"/>
              <w:ind w:right="73"/>
              <w:spacing w:after="0"/>
              <w:rPr>
                <w:sz w:val="20"/>
                <w:szCs w:val="20"/>
                <w:color w:val="auto"/>
              </w:rPr>
            </w:pPr>
            <w:r>
              <w:rPr>
                <w:rFonts w:ascii="Arial" w:cs="Arial" w:eastAsia="Arial" w:hAnsi="Arial"/>
                <w:sz w:val="13"/>
                <w:szCs w:val="13"/>
                <w:color w:val="auto"/>
              </w:rPr>
              <w:t>1,142,975</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540" w:hanging="356"/>
        <w:spacing w:after="0"/>
        <w:tabs>
          <w:tab w:leader="none" w:pos="540" w:val="left"/>
        </w:tabs>
        <w:numPr>
          <w:ilvl w:val="0"/>
          <w:numId w:val="89"/>
        </w:numPr>
        <w:rPr>
          <w:rFonts w:ascii="Arial" w:cs="Arial" w:eastAsia="Arial" w:hAnsi="Arial"/>
          <w:sz w:val="23"/>
          <w:szCs w:val="23"/>
          <w:color w:val="auto"/>
          <w:vertAlign w:val="superscript"/>
        </w:rPr>
      </w:pPr>
      <w:r>
        <w:rPr>
          <w:rFonts w:ascii="Arial" w:cs="Arial" w:eastAsia="Arial" w:hAnsi="Arial"/>
          <w:sz w:val="15"/>
          <w:szCs w:val="15"/>
          <w:color w:val="auto"/>
        </w:rPr>
        <w:t>Cash Severance Payments:</w:t>
      </w:r>
    </w:p>
    <w:p>
      <w:pPr>
        <w:spacing w:after="0" w:line="69" w:lineRule="exact"/>
        <w:rPr>
          <w:rFonts w:ascii="Arial" w:cs="Arial" w:eastAsia="Arial" w:hAnsi="Arial"/>
          <w:sz w:val="23"/>
          <w:szCs w:val="23"/>
          <w:color w:val="auto"/>
          <w:vertAlign w:val="superscript"/>
        </w:rPr>
      </w:pPr>
    </w:p>
    <w:p>
      <w:pPr>
        <w:jc w:val="both"/>
        <w:ind w:left="900" w:right="319" w:hanging="356"/>
        <w:spacing w:after="0" w:line="264" w:lineRule="auto"/>
        <w:tabs>
          <w:tab w:leader="none" w:pos="900" w:val="left"/>
        </w:tabs>
        <w:numPr>
          <w:ilvl w:val="1"/>
          <w:numId w:val="89"/>
        </w:numPr>
        <w:rPr>
          <w:rFonts w:ascii="Arial" w:cs="Arial" w:eastAsia="Arial" w:hAnsi="Arial"/>
          <w:sz w:val="15"/>
          <w:szCs w:val="15"/>
          <w:color w:val="F0533D"/>
        </w:rPr>
      </w:pPr>
      <w:r>
        <w:rPr>
          <w:rFonts w:ascii="Arial" w:cs="Arial" w:eastAsia="Arial" w:hAnsi="Arial"/>
          <w:sz w:val="15"/>
          <w:szCs w:val="15"/>
          <w:color w:val="auto"/>
        </w:rPr>
        <w:t>Under the Severance Plan, as described more fully below, each NEO is entitled to cash severance in the event of a termination without Cause or, solely following a Change in Control, with Good Reason, subject to certain conditions;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7" w:name="page78"/>
    <w:bookmarkEnd w:id="7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900" w:right="259" w:hanging="356"/>
        <w:spacing w:after="0" w:line="264" w:lineRule="auto"/>
        <w:tabs>
          <w:tab w:leader="none" w:pos="900" w:val="left"/>
        </w:tabs>
        <w:numPr>
          <w:ilvl w:val="1"/>
          <w:numId w:val="90"/>
        </w:numPr>
        <w:rPr>
          <w:rFonts w:ascii="Arial" w:cs="Arial" w:eastAsia="Arial" w:hAnsi="Arial"/>
          <w:sz w:val="15"/>
          <w:szCs w:val="15"/>
          <w:color w:val="F0533D"/>
        </w:rPr>
      </w:pPr>
      <w:r>
        <w:rPr>
          <w:rFonts w:ascii="Arial" w:cs="Arial" w:eastAsia="Arial" w:hAnsi="Arial"/>
          <w:sz w:val="15"/>
          <w:szCs w:val="15"/>
          <w:color w:val="auto"/>
        </w:rPr>
        <w:t>The amounts of the cash severance payments included in the table assume that there is no notice period prior to the termination without Cause; and</w:t>
      </w:r>
    </w:p>
    <w:p>
      <w:pPr>
        <w:spacing w:after="0" w:line="52" w:lineRule="exact"/>
        <w:rPr>
          <w:rFonts w:ascii="Arial" w:cs="Arial" w:eastAsia="Arial" w:hAnsi="Arial"/>
          <w:sz w:val="15"/>
          <w:szCs w:val="15"/>
          <w:color w:val="F0533D"/>
        </w:rPr>
      </w:pPr>
    </w:p>
    <w:p>
      <w:pPr>
        <w:ind w:left="900" w:right="779" w:hanging="356"/>
        <w:spacing w:after="0" w:line="260" w:lineRule="auto"/>
        <w:tabs>
          <w:tab w:leader="none" w:pos="900" w:val="left"/>
        </w:tabs>
        <w:numPr>
          <w:ilvl w:val="1"/>
          <w:numId w:val="90"/>
        </w:numPr>
        <w:rPr>
          <w:rFonts w:ascii="Arial" w:cs="Arial" w:eastAsia="Arial" w:hAnsi="Arial"/>
          <w:sz w:val="15"/>
          <w:szCs w:val="15"/>
          <w:color w:val="F0533D"/>
        </w:rPr>
      </w:pPr>
      <w:r>
        <w:rPr>
          <w:rFonts w:ascii="Arial" w:cs="Arial" w:eastAsia="Arial" w:hAnsi="Arial"/>
          <w:sz w:val="15"/>
          <w:szCs w:val="15"/>
          <w:color w:val="auto"/>
        </w:rPr>
        <w:t>The cash severance payments included in the table assume there would be no cutback of payments to avoid subjecting the NEOs to an excise tax under Section 280G of the Code.</w:t>
      </w:r>
    </w:p>
    <w:p>
      <w:pPr>
        <w:spacing w:after="0" w:line="58" w:lineRule="exact"/>
        <w:rPr>
          <w:rFonts w:ascii="Arial" w:cs="Arial" w:eastAsia="Arial" w:hAnsi="Arial"/>
          <w:sz w:val="15"/>
          <w:szCs w:val="15"/>
          <w:color w:val="F0533D"/>
        </w:rPr>
      </w:pPr>
    </w:p>
    <w:p>
      <w:pPr>
        <w:ind w:left="540" w:right="159" w:hanging="356"/>
        <w:spacing w:after="0" w:line="210" w:lineRule="auto"/>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5"/>
          <w:szCs w:val="15"/>
          <w:color w:val="auto"/>
        </w:rPr>
        <w:t>Non-Performance Based Cash Awards: The values set forth in the rows titled “Non-Performance Based Cash Awards” are presented as the sum of the values as of the last business day of fiscal 2026 of the additional benefit from the acceleration of vesting or continued vesting under “qualifying retirement,” of long-term cash awards that would have occurred as a result of termination under the different circumstances presented.</w:t>
      </w:r>
    </w:p>
    <w:p>
      <w:pPr>
        <w:spacing w:after="0" w:line="7"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5"/>
          <w:szCs w:val="15"/>
          <w:color w:val="auto"/>
        </w:rPr>
        <w:t>Acceleration of Equity Awards:</w:t>
      </w:r>
    </w:p>
    <w:p>
      <w:pPr>
        <w:spacing w:after="0" w:line="69" w:lineRule="exact"/>
        <w:rPr>
          <w:rFonts w:ascii="Arial" w:cs="Arial" w:eastAsia="Arial" w:hAnsi="Arial"/>
          <w:sz w:val="23"/>
          <w:szCs w:val="23"/>
          <w:color w:val="auto"/>
          <w:vertAlign w:val="superscript"/>
        </w:rPr>
      </w:pPr>
    </w:p>
    <w:p>
      <w:pPr>
        <w:ind w:left="900" w:right="139" w:hanging="356"/>
        <w:spacing w:after="0" w:line="238" w:lineRule="auto"/>
        <w:tabs>
          <w:tab w:leader="none" w:pos="900" w:val="left"/>
        </w:tabs>
        <w:numPr>
          <w:ilvl w:val="1"/>
          <w:numId w:val="90"/>
        </w:numPr>
        <w:rPr>
          <w:rFonts w:ascii="Arial" w:cs="Arial" w:eastAsia="Arial" w:hAnsi="Arial"/>
          <w:sz w:val="15"/>
          <w:szCs w:val="15"/>
          <w:color w:val="F0533D"/>
        </w:rPr>
      </w:pPr>
      <w:r>
        <w:rPr>
          <w:rFonts w:ascii="Arial" w:cs="Arial" w:eastAsia="Arial" w:hAnsi="Arial"/>
          <w:sz w:val="15"/>
          <w:szCs w:val="15"/>
          <w:color w:val="auto"/>
        </w:rPr>
        <w:t>The values set forth in the rows titled “Acceleration of Equity Awards” are presented as the sum of the values as of the last business day of fiscal 2026 of the additional benefit from the acceleration of vesting (or continued vesting in the case of RSUs under “qualifying retirement”), if any, of RSUs, stock options and PSUs that would have occurred as a result of termination under the different circumstances presented.</w:t>
      </w:r>
    </w:p>
    <w:p>
      <w:pPr>
        <w:spacing w:after="0" w:line="71" w:lineRule="exact"/>
        <w:rPr>
          <w:rFonts w:ascii="Arial" w:cs="Arial" w:eastAsia="Arial" w:hAnsi="Arial"/>
          <w:sz w:val="15"/>
          <w:szCs w:val="15"/>
          <w:color w:val="F0533D"/>
        </w:rPr>
      </w:pPr>
    </w:p>
    <w:p>
      <w:pPr>
        <w:ind w:left="900" w:right="159" w:hanging="356"/>
        <w:spacing w:after="0" w:line="236" w:lineRule="auto"/>
        <w:tabs>
          <w:tab w:leader="none" w:pos="900" w:val="left"/>
        </w:tabs>
        <w:numPr>
          <w:ilvl w:val="1"/>
          <w:numId w:val="90"/>
        </w:numPr>
        <w:rPr>
          <w:rFonts w:ascii="Arial" w:cs="Arial" w:eastAsia="Arial" w:hAnsi="Arial"/>
          <w:sz w:val="15"/>
          <w:szCs w:val="15"/>
          <w:color w:val="F0533D"/>
        </w:rPr>
      </w:pPr>
      <w:r>
        <w:rPr>
          <w:rFonts w:ascii="Arial" w:cs="Arial" w:eastAsia="Arial" w:hAnsi="Arial"/>
          <w:sz w:val="15"/>
          <w:szCs w:val="15"/>
          <w:color w:val="auto"/>
        </w:rPr>
        <w:t>The value of accelerated stock options, for purposes of this table, was determined by subtracting the exercise price of the original stock option from the closing stock price on the NYSE of $13.12 as of March 31, 2026, the last trading day of fiscal 2026, and multiplying the result, if a positive number (in-the-money), by the number of option shares that would vest as a result of termination. Because the stock options held by the NEOs were in-the-money as of March 31, 2026, amounts relating to such options are included in the table.</w:t>
      </w:r>
    </w:p>
    <w:p>
      <w:pPr>
        <w:spacing w:after="0" w:line="69" w:lineRule="exact"/>
        <w:rPr>
          <w:rFonts w:ascii="Arial" w:cs="Arial" w:eastAsia="Arial" w:hAnsi="Arial"/>
          <w:sz w:val="15"/>
          <w:szCs w:val="15"/>
          <w:color w:val="F0533D"/>
        </w:rPr>
      </w:pPr>
    </w:p>
    <w:p>
      <w:pPr>
        <w:ind w:left="900" w:right="319" w:hanging="356"/>
        <w:spacing w:after="0" w:line="244" w:lineRule="auto"/>
        <w:tabs>
          <w:tab w:leader="none" w:pos="900" w:val="left"/>
        </w:tabs>
        <w:numPr>
          <w:ilvl w:val="1"/>
          <w:numId w:val="90"/>
        </w:numPr>
        <w:rPr>
          <w:rFonts w:ascii="Arial" w:cs="Arial" w:eastAsia="Arial" w:hAnsi="Arial"/>
          <w:sz w:val="15"/>
          <w:szCs w:val="15"/>
          <w:color w:val="F0533D"/>
        </w:rPr>
      </w:pPr>
      <w:r>
        <w:rPr>
          <w:rFonts w:ascii="Arial" w:cs="Arial" w:eastAsia="Arial" w:hAnsi="Arial"/>
          <w:sz w:val="15"/>
          <w:szCs w:val="15"/>
          <w:color w:val="auto"/>
        </w:rPr>
        <w:t>With respect to Messrs. Schroeter, Keinan and Ringes, a termination without cause would constitute a “qualifying LTPP retirement” as described under “— Treatment of Outstanding Equity Awards in the Event of Certain Qualifying Terminations” below.</w:t>
      </w:r>
    </w:p>
    <w:p>
      <w:pPr>
        <w:spacing w:after="0" w:line="3" w:lineRule="exact"/>
        <w:rPr>
          <w:rFonts w:ascii="Arial" w:cs="Arial" w:eastAsia="Arial" w:hAnsi="Arial"/>
          <w:sz w:val="15"/>
          <w:szCs w:val="15"/>
          <w:color w:val="F0533D"/>
        </w:rPr>
      </w:pPr>
    </w:p>
    <w:p>
      <w:pPr>
        <w:ind w:left="540" w:hanging="356"/>
        <w:spacing w:after="0"/>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5"/>
          <w:szCs w:val="15"/>
          <w:color w:val="auto"/>
        </w:rPr>
        <w:t>Value of Continuing Benefits:</w:t>
      </w:r>
    </w:p>
    <w:p>
      <w:pPr>
        <w:spacing w:after="0" w:line="69" w:lineRule="exact"/>
        <w:rPr>
          <w:rFonts w:ascii="Arial" w:cs="Arial" w:eastAsia="Arial" w:hAnsi="Arial"/>
          <w:sz w:val="23"/>
          <w:szCs w:val="23"/>
          <w:color w:val="auto"/>
          <w:vertAlign w:val="superscript"/>
        </w:rPr>
      </w:pPr>
    </w:p>
    <w:p>
      <w:pPr>
        <w:ind w:left="900" w:right="139" w:hanging="356"/>
        <w:spacing w:after="0" w:line="264" w:lineRule="auto"/>
        <w:tabs>
          <w:tab w:leader="none" w:pos="900" w:val="left"/>
        </w:tabs>
        <w:numPr>
          <w:ilvl w:val="1"/>
          <w:numId w:val="90"/>
        </w:numPr>
        <w:rPr>
          <w:rFonts w:ascii="Arial" w:cs="Arial" w:eastAsia="Arial" w:hAnsi="Arial"/>
          <w:sz w:val="15"/>
          <w:szCs w:val="15"/>
          <w:color w:val="F0533D"/>
        </w:rPr>
      </w:pPr>
      <w:r>
        <w:rPr>
          <w:rFonts w:ascii="Arial" w:cs="Arial" w:eastAsia="Arial" w:hAnsi="Arial"/>
          <w:sz w:val="15"/>
          <w:szCs w:val="15"/>
          <w:color w:val="auto"/>
        </w:rPr>
        <w:t>Reflects the cost of providing continued group health coverage (on the same basis as actively employed employees of the Company) for a period of 18 months, assuming fiscal 2026 rates; and</w:t>
      </w:r>
    </w:p>
    <w:p>
      <w:pPr>
        <w:spacing w:after="0" w:line="52" w:lineRule="exact"/>
        <w:rPr>
          <w:rFonts w:ascii="Arial" w:cs="Arial" w:eastAsia="Arial" w:hAnsi="Arial"/>
          <w:sz w:val="15"/>
          <w:szCs w:val="15"/>
          <w:color w:val="F0533D"/>
        </w:rPr>
      </w:pPr>
    </w:p>
    <w:p>
      <w:pPr>
        <w:ind w:left="900" w:hanging="356"/>
        <w:spacing w:after="0"/>
        <w:tabs>
          <w:tab w:leader="none" w:pos="900" w:val="left"/>
        </w:tabs>
        <w:numPr>
          <w:ilvl w:val="1"/>
          <w:numId w:val="90"/>
        </w:numPr>
        <w:rPr>
          <w:rFonts w:ascii="Arial" w:cs="Arial" w:eastAsia="Arial" w:hAnsi="Arial"/>
          <w:sz w:val="15"/>
          <w:szCs w:val="15"/>
          <w:color w:val="F0533D"/>
        </w:rPr>
      </w:pPr>
      <w:r>
        <w:rPr>
          <w:rFonts w:ascii="Arial" w:cs="Arial" w:eastAsia="Arial" w:hAnsi="Arial"/>
          <w:sz w:val="15"/>
          <w:szCs w:val="15"/>
          <w:color w:val="auto"/>
        </w:rPr>
        <w:t>The amounts included in the table assume that there is no notice period prior to the termination without Cause.</w:t>
      </w:r>
    </w:p>
    <w:p>
      <w:pPr>
        <w:spacing w:after="0" w:line="97" w:lineRule="exact"/>
        <w:rPr>
          <w:rFonts w:ascii="Arial" w:cs="Arial" w:eastAsia="Arial" w:hAnsi="Arial"/>
          <w:sz w:val="15"/>
          <w:szCs w:val="15"/>
          <w:color w:val="F0533D"/>
        </w:rPr>
      </w:pPr>
    </w:p>
    <w:p>
      <w:pPr>
        <w:ind w:left="540" w:right="99" w:hanging="356"/>
        <w:spacing w:after="0" w:line="206" w:lineRule="auto"/>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5"/>
          <w:szCs w:val="15"/>
          <w:color w:val="auto"/>
        </w:rPr>
        <w:t>Reflects the estimated cost of providing continued financial advisory services for a period of six months, assuming fiscal 2026 rates. Ms. Charbonnier did not participate in the financial advisory services program and therefore, would not receive a continuing benefit.</w:t>
      </w:r>
    </w:p>
    <w:p>
      <w:pPr>
        <w:spacing w:after="0" w:line="6"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90"/>
        </w:numPr>
        <w:rPr>
          <w:rFonts w:ascii="Arial" w:cs="Arial" w:eastAsia="Arial" w:hAnsi="Arial"/>
          <w:sz w:val="23"/>
          <w:szCs w:val="23"/>
          <w:color w:val="auto"/>
          <w:vertAlign w:val="superscript"/>
        </w:rPr>
      </w:pPr>
      <w:r>
        <w:rPr>
          <w:rFonts w:ascii="Arial" w:cs="Arial" w:eastAsia="Arial" w:hAnsi="Arial"/>
          <w:sz w:val="15"/>
          <w:szCs w:val="15"/>
          <w:color w:val="auto"/>
        </w:rPr>
        <w:t>Reflects the estimated cost of six months of outplacement services.</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Wyshner Separation Agreement</w:t>
      </w:r>
    </w:p>
    <w:p>
      <w:pPr>
        <w:spacing w:after="0" w:line="154" w:lineRule="exact"/>
        <w:rPr>
          <w:sz w:val="20"/>
          <w:szCs w:val="20"/>
          <w:color w:val="auto"/>
        </w:rPr>
      </w:pPr>
    </w:p>
    <w:p>
      <w:pPr>
        <w:ind w:left="80" w:right="139"/>
        <w:spacing w:after="0" w:line="233" w:lineRule="auto"/>
        <w:rPr>
          <w:sz w:val="20"/>
          <w:szCs w:val="20"/>
          <w:color w:val="auto"/>
        </w:rPr>
      </w:pPr>
      <w:r>
        <w:rPr>
          <w:rFonts w:ascii="Arial" w:cs="Arial" w:eastAsia="Arial" w:hAnsi="Arial"/>
          <w:sz w:val="17"/>
          <w:szCs w:val="17"/>
          <w:color w:val="auto"/>
        </w:rPr>
        <w:t>As previously disclosed, Mr. Wyshner departed from the Company effective February 5, 2026. Mr. Wyshner was entitled to receive separation-related payments and benefits in accordance with the Company’s existing Severance Plan as described below. In connection with Mr. Wyshner’s departure from the Company, on February 12, 2026, the Company and Mr. Wyshner entered into a Separation Agreement (the “Wyshner Agreement”) to memorialize the terms of his separation. Pursuant to the terms of the Wyshner Agreement, and consistent with the existing Severance Plan, Mr. Wyshner received a lump-sum payment of $1,425,000 which was equal to 18 months’ base salary; his annual cash bonus for fiscal 2026 of $680,143, which was prorated up to February 5, 2026; and is entitled to receive certain continued financial advisory and outplacement services for an initial six-month period worth $87,500 as of February 2026 and 18 months of COBRA premiums paid by the Company worth $57,503. The Wyshner Agreement also provides for an extension of financial advisory and outplacement services for a period of six months if Mr. Wyshner has not obtained employment at the end of the initial six-month period. In addition,</w:t>
      </w:r>
    </w:p>
    <w:p>
      <w:pPr>
        <w:spacing w:after="0" w:line="8" w:lineRule="exact"/>
        <w:rPr>
          <w:sz w:val="20"/>
          <w:szCs w:val="20"/>
          <w:color w:val="auto"/>
        </w:rPr>
      </w:pPr>
    </w:p>
    <w:p>
      <w:pPr>
        <w:jc w:val="both"/>
        <w:ind w:left="80" w:right="339"/>
        <w:spacing w:after="0"/>
        <w:rPr>
          <w:sz w:val="20"/>
          <w:szCs w:val="20"/>
          <w:color w:val="auto"/>
        </w:rPr>
      </w:pPr>
      <w:r>
        <w:rPr>
          <w:rFonts w:ascii="Arial" w:cs="Arial" w:eastAsia="Arial" w:hAnsi="Arial"/>
          <w:sz w:val="17"/>
          <w:szCs w:val="17"/>
          <w:color w:val="auto"/>
        </w:rPr>
        <w:t>Mr. Wyshner received a payment of $60,288 made upon his departure for unused vacation in accordance with the Company’s vacation policy. All of Mr. Wyshner’s unvested equity awards were forfeited as a result of his departure from the Company on February 5, 2026.</w:t>
      </w:r>
    </w:p>
    <w:p>
      <w:pPr>
        <w:spacing w:after="0" w:line="127" w:lineRule="exact"/>
        <w:rPr>
          <w:sz w:val="20"/>
          <w:szCs w:val="20"/>
          <w:color w:val="auto"/>
        </w:rPr>
      </w:pPr>
    </w:p>
    <w:p>
      <w:pPr>
        <w:ind w:left="80" w:right="319"/>
        <w:spacing w:after="0" w:line="267" w:lineRule="auto"/>
        <w:rPr>
          <w:sz w:val="20"/>
          <w:szCs w:val="20"/>
          <w:color w:val="auto"/>
        </w:rPr>
      </w:pPr>
      <w:r>
        <w:rPr>
          <w:rFonts w:ascii="Arial" w:cs="Arial" w:eastAsia="Arial" w:hAnsi="Arial"/>
          <w:sz w:val="17"/>
          <w:szCs w:val="17"/>
          <w:color w:val="auto"/>
        </w:rPr>
        <w:t>The Wyshner Agreement contains customary confidentiality provisions, post-employment non-solicitation and non-competition covenants, and a general release of claims in favor of the Company.</w:t>
      </w:r>
    </w:p>
    <w:p>
      <w:pPr>
        <w:spacing w:after="0" w:line="18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8" w:name="page79"/>
    <w:bookmarkEnd w:id="7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Sebold Separation Agreement</w:t>
      </w:r>
    </w:p>
    <w:p>
      <w:pPr>
        <w:spacing w:after="0" w:line="154" w:lineRule="exact"/>
        <w:rPr>
          <w:sz w:val="20"/>
          <w:szCs w:val="20"/>
          <w:color w:val="auto"/>
        </w:rPr>
      </w:pPr>
    </w:p>
    <w:p>
      <w:pPr>
        <w:ind w:left="80" w:right="159"/>
        <w:spacing w:after="0" w:line="235" w:lineRule="auto"/>
        <w:rPr>
          <w:sz w:val="20"/>
          <w:szCs w:val="20"/>
          <w:color w:val="auto"/>
        </w:rPr>
      </w:pPr>
      <w:r>
        <w:rPr>
          <w:rFonts w:ascii="Arial" w:cs="Arial" w:eastAsia="Arial" w:hAnsi="Arial"/>
          <w:sz w:val="17"/>
          <w:szCs w:val="17"/>
          <w:color w:val="auto"/>
        </w:rPr>
        <w:t>As previously disclosed, Mr. Sebold departed from the Company effective February 5, 2026. Mr. Sebold was entitled to receive separation-related payments and benefits in accordance with the Company’s existing Severance Plan and the LTPP as described below. In connection with Mr. Sebold’s departure from the Company, on February 12, 2026, the Company and Mr. Sebold entered into a Separation Agreement (the “Sebold Agreement”) to memorialize the terms of his separation. Pursuant to the terms of the Sebold Agreement, and consistent with the existing Severance Plan, Mr. Sebold received a lump-sum payment of $1,125,000, which was equal to 18 months’ base salary; his annual cash bonus for fiscal 2026 of $547,947, which was prorated up to February 5, 2026; and is entitled to receive certain continued financial advisory and outplacement services for an initial six-month period worth $87,500 as of February 2026, and 18 months of COBRA premiums paid by the Company worth $49,771. The Sebold Agreement also provides for an extension of outplacement services for a period of six months if Mr. Sebold has not obtained employment at the end of the initial six-month period. In addition, Mr. Sebold received a payment of $63,101 made upon his departure for unused vacation in accordance with the Company’s vacation policy.</w:t>
      </w:r>
    </w:p>
    <w:p>
      <w:pPr>
        <w:spacing w:after="0" w:line="133" w:lineRule="exact"/>
        <w:rPr>
          <w:sz w:val="20"/>
          <w:szCs w:val="20"/>
          <w:color w:val="auto"/>
        </w:rPr>
      </w:pPr>
    </w:p>
    <w:p>
      <w:pPr>
        <w:ind w:left="80" w:right="139"/>
        <w:spacing w:after="0" w:line="237" w:lineRule="auto"/>
        <w:rPr>
          <w:sz w:val="20"/>
          <w:szCs w:val="20"/>
          <w:color w:val="auto"/>
        </w:rPr>
      </w:pPr>
      <w:r>
        <w:rPr>
          <w:rFonts w:ascii="Arial" w:cs="Arial" w:eastAsia="Arial" w:hAnsi="Arial"/>
          <w:sz w:val="17"/>
          <w:szCs w:val="17"/>
          <w:color w:val="auto"/>
        </w:rPr>
        <w:t>Pursuant to the terms of the Sebold Agreement and consistent with the terms of the LTPP and his outstanding equity award agreements, as a result of Mr. Sebold’s age and years of service, (i) 46,875 RSUs granted to Mr. Sebold in fiscal 2022, 2023 and 2024, with an aggregate fair value of $1,034,531 at February 5, 2026, will continue to vest in accordance with their terms and (ii) 90,907 PSUs (representing a pro-rata portion of PSUs granted to Mr. Sebold in fiscal 2023 and 2024), with an aggregate fair value of $2,006,317 at February 5, 2026 (assuming achievement of target performance), will continue to be eligible to vest based on actual performance through the end of their applicable performance period. Mr. Sebold’s outstanding options will also remain outstanding and exercisable pursuant to the terms of the applicable awards. All other unvested RSUs and PSUs were forfeited.</w:t>
      </w:r>
    </w:p>
    <w:p>
      <w:pPr>
        <w:spacing w:after="0" w:line="130" w:lineRule="exact"/>
        <w:rPr>
          <w:sz w:val="20"/>
          <w:szCs w:val="20"/>
          <w:color w:val="auto"/>
        </w:rPr>
      </w:pPr>
    </w:p>
    <w:p>
      <w:pPr>
        <w:ind w:left="80" w:right="459"/>
        <w:spacing w:after="0" w:line="267" w:lineRule="auto"/>
        <w:rPr>
          <w:sz w:val="20"/>
          <w:szCs w:val="20"/>
          <w:color w:val="auto"/>
        </w:rPr>
      </w:pPr>
      <w:r>
        <w:rPr>
          <w:rFonts w:ascii="Arial" w:cs="Arial" w:eastAsia="Arial" w:hAnsi="Arial"/>
          <w:sz w:val="17"/>
          <w:szCs w:val="17"/>
          <w:color w:val="auto"/>
        </w:rPr>
        <w:t>The Sebold Agreement contains customary confidentiality provisions, post-employment non-solicitation and non-competition covenants, and a general release of claims in favor of the Company.</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Severance Plan</w:t>
      </w:r>
    </w:p>
    <w:p>
      <w:pPr>
        <w:spacing w:after="0" w:line="154"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color w:val="auto"/>
        </w:rPr>
        <w:t>The Severance Plan provides for payment of severance and other benefits to eligible executives, including the NEOs, in the event of a termination of employment with the Company without Cause (as that term is defined in the LTPP and as set forth below) and other than due to death or disability or, solely in connection with a change in control, with Good Reason (as defined below, and each of a termination without Cause and a termination with Good Reason, a “covered termination”), in each case, subject to the executive’s (i) execution and non-revocation of a general release of claims in favor of the Company, (ii) execution of a confidential separation agreement including a two-year non-solicitation agreement of Company employees and, except where prohibited by law or waiver by Kyndryl, a two-year non-solicitation of Company clients and (iii) continued compliance with the executive’s Agreement Regarding Confidential Information and Intellectual Property with the Company. The Severance Plan also provides for continued vesting of certain equity awards upon a “qualifying retirement” (as defined below).</w:t>
      </w:r>
    </w:p>
    <w:p>
      <w:pPr>
        <w:spacing w:after="0" w:line="130" w:lineRule="exact"/>
        <w:rPr>
          <w:sz w:val="20"/>
          <w:szCs w:val="20"/>
          <w:color w:val="auto"/>
        </w:rPr>
      </w:pPr>
    </w:p>
    <w:p>
      <w:pPr>
        <w:ind w:left="80" w:right="179"/>
        <w:spacing w:after="0" w:line="267" w:lineRule="auto"/>
        <w:rPr>
          <w:sz w:val="20"/>
          <w:szCs w:val="20"/>
          <w:color w:val="auto"/>
        </w:rPr>
      </w:pPr>
      <w:r>
        <w:rPr>
          <w:rFonts w:ascii="Arial" w:cs="Arial" w:eastAsia="Arial" w:hAnsi="Arial"/>
          <w:sz w:val="17"/>
          <w:szCs w:val="17"/>
          <w:color w:val="auto"/>
        </w:rPr>
        <w:t>In the event of a covered termination, in addition to certain accrued obligations as of March 31, 2026, the Severance Plan provides for the following payments and benefits to the NEOs:</w:t>
      </w:r>
    </w:p>
    <w:p>
      <w:pPr>
        <w:spacing w:after="0" w:line="51" w:lineRule="exact"/>
        <w:rPr>
          <w:sz w:val="20"/>
          <w:szCs w:val="20"/>
          <w:color w:val="auto"/>
        </w:rPr>
      </w:pPr>
    </w:p>
    <w:p>
      <w:pPr>
        <w:ind w:left="900" w:right="279" w:hanging="356"/>
        <w:spacing w:after="0" w:line="249" w:lineRule="auto"/>
        <w:tabs>
          <w:tab w:leader="none" w:pos="900" w:val="left"/>
        </w:tabs>
        <w:numPr>
          <w:ilvl w:val="0"/>
          <w:numId w:val="91"/>
        </w:numPr>
        <w:rPr>
          <w:rFonts w:ascii="Arial" w:cs="Arial" w:eastAsia="Arial" w:hAnsi="Arial"/>
          <w:sz w:val="17"/>
          <w:szCs w:val="17"/>
          <w:color w:val="F0533D"/>
        </w:rPr>
      </w:pPr>
      <w:r>
        <w:rPr>
          <w:rFonts w:ascii="Arial" w:cs="Arial" w:eastAsia="Arial" w:hAnsi="Arial"/>
          <w:sz w:val="17"/>
          <w:szCs w:val="17"/>
          <w:color w:val="auto"/>
        </w:rPr>
        <w:t>a lump-sum bonus under the Annual Incentive Plan, determined based on actual scored performance of the Company, not adjusted for individual performance and prorated based on eligible days of service in the current performance period;</w:t>
      </w:r>
    </w:p>
    <w:p>
      <w:pPr>
        <w:spacing w:after="0" w:line="66" w:lineRule="exact"/>
        <w:rPr>
          <w:rFonts w:ascii="Arial" w:cs="Arial" w:eastAsia="Arial" w:hAnsi="Arial"/>
          <w:sz w:val="17"/>
          <w:szCs w:val="17"/>
          <w:color w:val="F0533D"/>
        </w:rPr>
      </w:pPr>
    </w:p>
    <w:p>
      <w:pPr>
        <w:ind w:left="900" w:hanging="356"/>
        <w:spacing w:after="0"/>
        <w:tabs>
          <w:tab w:leader="none" w:pos="900" w:val="left"/>
        </w:tabs>
        <w:numPr>
          <w:ilvl w:val="0"/>
          <w:numId w:val="91"/>
        </w:numPr>
        <w:rPr>
          <w:rFonts w:ascii="Arial" w:cs="Arial" w:eastAsia="Arial" w:hAnsi="Arial"/>
          <w:sz w:val="17"/>
          <w:szCs w:val="17"/>
          <w:color w:val="F0533D"/>
        </w:rPr>
      </w:pPr>
      <w:r>
        <w:rPr>
          <w:rFonts w:ascii="Arial" w:cs="Arial" w:eastAsia="Arial" w:hAnsi="Arial"/>
          <w:sz w:val="17"/>
          <w:szCs w:val="17"/>
          <w:color w:val="auto"/>
        </w:rPr>
        <w:t>a lump-sum payment in an amount equal to 24 months’ base salary in the case of Mr. Schroeter, or</w:t>
      </w:r>
    </w:p>
    <w:p>
      <w:pPr>
        <w:spacing w:after="0" w:line="9" w:lineRule="exact"/>
        <w:rPr>
          <w:rFonts w:ascii="Arial" w:cs="Arial" w:eastAsia="Arial" w:hAnsi="Arial"/>
          <w:sz w:val="17"/>
          <w:szCs w:val="17"/>
          <w:color w:val="F0533D"/>
        </w:rPr>
      </w:pPr>
    </w:p>
    <w:p>
      <w:pPr>
        <w:ind w:left="900"/>
        <w:spacing w:after="0"/>
        <w:rPr>
          <w:rFonts w:ascii="Arial" w:cs="Arial" w:eastAsia="Arial" w:hAnsi="Arial"/>
          <w:sz w:val="17"/>
          <w:szCs w:val="17"/>
          <w:color w:val="F0533D"/>
        </w:rPr>
      </w:pPr>
      <w:r>
        <w:rPr>
          <w:rFonts w:ascii="Arial" w:cs="Arial" w:eastAsia="Arial" w:hAnsi="Arial"/>
          <w:sz w:val="17"/>
          <w:szCs w:val="17"/>
          <w:color w:val="auto"/>
        </w:rPr>
        <w:t>18 months’ base salary in the case of each of the other NEOs, in each case inclusive of any notice period;</w:t>
      </w:r>
    </w:p>
    <w:p>
      <w:pPr>
        <w:spacing w:after="0" w:line="85" w:lineRule="exact"/>
        <w:rPr>
          <w:rFonts w:ascii="Arial" w:cs="Arial" w:eastAsia="Arial" w:hAnsi="Arial"/>
          <w:sz w:val="17"/>
          <w:szCs w:val="17"/>
          <w:color w:val="F0533D"/>
        </w:rPr>
      </w:pPr>
    </w:p>
    <w:p>
      <w:pPr>
        <w:ind w:left="900" w:right="99" w:hanging="356"/>
        <w:spacing w:after="0" w:line="241" w:lineRule="auto"/>
        <w:tabs>
          <w:tab w:leader="none" w:pos="900" w:val="left"/>
        </w:tabs>
        <w:numPr>
          <w:ilvl w:val="0"/>
          <w:numId w:val="91"/>
        </w:numPr>
        <w:rPr>
          <w:rFonts w:ascii="Arial" w:cs="Arial" w:eastAsia="Arial" w:hAnsi="Arial"/>
          <w:sz w:val="17"/>
          <w:szCs w:val="17"/>
          <w:color w:val="F0533D"/>
        </w:rPr>
      </w:pPr>
      <w:r>
        <w:rPr>
          <w:rFonts w:ascii="Arial" w:cs="Arial" w:eastAsia="Arial" w:hAnsi="Arial"/>
          <w:sz w:val="17"/>
          <w:szCs w:val="17"/>
          <w:color w:val="auto"/>
        </w:rPr>
        <w:t>continued health insurance coverage, or reimbursement of premiums for coverage, at substantially the same level as provided immediately prior to such termination, at the same cost as generally provided to similarly situated active Company employees, for a period of 18 months (the “welfare benefit”), inclusive of any notice period provided that such coverage will be provided through COBRA on a taxable basis and subject to continued eligibility for and enrollment in COBRA; and</w:t>
      </w:r>
    </w:p>
    <w:p>
      <w:pPr>
        <w:spacing w:after="0" w:line="71" w:lineRule="exact"/>
        <w:rPr>
          <w:rFonts w:ascii="Arial" w:cs="Arial" w:eastAsia="Arial" w:hAnsi="Arial"/>
          <w:sz w:val="17"/>
          <w:szCs w:val="17"/>
          <w:color w:val="F0533D"/>
        </w:rPr>
      </w:pPr>
    </w:p>
    <w:p>
      <w:pPr>
        <w:ind w:left="900" w:hanging="356"/>
        <w:spacing w:after="0"/>
        <w:tabs>
          <w:tab w:leader="none" w:pos="900" w:val="left"/>
        </w:tabs>
        <w:numPr>
          <w:ilvl w:val="0"/>
          <w:numId w:val="91"/>
        </w:numPr>
        <w:rPr>
          <w:rFonts w:ascii="Arial" w:cs="Arial" w:eastAsia="Arial" w:hAnsi="Arial"/>
          <w:sz w:val="17"/>
          <w:szCs w:val="17"/>
          <w:color w:val="F0533D"/>
        </w:rPr>
      </w:pPr>
      <w:r>
        <w:rPr>
          <w:rFonts w:ascii="Arial" w:cs="Arial" w:eastAsia="Arial" w:hAnsi="Arial"/>
          <w:sz w:val="17"/>
          <w:szCs w:val="17"/>
          <w:color w:val="auto"/>
        </w:rPr>
        <w:t>payment of, or reimbursement for, six months of outplacement services (the “outplacement benefit”).</w:t>
      </w:r>
    </w:p>
    <w:p>
      <w:pPr>
        <w:spacing w:after="0" w:line="23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9" w:name="page80"/>
    <w:bookmarkEnd w:id="7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99"/>
        <w:spacing w:after="0" w:line="249" w:lineRule="auto"/>
        <w:rPr>
          <w:sz w:val="20"/>
          <w:szCs w:val="20"/>
          <w:color w:val="auto"/>
        </w:rPr>
      </w:pPr>
      <w:r>
        <w:rPr>
          <w:rFonts w:ascii="Arial" w:cs="Arial" w:eastAsia="Arial" w:hAnsi="Arial"/>
          <w:sz w:val="17"/>
          <w:szCs w:val="17"/>
          <w:color w:val="auto"/>
        </w:rPr>
        <w:t>Notwithstanding the foregoing, in the event such covered termination occurs within the 24-month period following a change in control (as defined in the LTPP), in addition to certain accrued obligations, the Severance Plan provides for the following payments and benefits to the NEOs:</w:t>
      </w:r>
    </w:p>
    <w:p>
      <w:pPr>
        <w:spacing w:after="0" w:line="67" w:lineRule="exact"/>
        <w:rPr>
          <w:sz w:val="20"/>
          <w:szCs w:val="20"/>
          <w:color w:val="auto"/>
        </w:rPr>
      </w:pPr>
    </w:p>
    <w:p>
      <w:pPr>
        <w:ind w:left="900" w:hanging="356"/>
        <w:spacing w:after="0"/>
        <w:tabs>
          <w:tab w:leader="none" w:pos="900" w:val="left"/>
        </w:tabs>
        <w:numPr>
          <w:ilvl w:val="0"/>
          <w:numId w:val="92"/>
        </w:numPr>
        <w:rPr>
          <w:rFonts w:ascii="Arial" w:cs="Arial" w:eastAsia="Arial" w:hAnsi="Arial"/>
          <w:sz w:val="17"/>
          <w:szCs w:val="17"/>
          <w:color w:val="F0533D"/>
        </w:rPr>
      </w:pPr>
      <w:r>
        <w:rPr>
          <w:rFonts w:ascii="Arial" w:cs="Arial" w:eastAsia="Arial" w:hAnsi="Arial"/>
          <w:sz w:val="17"/>
          <w:szCs w:val="17"/>
          <w:color w:val="auto"/>
        </w:rPr>
        <w:t>a lump-sum pro-rata bonus for the year of termination, based on target performance;</w:t>
      </w:r>
    </w:p>
    <w:p>
      <w:pPr>
        <w:spacing w:after="0" w:line="101" w:lineRule="exact"/>
        <w:rPr>
          <w:rFonts w:ascii="Arial" w:cs="Arial" w:eastAsia="Arial" w:hAnsi="Arial"/>
          <w:sz w:val="17"/>
          <w:szCs w:val="17"/>
          <w:color w:val="F0533D"/>
        </w:rPr>
      </w:pPr>
    </w:p>
    <w:p>
      <w:pPr>
        <w:ind w:left="900" w:right="479" w:hanging="356"/>
        <w:spacing w:after="0" w:line="249" w:lineRule="auto"/>
        <w:tabs>
          <w:tab w:leader="none" w:pos="900" w:val="left"/>
        </w:tabs>
        <w:numPr>
          <w:ilvl w:val="0"/>
          <w:numId w:val="92"/>
        </w:numPr>
        <w:rPr>
          <w:rFonts w:ascii="Arial" w:cs="Arial" w:eastAsia="Arial" w:hAnsi="Arial"/>
          <w:sz w:val="17"/>
          <w:szCs w:val="17"/>
          <w:color w:val="F0533D"/>
        </w:rPr>
      </w:pPr>
      <w:r>
        <w:rPr>
          <w:rFonts w:ascii="Arial" w:cs="Arial" w:eastAsia="Arial" w:hAnsi="Arial"/>
          <w:sz w:val="17"/>
          <w:szCs w:val="17"/>
          <w:color w:val="auto"/>
        </w:rPr>
        <w:t>a lump-sum cash severance amount equal to the sum of 24 months’ base salary and two times target annual incentive plan payout in the case of Mr. Schroeter, or the sum of 18 months’ base salary and one and one-half times target annual incentive plan payout in the case of the other NEOs;</w:t>
      </w:r>
    </w:p>
    <w:p>
      <w:pPr>
        <w:spacing w:after="0" w:line="66" w:lineRule="exact"/>
        <w:rPr>
          <w:rFonts w:ascii="Arial" w:cs="Arial" w:eastAsia="Arial" w:hAnsi="Arial"/>
          <w:sz w:val="17"/>
          <w:szCs w:val="17"/>
          <w:color w:val="F0533D"/>
        </w:rPr>
      </w:pPr>
    </w:p>
    <w:p>
      <w:pPr>
        <w:ind w:left="900" w:hanging="356"/>
        <w:spacing w:after="0"/>
        <w:tabs>
          <w:tab w:leader="none" w:pos="900" w:val="left"/>
        </w:tabs>
        <w:numPr>
          <w:ilvl w:val="0"/>
          <w:numId w:val="92"/>
        </w:numPr>
        <w:rPr>
          <w:rFonts w:ascii="Arial" w:cs="Arial" w:eastAsia="Arial" w:hAnsi="Arial"/>
          <w:sz w:val="17"/>
          <w:szCs w:val="17"/>
          <w:color w:val="F0533D"/>
        </w:rPr>
      </w:pPr>
      <w:r>
        <w:rPr>
          <w:rFonts w:ascii="Arial" w:cs="Arial" w:eastAsia="Arial" w:hAnsi="Arial"/>
          <w:sz w:val="17"/>
          <w:szCs w:val="17"/>
          <w:color w:val="auto"/>
        </w:rPr>
        <w:t>the welfare benefit;</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92"/>
        </w:numPr>
        <w:rPr>
          <w:rFonts w:ascii="Arial" w:cs="Arial" w:eastAsia="Arial" w:hAnsi="Arial"/>
          <w:sz w:val="17"/>
          <w:szCs w:val="17"/>
          <w:color w:val="F0533D"/>
        </w:rPr>
      </w:pPr>
      <w:r>
        <w:rPr>
          <w:rFonts w:ascii="Arial" w:cs="Arial" w:eastAsia="Arial" w:hAnsi="Arial"/>
          <w:sz w:val="17"/>
          <w:szCs w:val="17"/>
          <w:color w:val="auto"/>
        </w:rPr>
        <w:t>the outplacement benefit; and</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92"/>
        </w:numPr>
        <w:rPr>
          <w:rFonts w:ascii="Arial" w:cs="Arial" w:eastAsia="Arial" w:hAnsi="Arial"/>
          <w:sz w:val="17"/>
          <w:szCs w:val="17"/>
          <w:color w:val="F0533D"/>
        </w:rPr>
      </w:pPr>
      <w:r>
        <w:rPr>
          <w:rFonts w:ascii="Arial" w:cs="Arial" w:eastAsia="Arial" w:hAnsi="Arial"/>
          <w:sz w:val="17"/>
          <w:szCs w:val="17"/>
          <w:color w:val="auto"/>
        </w:rPr>
        <w:t>financial advisory services (for executives in Band B and above).</w:t>
      </w:r>
    </w:p>
    <w:p>
      <w:pPr>
        <w:spacing w:after="0" w:line="156" w:lineRule="exact"/>
        <w:rPr>
          <w:sz w:val="20"/>
          <w:szCs w:val="20"/>
          <w:color w:val="auto"/>
        </w:rPr>
      </w:pPr>
    </w:p>
    <w:p>
      <w:pPr>
        <w:ind w:left="80" w:right="99"/>
        <w:spacing w:after="0" w:line="236" w:lineRule="auto"/>
        <w:rPr>
          <w:sz w:val="20"/>
          <w:szCs w:val="20"/>
          <w:color w:val="auto"/>
        </w:rPr>
      </w:pPr>
      <w:r>
        <w:rPr>
          <w:rFonts w:ascii="Arial" w:cs="Arial" w:eastAsia="Arial" w:hAnsi="Arial"/>
          <w:sz w:val="17"/>
          <w:szCs w:val="17"/>
          <w:color w:val="auto"/>
        </w:rPr>
        <w:t>In addition, the Severance Plan provides that, upon a termination in connection with a “qualifying retirement,” subject to the NEO’s (i) provision of six months’ notice of intent to retire, unless waived by the plan administrator, (ii) execution and non-revocation of a general release of claims in favor of the Company, (iii) execution of a two-year noncompetition and non-solicitation agreement, (iv) completion of one year of service measured from the LTPP award date, and (v) continued compliance with the Agreement Regarding Confidential Information and Intellectual Property with the Company, notwithstanding anything to the contrary in the LTPP or the award agreements relating to the NEO’s outstanding RSU awards or cash awards under the LTPP, such outstanding RSU or cash awards will not be cancelled but will instead remain outstanding and subject to vesting in accordance with their terms as if the NEO remained an active employee of the Company through each applicable vesting date. In addition, executives in Band B and above who experience a qualifying retirement are eligible for financial advisory services for a period of six months following termination of employment. If elected, this benefit will be subject to imputed income.</w:t>
      </w:r>
    </w:p>
    <w:p>
      <w:pPr>
        <w:spacing w:after="0" w:line="127"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Severance Plan provides that if any payments and/or benefits due to a participant (including any NEO) under the</w:t>
      </w:r>
    </w:p>
    <w:p>
      <w:pPr>
        <w:spacing w:after="0" w:line="3" w:lineRule="exact"/>
        <w:rPr>
          <w:sz w:val="20"/>
          <w:szCs w:val="20"/>
          <w:color w:val="auto"/>
        </w:rPr>
      </w:pPr>
    </w:p>
    <w:p>
      <w:pPr>
        <w:ind w:left="80"/>
        <w:spacing w:after="0"/>
        <w:rPr>
          <w:sz w:val="20"/>
          <w:szCs w:val="20"/>
          <w:color w:val="auto"/>
        </w:rPr>
      </w:pPr>
      <w:r>
        <w:rPr>
          <w:rFonts w:ascii="Arial" w:cs="Arial" w:eastAsia="Arial" w:hAnsi="Arial"/>
          <w:sz w:val="17"/>
          <w:szCs w:val="17"/>
          <w:color w:val="auto"/>
        </w:rPr>
        <w:t>Severance Plan and/or any other arrangements will constitute “excess parachute payments” (as defined in</w:t>
      </w:r>
    </w:p>
    <w:p>
      <w:pPr>
        <w:ind w:left="80"/>
        <w:spacing w:after="0" w:line="232" w:lineRule="auto"/>
        <w:rPr>
          <w:sz w:val="20"/>
          <w:szCs w:val="20"/>
          <w:color w:val="auto"/>
        </w:rPr>
      </w:pPr>
      <w:r>
        <w:rPr>
          <w:rFonts w:ascii="Arial" w:cs="Arial" w:eastAsia="Arial" w:hAnsi="Arial"/>
          <w:sz w:val="17"/>
          <w:szCs w:val="17"/>
          <w:color w:val="auto"/>
        </w:rPr>
        <w:t>Section 280G (“Section 280G”) of the Code), the Company will reduce the amount of payments under the Severance</w:t>
      </w:r>
    </w:p>
    <w:p>
      <w:pPr>
        <w:ind w:left="80"/>
        <w:spacing w:after="0" w:line="232" w:lineRule="auto"/>
        <w:rPr>
          <w:sz w:val="20"/>
          <w:szCs w:val="20"/>
          <w:color w:val="auto"/>
        </w:rPr>
      </w:pPr>
      <w:r>
        <w:rPr>
          <w:rFonts w:ascii="Arial" w:cs="Arial" w:eastAsia="Arial" w:hAnsi="Arial"/>
          <w:sz w:val="17"/>
          <w:szCs w:val="17"/>
          <w:color w:val="auto"/>
        </w:rPr>
        <w:t>Plan by the minimum amount necessary such that the present value of the participant’s “parachute payments” (as</w:t>
      </w:r>
    </w:p>
    <w:p>
      <w:pPr>
        <w:ind w:left="80"/>
        <w:spacing w:after="0" w:line="232" w:lineRule="auto"/>
        <w:rPr>
          <w:sz w:val="20"/>
          <w:szCs w:val="20"/>
          <w:color w:val="auto"/>
        </w:rPr>
      </w:pPr>
      <w:r>
        <w:rPr>
          <w:rFonts w:ascii="Arial" w:cs="Arial" w:eastAsia="Arial" w:hAnsi="Arial"/>
          <w:sz w:val="17"/>
          <w:szCs w:val="17"/>
          <w:color w:val="auto"/>
        </w:rPr>
        <w:t>defined in Section 280G) is below 300% of such participant’s “base amount” (as defined in Section 280G), calculated</w:t>
      </w:r>
    </w:p>
    <w:p>
      <w:pPr>
        <w:ind w:left="80"/>
        <w:spacing w:after="0" w:line="232" w:lineRule="auto"/>
        <w:rPr>
          <w:sz w:val="20"/>
          <w:szCs w:val="20"/>
          <w:color w:val="auto"/>
        </w:rPr>
      </w:pPr>
      <w:r>
        <w:rPr>
          <w:rFonts w:ascii="Arial" w:cs="Arial" w:eastAsia="Arial" w:hAnsi="Arial"/>
          <w:sz w:val="17"/>
          <w:szCs w:val="17"/>
          <w:color w:val="auto"/>
        </w:rPr>
        <w:t>in accordance with the Treasury Regulations promulgated under Section 280G; provided, however, in no event will</w:t>
      </w:r>
    </w:p>
    <w:p>
      <w:pPr>
        <w:ind w:left="80"/>
        <w:spacing w:after="0" w:line="232" w:lineRule="auto"/>
        <w:rPr>
          <w:sz w:val="20"/>
          <w:szCs w:val="20"/>
          <w:color w:val="auto"/>
        </w:rPr>
      </w:pPr>
      <w:r>
        <w:rPr>
          <w:rFonts w:ascii="Arial" w:cs="Arial" w:eastAsia="Arial" w:hAnsi="Arial"/>
          <w:sz w:val="17"/>
          <w:szCs w:val="17"/>
          <w:color w:val="auto"/>
        </w:rPr>
        <w:t>the amount of any severance payments be reduced unless (a) the net after-tax amount of such payments and</w:t>
      </w:r>
    </w:p>
    <w:p>
      <w:pPr>
        <w:ind w:left="80"/>
        <w:spacing w:after="0" w:line="232" w:lineRule="auto"/>
        <w:rPr>
          <w:sz w:val="20"/>
          <w:szCs w:val="20"/>
          <w:color w:val="auto"/>
        </w:rPr>
      </w:pPr>
      <w:r>
        <w:rPr>
          <w:rFonts w:ascii="Arial" w:cs="Arial" w:eastAsia="Arial" w:hAnsi="Arial"/>
          <w:sz w:val="17"/>
          <w:szCs w:val="17"/>
          <w:color w:val="auto"/>
        </w:rPr>
        <w:t>benefits as so reduced is greater than or equal to (b) the net after-tax amount of such payments and benefits without</w:t>
      </w:r>
    </w:p>
    <w:p>
      <w:pPr>
        <w:ind w:left="80"/>
        <w:spacing w:after="0"/>
        <w:rPr>
          <w:sz w:val="20"/>
          <w:szCs w:val="20"/>
          <w:color w:val="auto"/>
        </w:rPr>
      </w:pPr>
      <w:r>
        <w:rPr>
          <w:rFonts w:ascii="Arial" w:cs="Arial" w:eastAsia="Arial" w:hAnsi="Arial"/>
          <w:sz w:val="17"/>
          <w:szCs w:val="17"/>
          <w:color w:val="auto"/>
        </w:rPr>
        <w:t>such reduction.</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7"/>
          <w:szCs w:val="17"/>
          <w:color w:val="auto"/>
        </w:rPr>
        <w:t>For purposes of the Severance Plan:</w:t>
      </w:r>
    </w:p>
    <w:p>
      <w:pPr>
        <w:spacing w:after="0" w:line="102" w:lineRule="exact"/>
        <w:rPr>
          <w:sz w:val="20"/>
          <w:szCs w:val="20"/>
          <w:color w:val="auto"/>
        </w:rPr>
      </w:pPr>
    </w:p>
    <w:p>
      <w:pPr>
        <w:ind w:left="900" w:right="99" w:hanging="356"/>
        <w:spacing w:after="0" w:line="241" w:lineRule="auto"/>
        <w:tabs>
          <w:tab w:leader="none" w:pos="900" w:val="left"/>
        </w:tabs>
        <w:numPr>
          <w:ilvl w:val="0"/>
          <w:numId w:val="93"/>
        </w:numPr>
        <w:rPr>
          <w:rFonts w:ascii="Arial" w:cs="Arial" w:eastAsia="Arial" w:hAnsi="Arial"/>
          <w:sz w:val="17"/>
          <w:szCs w:val="17"/>
          <w:color w:val="F0533D"/>
        </w:rPr>
      </w:pPr>
      <w:r>
        <w:rPr>
          <w:rFonts w:ascii="Arial" w:cs="Arial" w:eastAsia="Arial" w:hAnsi="Arial"/>
          <w:sz w:val="17"/>
          <w:szCs w:val="17"/>
          <w:color w:val="auto"/>
        </w:rPr>
        <w:t>a “qualifying retirement” is a termination of employment (other than for Cause as defined the LTPP and set forth below) after attaining the age of 55 and completing at least ten (10) years of service with the Company at the time of termination. For purposes of calculating years of service, years of service to IBM will be counted for participants who transferred employment directly to the Company from IBM in connection with the Spin-off; and</w:t>
      </w:r>
    </w:p>
    <w:p>
      <w:pPr>
        <w:spacing w:after="0" w:line="71" w:lineRule="exact"/>
        <w:rPr>
          <w:rFonts w:ascii="Arial" w:cs="Arial" w:eastAsia="Arial" w:hAnsi="Arial"/>
          <w:sz w:val="17"/>
          <w:szCs w:val="17"/>
          <w:color w:val="F0533D"/>
        </w:rPr>
      </w:pPr>
    </w:p>
    <w:p>
      <w:pPr>
        <w:ind w:left="900" w:right="119" w:hanging="356"/>
        <w:spacing w:after="0" w:line="235" w:lineRule="auto"/>
        <w:tabs>
          <w:tab w:leader="none" w:pos="900" w:val="left"/>
        </w:tabs>
        <w:numPr>
          <w:ilvl w:val="0"/>
          <w:numId w:val="93"/>
        </w:numPr>
        <w:rPr>
          <w:rFonts w:ascii="Arial" w:cs="Arial" w:eastAsia="Arial" w:hAnsi="Arial"/>
          <w:sz w:val="17"/>
          <w:szCs w:val="17"/>
          <w:color w:val="F0533D"/>
        </w:rPr>
      </w:pPr>
      <w:r>
        <w:rPr>
          <w:rFonts w:ascii="Arial" w:cs="Arial" w:eastAsia="Arial" w:hAnsi="Arial"/>
          <w:sz w:val="17"/>
          <w:szCs w:val="17"/>
          <w:color w:val="auto"/>
        </w:rPr>
        <w:t>a termination with “Good Reason” is a termination of employment following a change in control, due to (a) a material diminution in the participant’s authority, duties or responsibilities, (b) a reduction in the participant’s then current base salary or bonus opportunity, (c) a material breach by the Company of an existing agreement between the Company and the participant, (d) the failure of the Company’s successor to assume in writing the Company’s obligations under the Severance Plan or any other agreement with the participant if not assumed by successor by operation of law, or (e) a relocation of more than 40 miles from both the participant’s then current primary place of employment and their assigned primary Company office; provided, however, that the participant must provide the Company with written notice of the circumstance that the participant claims to be good reason within 90 days after such circumstance first occurs, such circumstance is not remedied within 30 days after the Company receives the written notice, and the participant’s termination of employment is effective as soon as practicable after the end of such 30-day cure period.</w:t>
      </w:r>
    </w:p>
    <w:p>
      <w:pPr>
        <w:spacing w:after="0" w:line="209"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0" w:name="page81"/>
    <w:bookmarkEnd w:id="8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80" w:right="379"/>
        <w:spacing w:after="0" w:line="281" w:lineRule="auto"/>
        <w:rPr>
          <w:sz w:val="20"/>
          <w:szCs w:val="20"/>
          <w:color w:val="auto"/>
        </w:rPr>
      </w:pPr>
      <w:r>
        <w:rPr>
          <w:rFonts w:ascii="Arial" w:cs="Arial" w:eastAsia="Arial" w:hAnsi="Arial"/>
          <w:sz w:val="18"/>
          <w:szCs w:val="18"/>
          <w:b w:val="1"/>
          <w:bCs w:val="1"/>
          <w:color w:val="auto"/>
        </w:rPr>
        <w:t>Treatment of Outstanding Equity Awards in the Event of Certain Qualifying Terminations (Other than Terminations in Connection with a Change in Control)</w:t>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RSUs</w:t>
      </w:r>
    </w:p>
    <w:p>
      <w:pPr>
        <w:spacing w:after="0" w:line="154" w:lineRule="exact"/>
        <w:rPr>
          <w:sz w:val="20"/>
          <w:szCs w:val="20"/>
          <w:color w:val="auto"/>
        </w:rPr>
      </w:pPr>
    </w:p>
    <w:p>
      <w:pPr>
        <w:ind w:left="80" w:right="219"/>
        <w:spacing w:after="0" w:line="241" w:lineRule="auto"/>
        <w:rPr>
          <w:sz w:val="20"/>
          <w:szCs w:val="20"/>
          <w:color w:val="auto"/>
        </w:rPr>
      </w:pPr>
      <w:r>
        <w:rPr>
          <w:rFonts w:ascii="Arial" w:cs="Arial" w:eastAsia="Arial" w:hAnsi="Arial"/>
          <w:sz w:val="17"/>
          <w:szCs w:val="17"/>
          <w:color w:val="auto"/>
        </w:rPr>
        <w:t>Except as provided in the case of a “qualifying retirement” under the Severance Plan, in the event of termination of employment other than on account of death or disability, all unvested RSUs will be cancelled. In the event of the NEO’s death, all unvested RSUs will immediately vest. In the event the NEO becomes disabled (as described in the LTPP), unvested RSUs will remain outstanding and continue to vest in accordance with their terms as if the NEO remained an active employee of the Company through each applicable vesting date.</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Stock Options</w:t>
      </w:r>
    </w:p>
    <w:p>
      <w:pPr>
        <w:spacing w:after="0" w:line="154" w:lineRule="exact"/>
        <w:rPr>
          <w:sz w:val="20"/>
          <w:szCs w:val="20"/>
          <w:color w:val="auto"/>
        </w:rPr>
      </w:pPr>
    </w:p>
    <w:p>
      <w:pPr>
        <w:ind w:left="80" w:right="139"/>
        <w:spacing w:after="0" w:line="235" w:lineRule="auto"/>
        <w:rPr>
          <w:sz w:val="20"/>
          <w:szCs w:val="20"/>
          <w:color w:val="auto"/>
        </w:rPr>
      </w:pPr>
      <w:r>
        <w:rPr>
          <w:rFonts w:ascii="Arial" w:cs="Arial" w:eastAsia="Arial" w:hAnsi="Arial"/>
          <w:sz w:val="17"/>
          <w:szCs w:val="17"/>
          <w:color w:val="auto"/>
        </w:rPr>
        <w:t>In the event of termination of employment other than in connection with a “qualifying LTPP retirement” or on account of death or disability, any stock options that are not exercisable will be cancelled immediately, and any stock options that are exercisable as of the date of termination of employment (other than for Cause (as defined in the LTPP and set forth below)) will remain exercisable for 90 days after the date of termination, after which any unexercised stock options will be cancelled. In the event of termination of employment in connection with a “qualifying LTPP retirement” (which is a termination of employment (other than for Cause) after attaining the age of 55 and completing at least ten years of service with the Company at the time of termination), any unvested stock options will vest and become exercisable, and all stock options that are exercisable as of the date of termination will remain exercisable until the earlier of the expiration of the full term and the fifth anniversary of the date the NEO’s employment terminates. In the event of the NEO’s death or in the event the NEO becomes disabled, all stock options will become fully exercisable and remain exercisable until the earlier of the expiration of their full term and the third anniversary of the date the NEO’s employment terminates.</w:t>
      </w:r>
    </w:p>
    <w:p>
      <w:pPr>
        <w:spacing w:after="0" w:line="176"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PSUs</w:t>
      </w:r>
    </w:p>
    <w:p>
      <w:pPr>
        <w:spacing w:after="0" w:line="154" w:lineRule="exact"/>
        <w:rPr>
          <w:sz w:val="20"/>
          <w:szCs w:val="20"/>
          <w:color w:val="auto"/>
        </w:rPr>
      </w:pPr>
    </w:p>
    <w:p>
      <w:pPr>
        <w:ind w:left="80" w:right="179"/>
        <w:spacing w:after="0" w:line="239" w:lineRule="auto"/>
        <w:rPr>
          <w:sz w:val="20"/>
          <w:szCs w:val="20"/>
          <w:color w:val="auto"/>
        </w:rPr>
      </w:pPr>
      <w:r>
        <w:rPr>
          <w:rFonts w:ascii="Arial" w:cs="Arial" w:eastAsia="Arial" w:hAnsi="Arial"/>
          <w:sz w:val="17"/>
          <w:szCs w:val="17"/>
          <w:color w:val="auto"/>
        </w:rPr>
        <w:t>In the event of a termination of employment other than in connection with a “qualifying LTPP retirement” or on account of death or disability, all unvested PSUs will be cancelled. In the event of termination of employment in connection with a “qualifying LTPP retirement” at least one year after the grant date of the PSUs, the NEO will receive a payout that is prorated for the time worked as an active executive during the Performance Period following the CHC Committee’s calculation of the PSU payout. In the event of an NEO’s death or in the event the NEO becomes disabled, the PSUs will remain outstanding and continue to vest in accordance with their terms.</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Treatment of Outstanding Equity Awards in the Event of a Change in Control</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7"/>
          <w:szCs w:val="17"/>
          <w:color w:val="auto"/>
        </w:rPr>
        <w:t>In the event of a change in control (as defined in the LTPP):</w:t>
      </w:r>
    </w:p>
    <w:p>
      <w:pPr>
        <w:spacing w:after="0" w:line="102" w:lineRule="exact"/>
        <w:rPr>
          <w:sz w:val="20"/>
          <w:szCs w:val="20"/>
          <w:color w:val="auto"/>
        </w:rPr>
      </w:pPr>
    </w:p>
    <w:p>
      <w:pPr>
        <w:ind w:left="900" w:right="99" w:hanging="356"/>
        <w:spacing w:after="0" w:line="235" w:lineRule="auto"/>
        <w:tabs>
          <w:tab w:leader="none" w:pos="900" w:val="left"/>
        </w:tabs>
        <w:numPr>
          <w:ilvl w:val="0"/>
          <w:numId w:val="94"/>
        </w:numPr>
        <w:rPr>
          <w:rFonts w:ascii="Arial" w:cs="Arial" w:eastAsia="Arial" w:hAnsi="Arial"/>
          <w:sz w:val="17"/>
          <w:szCs w:val="17"/>
          <w:color w:val="F0533D"/>
        </w:rPr>
      </w:pPr>
      <w:r>
        <w:rPr>
          <w:rFonts w:ascii="Arial" w:cs="Arial" w:eastAsia="Arial" w:hAnsi="Arial"/>
          <w:sz w:val="17"/>
          <w:szCs w:val="17"/>
          <w:color w:val="auto"/>
        </w:rPr>
        <w:t>if the acquirer or successor company in such change in control has agreed to provide for the substitution, assumption, exchange or other continuation of awards granted pursuant to the LTPP, then, if the participant’s employment with or service to the Company or an affiliate is terminated by the Company or affiliate without cause (and other than due to death or disability) on or within 24 months following a change in control, unless otherwise provided by the CHC Committee, all options and stock appreciation rights held by such participant will become immediately exercisable with respect to 100% of the shares subject to such options and stock appreciation rights, and the restricted period (and any other conditions) will expire immediately with respect to 100% of the shares of restricted stock and restricted stock units and any other awards (other than other cash-based awards) held by such participant (including a waiver of any applicable performance conditions); provided that if the vesting or exercisability of any award would otherwise be subject to the achievement of performance conditions, the portion of such award that will become fully vested and immediately exercisable will be based on the assumed achievement of actual or target performance as determined by the CHC Committee;</w:t>
      </w:r>
    </w:p>
    <w:p>
      <w:pPr>
        <w:spacing w:after="0" w:line="76" w:lineRule="exact"/>
        <w:rPr>
          <w:rFonts w:ascii="Arial" w:cs="Arial" w:eastAsia="Arial" w:hAnsi="Arial"/>
          <w:sz w:val="17"/>
          <w:szCs w:val="17"/>
          <w:color w:val="F0533D"/>
        </w:rPr>
      </w:pPr>
    </w:p>
    <w:p>
      <w:pPr>
        <w:ind w:left="900" w:right="119" w:hanging="356"/>
        <w:spacing w:after="0" w:line="237" w:lineRule="auto"/>
        <w:tabs>
          <w:tab w:leader="none" w:pos="900" w:val="left"/>
        </w:tabs>
        <w:numPr>
          <w:ilvl w:val="0"/>
          <w:numId w:val="94"/>
        </w:numPr>
        <w:rPr>
          <w:rFonts w:ascii="Arial" w:cs="Arial" w:eastAsia="Arial" w:hAnsi="Arial"/>
          <w:sz w:val="17"/>
          <w:szCs w:val="17"/>
          <w:color w:val="F0533D"/>
        </w:rPr>
      </w:pPr>
      <w:r>
        <w:rPr>
          <w:rFonts w:ascii="Arial" w:cs="Arial" w:eastAsia="Arial" w:hAnsi="Arial"/>
          <w:sz w:val="17"/>
          <w:szCs w:val="17"/>
          <w:color w:val="auto"/>
        </w:rPr>
        <w:t>if the acquirer or successor company in such change in control has not agreed to provide for the substitution, assumption, exchange or other continuation of awards granted pursuant to the LTPP, then unless otherwise provided by the CHC Committee, all stock options and stock appreciation rights held by such participant will become immediately exercisable with respect to 100% of the shares subject to such stock options and stock appreciation rights, and the restricted period (and any other conditions) will expire immediately with respect to 100% of the shares of restricted stock and restricted stock units and any other awards (other than cash-based awards) held by such participant (including a waiver of any applicable performance conditions); provided that if the vesting or exercisability of any award would otherwise be</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76 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1" w:name="page82"/>
    <w:bookmarkEnd w:id="8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00" w:right="439"/>
        <w:spacing w:after="0" w:line="249" w:lineRule="auto"/>
        <w:rPr>
          <w:sz w:val="20"/>
          <w:szCs w:val="20"/>
          <w:color w:val="auto"/>
        </w:rPr>
      </w:pPr>
      <w:r>
        <w:rPr>
          <w:rFonts w:ascii="Arial" w:cs="Arial" w:eastAsia="Arial" w:hAnsi="Arial"/>
          <w:sz w:val="17"/>
          <w:szCs w:val="17"/>
          <w:color w:val="auto"/>
        </w:rPr>
        <w:t>subject to the achievement of performance conditions, the portion of such award that will become fully vested and immediately exercisable will be based on the assumed achievement of actual or target performance as determined by the CHC Committee; and</w:t>
      </w:r>
    </w:p>
    <w:p>
      <w:pPr>
        <w:spacing w:after="0" w:line="67" w:lineRule="exact"/>
        <w:rPr>
          <w:sz w:val="20"/>
          <w:szCs w:val="20"/>
          <w:color w:val="auto"/>
        </w:rPr>
      </w:pPr>
    </w:p>
    <w:p>
      <w:pPr>
        <w:ind w:left="900" w:right="179" w:hanging="356"/>
        <w:spacing w:after="0" w:line="237" w:lineRule="auto"/>
        <w:tabs>
          <w:tab w:leader="none" w:pos="900" w:val="left"/>
        </w:tabs>
        <w:numPr>
          <w:ilvl w:val="0"/>
          <w:numId w:val="95"/>
        </w:numPr>
        <w:rPr>
          <w:rFonts w:ascii="Arial" w:cs="Arial" w:eastAsia="Arial" w:hAnsi="Arial"/>
          <w:sz w:val="17"/>
          <w:szCs w:val="17"/>
          <w:color w:val="F0533D"/>
        </w:rPr>
      </w:pPr>
      <w:r>
        <w:rPr>
          <w:rFonts w:ascii="Arial" w:cs="Arial" w:eastAsia="Arial" w:hAnsi="Arial"/>
          <w:sz w:val="17"/>
          <w:szCs w:val="17"/>
          <w:color w:val="auto"/>
        </w:rPr>
        <w:t>the CHC Committee may, upon at least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received or to be received by other stockholders of the Company in the event (it being understood that any stock option or stock appreciation right having a per-share exercise or hurdle price equal to, or in excess of, the fair market value (as of the date specified by the CHC Committee) of a share of common stock subject thereto may be cancelled and terminated without any payment or consideration therefor).</w:t>
      </w:r>
    </w:p>
    <w:p>
      <w:pPr>
        <w:spacing w:after="0" w:line="130" w:lineRule="exact"/>
        <w:rPr>
          <w:sz w:val="20"/>
          <w:szCs w:val="20"/>
          <w:color w:val="auto"/>
        </w:rPr>
      </w:pPr>
    </w:p>
    <w:p>
      <w:pPr>
        <w:ind w:left="80" w:right="219"/>
        <w:spacing w:after="0" w:line="244" w:lineRule="auto"/>
        <w:rPr>
          <w:sz w:val="20"/>
          <w:szCs w:val="20"/>
          <w:color w:val="auto"/>
        </w:rPr>
      </w:pPr>
      <w:r>
        <w:rPr>
          <w:rFonts w:ascii="Arial" w:cs="Arial" w:eastAsia="Arial" w:hAnsi="Arial"/>
          <w:sz w:val="17"/>
          <w:szCs w:val="17"/>
          <w:color w:val="auto"/>
        </w:rPr>
        <w:t>Notwithstanding the above, the CHC Committee will exercise such discretion over the timing of settlement of any award subject to Code Section 409A at the time such award is granted. To the extent practicable, these provisions will occur in a manner and at a time that allows affected participants the ability to participate in the change in control transaction with respect to the shares of common stock subject to their awards.</w:t>
      </w:r>
    </w:p>
    <w:p>
      <w:pPr>
        <w:spacing w:after="0" w:line="19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Definition of Cause</w:t>
      </w:r>
    </w:p>
    <w:p>
      <w:pPr>
        <w:spacing w:after="0" w:line="154" w:lineRule="exact"/>
        <w:rPr>
          <w:sz w:val="20"/>
          <w:szCs w:val="20"/>
          <w:color w:val="auto"/>
        </w:rPr>
      </w:pPr>
    </w:p>
    <w:p>
      <w:pPr>
        <w:ind w:left="80" w:right="99"/>
        <w:spacing w:after="0" w:line="234" w:lineRule="auto"/>
        <w:rPr>
          <w:sz w:val="20"/>
          <w:szCs w:val="20"/>
          <w:color w:val="auto"/>
        </w:rPr>
      </w:pPr>
      <w:r>
        <w:rPr>
          <w:rFonts w:ascii="Arial" w:cs="Arial" w:eastAsia="Arial" w:hAnsi="Arial"/>
          <w:sz w:val="17"/>
          <w:szCs w:val="17"/>
          <w:color w:val="auto"/>
        </w:rPr>
        <w:t>“Cause” means, as reasonably determined by Kyndryl, the occurrence of any of the following: (i) embezzlement, misappropriation of corporate funds or other material acts of dishonesty; (ii) commission or conviction of any felony or of any misdemeanor involving moral turpitude, or entry of a plea of guilty or nolo contendere to any felony or misdemeanor (other than a minor traffic violation or other minor infraction); (iii) engagement in any activity that the employee knows or should know could harm the business or reputation of the Company; (iv) failure to adhere to the Company’s corporate codes, policies or procedures; (v) a breach of any covenant in any employment agreement or any intellectual property agreement, or a breach of any other provision of the employment agreement, in either case if the breach is not cured to the Company’s satisfaction within a reasonable period after notice of the breach (no notice and cure period is required if the breach cannot be cured); (vi) failure to perform duties or follow management direction, which failure is not cured to the Company’s satisfaction within a reasonable period of time after a written demand for substantial performance is delivered to the employee (no notice or cure period is required if the failure to perform cannot be cured); (vii) violation of any statutory, contractual or common law duty or obligation to the Company, including, without limitation, the duty of loyalty; (viii) rendering of services for any organization or engaging directly or indirectly in any business which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which is or becomes competitive with the Company; provided, however, that the mere failure to achieve performance objectives shall not constitute Cause.</w:t>
      </w:r>
    </w:p>
    <w:p>
      <w:pPr>
        <w:spacing w:after="0" w:line="209"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2" w:name="page83"/>
    <w:bookmarkEnd w:id="8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CEO Pay Ratio</w:t>
      </w:r>
    </w:p>
    <w:p>
      <w:pPr>
        <w:spacing w:after="0" w:line="173" w:lineRule="exact"/>
        <w:rPr>
          <w:sz w:val="20"/>
          <w:szCs w:val="20"/>
          <w:color w:val="auto"/>
        </w:rPr>
      </w:pPr>
    </w:p>
    <w:p>
      <w:pPr>
        <w:ind w:left="80" w:right="259"/>
        <w:spacing w:after="0" w:line="244" w:lineRule="auto"/>
        <w:rPr>
          <w:sz w:val="20"/>
          <w:szCs w:val="20"/>
          <w:color w:val="auto"/>
        </w:rPr>
      </w:pPr>
      <w:r>
        <w:rPr>
          <w:rFonts w:ascii="Arial" w:cs="Arial" w:eastAsia="Arial" w:hAnsi="Arial"/>
          <w:sz w:val="17"/>
          <w:szCs w:val="17"/>
          <w:color w:val="auto"/>
        </w:rPr>
        <w:t>As required by Section 953(b) of the Dodd-Frank Act and Item 402(u) of Regulation S-K (“Item 402(u)”), the Company is providing the following reasonable estimate of the ratio of the median of the annual total compensation of all of our employees (except Martin Schroeter, our Chief Executive Officer) to the annual total compensation of Mr. Schroeter, calculated in a manner consistent with Item 402(u).</w:t>
      </w:r>
    </w:p>
    <w:p>
      <w:pPr>
        <w:spacing w:after="0" w:line="164" w:lineRule="exact"/>
        <w:rPr>
          <w:sz w:val="20"/>
          <w:szCs w:val="20"/>
          <w:color w:val="auto"/>
        </w:rPr>
      </w:pPr>
    </w:p>
    <w:p>
      <w:pPr>
        <w:ind w:left="80"/>
        <w:spacing w:after="0"/>
        <w:rPr>
          <w:sz w:val="20"/>
          <w:szCs w:val="20"/>
          <w:color w:val="auto"/>
        </w:rPr>
      </w:pPr>
      <w:r>
        <w:rPr>
          <w:rFonts w:ascii="Arial" w:cs="Arial" w:eastAsia="Arial" w:hAnsi="Arial"/>
          <w:sz w:val="17"/>
          <w:szCs w:val="17"/>
          <w:color w:val="auto"/>
        </w:rPr>
        <w:t>For fiscal 2026, our last completed fiscal year:</w:t>
      </w:r>
    </w:p>
    <w:p>
      <w:pPr>
        <w:spacing w:after="0" w:line="102" w:lineRule="exact"/>
        <w:rPr>
          <w:sz w:val="20"/>
          <w:szCs w:val="20"/>
          <w:color w:val="auto"/>
        </w:rPr>
      </w:pPr>
    </w:p>
    <w:p>
      <w:pPr>
        <w:ind w:left="900" w:hanging="356"/>
        <w:spacing w:after="0"/>
        <w:tabs>
          <w:tab w:leader="none" w:pos="900" w:val="left"/>
        </w:tabs>
        <w:numPr>
          <w:ilvl w:val="0"/>
          <w:numId w:val="96"/>
        </w:numPr>
        <w:rPr>
          <w:rFonts w:ascii="Arial" w:cs="Arial" w:eastAsia="Arial" w:hAnsi="Arial"/>
          <w:sz w:val="17"/>
          <w:szCs w:val="17"/>
          <w:color w:val="F0533D"/>
        </w:rPr>
      </w:pPr>
      <w:r>
        <w:rPr>
          <w:rFonts w:ascii="Arial" w:cs="Arial" w:eastAsia="Arial" w:hAnsi="Arial"/>
          <w:sz w:val="17"/>
          <w:szCs w:val="17"/>
          <w:color w:val="auto"/>
        </w:rPr>
        <w:t>The median of the annual total compensation of all of our employees, excluding our CEO, was $43,489.</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96"/>
        </w:numPr>
        <w:rPr>
          <w:rFonts w:ascii="Arial" w:cs="Arial" w:eastAsia="Arial" w:hAnsi="Arial"/>
          <w:sz w:val="17"/>
          <w:szCs w:val="17"/>
          <w:color w:val="F0533D"/>
        </w:rPr>
      </w:pPr>
      <w:r>
        <w:rPr>
          <w:rFonts w:ascii="Arial" w:cs="Arial" w:eastAsia="Arial" w:hAnsi="Arial"/>
          <w:sz w:val="17"/>
          <w:szCs w:val="17"/>
          <w:color w:val="auto"/>
        </w:rPr>
        <w:t>The annual total compensation of our CEO was $21,766,355.</w:t>
      </w:r>
    </w:p>
    <w:p>
      <w:pPr>
        <w:spacing w:after="0" w:line="101" w:lineRule="exact"/>
        <w:rPr>
          <w:rFonts w:ascii="Arial" w:cs="Arial" w:eastAsia="Arial" w:hAnsi="Arial"/>
          <w:sz w:val="17"/>
          <w:szCs w:val="17"/>
          <w:color w:val="F0533D"/>
        </w:rPr>
      </w:pPr>
    </w:p>
    <w:p>
      <w:pPr>
        <w:ind w:left="900" w:right="499" w:hanging="356"/>
        <w:spacing w:after="0" w:line="267" w:lineRule="auto"/>
        <w:tabs>
          <w:tab w:leader="none" w:pos="900" w:val="left"/>
        </w:tabs>
        <w:numPr>
          <w:ilvl w:val="0"/>
          <w:numId w:val="96"/>
        </w:numPr>
        <w:rPr>
          <w:rFonts w:ascii="Arial" w:cs="Arial" w:eastAsia="Arial" w:hAnsi="Arial"/>
          <w:sz w:val="17"/>
          <w:szCs w:val="17"/>
          <w:color w:val="F0533D"/>
        </w:rPr>
      </w:pPr>
      <w:r>
        <w:rPr>
          <w:rFonts w:ascii="Arial" w:cs="Arial" w:eastAsia="Arial" w:hAnsi="Arial"/>
          <w:sz w:val="17"/>
          <w:szCs w:val="17"/>
          <w:color w:val="auto"/>
        </w:rPr>
        <w:t>Based on this information, the ratio of the annual total compensation of our CEO to the median of the annual total compensation of all of our employees except our CEO was 501:1.</w:t>
      </w:r>
    </w:p>
    <w:p>
      <w:pPr>
        <w:spacing w:after="0" w:line="105" w:lineRule="exact"/>
        <w:rPr>
          <w:sz w:val="20"/>
          <w:szCs w:val="20"/>
          <w:color w:val="auto"/>
        </w:rPr>
      </w:pPr>
    </w:p>
    <w:p>
      <w:pPr>
        <w:ind w:left="80" w:right="219"/>
        <w:spacing w:after="0" w:line="249" w:lineRule="auto"/>
        <w:rPr>
          <w:sz w:val="20"/>
          <w:szCs w:val="20"/>
          <w:color w:val="auto"/>
        </w:rPr>
      </w:pPr>
      <w:r>
        <w:rPr>
          <w:rFonts w:ascii="Arial" w:cs="Arial" w:eastAsia="Arial" w:hAnsi="Arial"/>
          <w:sz w:val="17"/>
          <w:szCs w:val="17"/>
          <w:color w:val="auto"/>
        </w:rPr>
        <w:t>We determined that, as of January 1, 2026, our employee population consisted of approximately 72,000 individuals. Approximately 90% of our employees work outside the U.S., with workforce hubs in India, Japan, Poland, Brazil, Czechia and Hungary.</w:t>
      </w:r>
    </w:p>
    <w:p>
      <w:pPr>
        <w:spacing w:after="0" w:line="121" w:lineRule="exact"/>
        <w:rPr>
          <w:sz w:val="20"/>
          <w:szCs w:val="20"/>
          <w:color w:val="auto"/>
        </w:rPr>
      </w:pPr>
    </w:p>
    <w:p>
      <w:pPr>
        <w:ind w:left="80" w:right="159"/>
        <w:spacing w:after="0" w:line="236" w:lineRule="auto"/>
        <w:rPr>
          <w:sz w:val="20"/>
          <w:szCs w:val="20"/>
          <w:color w:val="auto"/>
        </w:rPr>
      </w:pPr>
      <w:r>
        <w:rPr>
          <w:rFonts w:ascii="Arial" w:cs="Arial" w:eastAsia="Arial" w:hAnsi="Arial"/>
          <w:sz w:val="17"/>
          <w:szCs w:val="17"/>
          <w:color w:val="auto"/>
        </w:rPr>
        <w:t>We have calculated our disclosure based on the median employee identified as of January 1, 2026. To identify our “median employee” from this employee population, we obtained from our internal compensation system annual base salary amounts for fiscal 2026 for each employee in the employee population. We believe this consistently applied compensation measure reasonably reflects annual compensation across our employee base. Base salary amounts for employees paid in currencies other than U.S. dollars were converted to U.S. dollars based on the foreign exchange rates as of March 31, 2026. We annualized the base salary amounts for any permanent employees in the employee population who were employed by us for less than the full fiscal year. We then ranked the resulting base salaries for all of the employees in the employee population other than our CEO to determine our median employee. We calculated the annual total compensation for the median employee in the same manner in which we determine the compensation shown for our NEOs in the Summary Compensation Table, including the value of retirement benefits.</w:t>
      </w:r>
    </w:p>
    <w:p>
      <w:pPr>
        <w:spacing w:after="0" w:line="202"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78 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3" w:name="page84"/>
    <w:bookmarkEnd w:id="8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Pay vs. Performance</w:t>
      </w:r>
    </w:p>
    <w:p>
      <w:pPr>
        <w:spacing w:after="0" w:line="173" w:lineRule="exact"/>
        <w:rPr>
          <w:sz w:val="20"/>
          <w:szCs w:val="20"/>
          <w:color w:val="auto"/>
        </w:rPr>
      </w:pPr>
    </w:p>
    <w:p>
      <w:pPr>
        <w:ind w:left="80" w:right="119"/>
        <w:spacing w:after="0" w:line="241" w:lineRule="auto"/>
        <w:rPr>
          <w:sz w:val="20"/>
          <w:szCs w:val="20"/>
          <w:color w:val="auto"/>
        </w:rPr>
      </w:pPr>
      <w:r>
        <w:rPr>
          <w:rFonts w:ascii="Arial" w:cs="Arial" w:eastAsia="Arial" w:hAnsi="Arial"/>
          <w:sz w:val="17"/>
          <w:szCs w:val="17"/>
          <w:color w:val="auto"/>
        </w:rPr>
        <w:t>In accordance with Item 402(v) of Regulation S-K, we are providing the following information about the relationship between the compensation actually paid (“CAP”) to our NEOs (calculated as provided in Item 402(v) of Regulation S-</w:t>
      </w:r>
    </w:p>
    <w:p>
      <w:pPr>
        <w:spacing w:after="0" w:line="1" w:lineRule="exact"/>
        <w:rPr>
          <w:sz w:val="20"/>
          <w:szCs w:val="20"/>
          <w:color w:val="auto"/>
        </w:rPr>
      </w:pPr>
    </w:p>
    <w:p>
      <w:pPr>
        <w:ind w:left="80" w:right="279" w:hanging="4"/>
        <w:spacing w:after="0" w:line="238" w:lineRule="auto"/>
        <w:tabs>
          <w:tab w:leader="none" w:pos="298" w:val="left"/>
        </w:tabs>
        <w:numPr>
          <w:ilvl w:val="0"/>
          <w:numId w:val="97"/>
        </w:numPr>
        <w:rPr>
          <w:rFonts w:ascii="Arial" w:cs="Arial" w:eastAsia="Arial" w:hAnsi="Arial"/>
          <w:sz w:val="17"/>
          <w:szCs w:val="17"/>
          <w:color w:val="auto"/>
        </w:rPr>
      </w:pPr>
      <w:r>
        <w:rPr>
          <w:rFonts w:ascii="Arial" w:cs="Arial" w:eastAsia="Arial" w:hAnsi="Arial"/>
          <w:sz w:val="17"/>
          <w:szCs w:val="17"/>
          <w:color w:val="auto"/>
        </w:rPr>
        <w:t>and company performance based on certain financial performance measures selected by the SEC and the Company. For further information concerning the CHC Committee’s compensation philosophy, including the pay for performance pillar of that philosophy and how the CHC Committee aligns executive compensation with the Company’s performance, see “Executive Compensation — Compensation Discussion and Analysis.”</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0533D"/>
              </w:rPr>
              <w:t>Summary</w:t>
            </w:r>
          </w:p>
        </w:tc>
        <w:tc>
          <w:tcPr>
            <w:tcW w:w="10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F0533D"/>
              </w:rPr>
              <w:t>Compensation</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1160" w:type="dxa"/>
            <w:vAlign w:val="bottom"/>
          </w:tcPr>
          <w:p>
            <w:pPr>
              <w:jc w:val="center"/>
              <w:spacing w:after="0" w:line="145" w:lineRule="exact"/>
              <w:rPr>
                <w:sz w:val="20"/>
                <w:szCs w:val="20"/>
                <w:color w:val="auto"/>
              </w:rPr>
            </w:pPr>
            <w:r>
              <w:rPr>
                <w:rFonts w:ascii="Arial" w:cs="Arial" w:eastAsia="Arial" w:hAnsi="Arial"/>
                <w:sz w:val="14"/>
                <w:szCs w:val="14"/>
                <w:b w:val="1"/>
                <w:bCs w:val="1"/>
                <w:color w:val="F0533D"/>
              </w:rPr>
              <w:t>compensation</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0533D"/>
              </w:rPr>
              <w:t>table total for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F0533D"/>
              </w:rPr>
              <w:t>actually paid</w:t>
            </w:r>
          </w:p>
        </w:tc>
        <w:tc>
          <w:tcPr>
            <w:tcW w:w="0" w:type="dxa"/>
            <w:vAlign w:val="bottom"/>
          </w:tcPr>
          <w:p>
            <w:pPr>
              <w:spacing w:after="0"/>
              <w:rPr>
                <w:sz w:val="1"/>
                <w:szCs w:val="1"/>
                <w:color w:val="auto"/>
              </w:rPr>
            </w:pPr>
          </w:p>
        </w:tc>
      </w:tr>
      <w:tr>
        <w:trPr>
          <w:trHeight w:val="162"/>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F0533D"/>
              </w:rPr>
              <w:t>Year</w:t>
            </w:r>
            <w:r>
              <w:rPr>
                <w:rFonts w:ascii="Arial" w:cs="Arial" w:eastAsia="Arial" w:hAnsi="Arial"/>
                <w:sz w:val="23"/>
                <w:szCs w:val="23"/>
                <w:b w:val="1"/>
                <w:bCs w:val="1"/>
                <w:color w:val="F0533D"/>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0533D"/>
              </w:rPr>
              <w:t>PEO</w:t>
            </w:r>
          </w:p>
        </w:tc>
        <w:tc>
          <w:tcPr>
            <w:tcW w:w="1080" w:type="dxa"/>
            <w:vAlign w:val="bottom"/>
          </w:tcPr>
          <w:p>
            <w:pPr>
              <w:jc w:val="center"/>
              <w:ind w:left="8"/>
              <w:spacing w:after="0"/>
              <w:rPr>
                <w:sz w:val="20"/>
                <w:szCs w:val="20"/>
                <w:color w:val="auto"/>
              </w:rPr>
            </w:pPr>
            <w:r>
              <w:rPr>
                <w:rFonts w:ascii="Arial" w:cs="Arial" w:eastAsia="Arial" w:hAnsi="Arial"/>
                <w:sz w:val="14"/>
                <w:szCs w:val="14"/>
                <w:b w:val="1"/>
                <w:bCs w:val="1"/>
                <w:color w:val="F0533D"/>
              </w:rPr>
              <w:t>to PEO</w:t>
            </w:r>
          </w:p>
        </w:tc>
        <w:tc>
          <w:tcPr>
            <w:tcW w:w="0" w:type="dxa"/>
            <w:vAlign w:val="bottom"/>
          </w:tcPr>
          <w:p>
            <w:pPr>
              <w:spacing w:after="0"/>
              <w:rPr>
                <w:sz w:val="1"/>
                <w:szCs w:val="1"/>
                <w:color w:val="auto"/>
              </w:rPr>
            </w:pPr>
          </w:p>
        </w:tc>
      </w:tr>
      <w:tr>
        <w:trPr>
          <w:trHeight w:val="234"/>
        </w:trPr>
        <w:tc>
          <w:tcPr>
            <w:tcW w:w="580" w:type="dxa"/>
            <w:vAlign w:val="bottom"/>
            <w:vMerge w:val="continue"/>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F0533D"/>
                <w:w w:val="93"/>
              </w:rPr>
              <w:t>($)</w:t>
            </w:r>
          </w:p>
        </w:tc>
        <w:tc>
          <w:tcPr>
            <w:tcW w:w="1080" w:type="dxa"/>
            <w:vAlign w:val="bottom"/>
          </w:tcPr>
          <w:p>
            <w:pPr>
              <w:jc w:val="center"/>
              <w:ind w:left="8"/>
              <w:spacing w:after="0" w:line="234" w:lineRule="exact"/>
              <w:rPr>
                <w:sz w:val="20"/>
                <w:szCs w:val="20"/>
                <w:color w:val="auto"/>
              </w:rPr>
            </w:pPr>
            <w:r>
              <w:rPr>
                <w:rFonts w:ascii="Arial" w:cs="Arial" w:eastAsia="Arial" w:hAnsi="Arial"/>
                <w:sz w:val="14"/>
                <w:szCs w:val="14"/>
                <w:b w:val="1"/>
                <w:bCs w:val="1"/>
                <w:color w:val="F0533D"/>
                <w:w w:val="89"/>
              </w:rPr>
              <w:t>($)</w:t>
            </w:r>
            <w:r>
              <w:rPr>
                <w:rFonts w:ascii="Arial" w:cs="Arial" w:eastAsia="Arial" w:hAnsi="Arial"/>
                <w:sz w:val="23"/>
                <w:szCs w:val="23"/>
                <w:b w:val="1"/>
                <w:bCs w:val="1"/>
                <w:color w:val="F0533D"/>
                <w:w w:val="89"/>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F0533D"/>
              </w:rPr>
              <w:t>Value of initial fixed $100</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40" w:type="dxa"/>
            <w:vAlign w:val="bottom"/>
            <w:tcBorders>
              <w:bottom w:val="single" w:sz="8" w:color="F0533D"/>
            </w:tcBorders>
            <w:gridSpan w:val="2"/>
          </w:tcPr>
          <w:p>
            <w:pPr>
              <w:jc w:val="center"/>
              <w:spacing w:after="0"/>
              <w:rPr>
                <w:sz w:val="20"/>
                <w:szCs w:val="20"/>
                <w:color w:val="auto"/>
              </w:rPr>
            </w:pPr>
            <w:r>
              <w:rPr>
                <w:rFonts w:ascii="Arial" w:cs="Arial" w:eastAsia="Arial" w:hAnsi="Arial"/>
                <w:sz w:val="14"/>
                <w:szCs w:val="14"/>
                <w:b w:val="1"/>
                <w:bCs w:val="1"/>
                <w:color w:val="F0533D"/>
              </w:rPr>
              <w:t>investment based on:</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F0533D"/>
              </w:rPr>
              <w:t>Average</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F0533D"/>
              </w:rPr>
              <w:t>Average</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04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F0533D"/>
              </w:rPr>
              <w:t>summary</w:t>
            </w:r>
          </w:p>
        </w:tc>
        <w:tc>
          <w:tcPr>
            <w:tcW w:w="11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spacing w:after="0"/>
              <w:rPr>
                <w:sz w:val="20"/>
                <w:szCs w:val="20"/>
                <w:color w:val="auto"/>
              </w:rPr>
            </w:pPr>
            <w:r>
              <w:rPr>
                <w:rFonts w:ascii="Arial" w:cs="Arial" w:eastAsia="Arial" w:hAnsi="Arial"/>
                <w:sz w:val="14"/>
                <w:szCs w:val="14"/>
                <w:b w:val="1"/>
                <w:bCs w:val="1"/>
                <w:color w:val="F0533D"/>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compensation</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F0533D"/>
              </w:rPr>
              <w:t>table total for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actually paid</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F0533D"/>
              </w:rPr>
              <w:t>non-PEO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to non-PEO</w:t>
            </w:r>
          </w:p>
        </w:tc>
        <w:tc>
          <w:tcPr>
            <w:tcW w:w="9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Peer group</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F0533D"/>
              </w:rPr>
              <w:t>named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named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F0533D"/>
              </w:rPr>
              <w:t>Total</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total</w:t>
            </w: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F0533D"/>
              </w:rPr>
              <w:t>executive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executive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F0533D"/>
              </w:rPr>
              <w:t>shareholder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shareholder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F0533D"/>
              </w:rPr>
              <w:t>Net</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F0533D"/>
              </w:rPr>
              <w:t>Adjusted</w:t>
            </w:r>
          </w:p>
        </w:tc>
        <w:tc>
          <w:tcPr>
            <w:tcW w:w="0" w:type="dxa"/>
            <w:vAlign w:val="bottom"/>
          </w:tcPr>
          <w:p>
            <w:pPr>
              <w:spacing w:after="0"/>
              <w:rPr>
                <w:sz w:val="1"/>
                <w:szCs w:val="1"/>
                <w:color w:val="auto"/>
              </w:rPr>
            </w:pPr>
          </w:p>
        </w:tc>
      </w:tr>
      <w:tr>
        <w:trPr>
          <w:trHeight w:val="162"/>
        </w:trPr>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F0533D"/>
              </w:rPr>
              <w:t>officers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F0533D"/>
              </w:rPr>
              <w:t>officers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F0533D"/>
              </w:rPr>
              <w:t>return</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F0533D"/>
              </w:rPr>
              <w:t>return</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F0533D"/>
              </w:rPr>
              <w:t>Income</w:t>
            </w:r>
          </w:p>
        </w:tc>
        <w:tc>
          <w:tcPr>
            <w:tcW w:w="700" w:type="dxa"/>
            <w:vAlign w:val="bottom"/>
          </w:tcPr>
          <w:p>
            <w:pPr>
              <w:ind w:left="100"/>
              <w:spacing w:after="0"/>
              <w:rPr>
                <w:sz w:val="20"/>
                <w:szCs w:val="20"/>
                <w:color w:val="auto"/>
              </w:rPr>
            </w:pPr>
            <w:r>
              <w:rPr>
                <w:rFonts w:ascii="Arial" w:cs="Arial" w:eastAsia="Arial" w:hAnsi="Arial"/>
                <w:sz w:val="14"/>
                <w:szCs w:val="14"/>
                <w:b w:val="1"/>
                <w:bCs w:val="1"/>
                <w:color w:val="F0533D"/>
              </w:rPr>
              <w:t>EBITDA</w:t>
            </w:r>
          </w:p>
        </w:tc>
        <w:tc>
          <w:tcPr>
            <w:tcW w:w="0" w:type="dxa"/>
            <w:vAlign w:val="bottom"/>
          </w:tcPr>
          <w:p>
            <w:pPr>
              <w:spacing w:after="0"/>
              <w:rPr>
                <w:sz w:val="1"/>
                <w:szCs w:val="1"/>
                <w:color w:val="auto"/>
              </w:rPr>
            </w:pPr>
          </w:p>
        </w:tc>
      </w:tr>
      <w:tr>
        <w:trPr>
          <w:trHeight w:val="234"/>
        </w:trPr>
        <w:tc>
          <w:tcPr>
            <w:tcW w:w="1040" w:type="dxa"/>
            <w:vAlign w:val="bottom"/>
          </w:tcPr>
          <w:p>
            <w:pPr>
              <w:jc w:val="center"/>
              <w:spacing w:after="0"/>
              <w:rPr>
                <w:sz w:val="20"/>
                <w:szCs w:val="20"/>
                <w:color w:val="auto"/>
              </w:rPr>
            </w:pPr>
            <w:r>
              <w:rPr>
                <w:rFonts w:ascii="Arial" w:cs="Arial" w:eastAsia="Arial" w:hAnsi="Arial"/>
                <w:sz w:val="14"/>
                <w:szCs w:val="14"/>
                <w:b w:val="1"/>
                <w:bCs w:val="1"/>
                <w:color w:val="F0533D"/>
              </w:rPr>
              <w:t>($)</w:t>
            </w:r>
          </w:p>
        </w:tc>
        <w:tc>
          <w:tcPr>
            <w:tcW w:w="1120" w:type="dxa"/>
            <w:vAlign w:val="bottom"/>
          </w:tcPr>
          <w:p>
            <w:pPr>
              <w:jc w:val="center"/>
              <w:spacing w:after="0" w:line="235" w:lineRule="exact"/>
              <w:rPr>
                <w:sz w:val="20"/>
                <w:szCs w:val="20"/>
                <w:color w:val="auto"/>
              </w:rPr>
            </w:pPr>
            <w:r>
              <w:rPr>
                <w:rFonts w:ascii="Arial" w:cs="Arial" w:eastAsia="Arial" w:hAnsi="Arial"/>
                <w:sz w:val="27"/>
                <w:szCs w:val="27"/>
                <w:b w:val="1"/>
                <w:bCs w:val="1"/>
                <w:color w:val="F0533D"/>
                <w:w w:val="89"/>
                <w:vertAlign w:val="subscript"/>
              </w:rPr>
              <w:t>($)</w:t>
            </w:r>
            <w:r>
              <w:rPr>
                <w:rFonts w:ascii="Arial" w:cs="Arial" w:eastAsia="Arial" w:hAnsi="Arial"/>
                <w:sz w:val="12"/>
                <w:szCs w:val="12"/>
                <w:b w:val="1"/>
                <w:bCs w:val="1"/>
                <w:color w:val="F0533D"/>
                <w:w w:val="89"/>
              </w:rPr>
              <w:t>(2)(4)</w:t>
            </w:r>
          </w:p>
        </w:tc>
        <w:tc>
          <w:tcPr>
            <w:tcW w:w="980" w:type="dxa"/>
            <w:vAlign w:val="bottom"/>
          </w:tcPr>
          <w:p>
            <w:pPr>
              <w:jc w:val="center"/>
              <w:spacing w:after="0" w:line="234" w:lineRule="exact"/>
              <w:rPr>
                <w:sz w:val="20"/>
                <w:szCs w:val="20"/>
                <w:color w:val="auto"/>
              </w:rPr>
            </w:pPr>
            <w:r>
              <w:rPr>
                <w:rFonts w:ascii="Arial" w:cs="Arial" w:eastAsia="Arial" w:hAnsi="Arial"/>
                <w:sz w:val="14"/>
                <w:szCs w:val="14"/>
                <w:b w:val="1"/>
                <w:bCs w:val="1"/>
                <w:color w:val="F0533D"/>
                <w:w w:val="89"/>
              </w:rPr>
              <w:t>($)</w:t>
            </w:r>
            <w:r>
              <w:rPr>
                <w:rFonts w:ascii="Arial" w:cs="Arial" w:eastAsia="Arial" w:hAnsi="Arial"/>
                <w:sz w:val="23"/>
                <w:szCs w:val="23"/>
                <w:b w:val="1"/>
                <w:bCs w:val="1"/>
                <w:color w:val="F0533D"/>
                <w:w w:val="89"/>
                <w:vertAlign w:val="superscript"/>
              </w:rPr>
              <w:t>(3)</w:t>
            </w:r>
          </w:p>
        </w:tc>
        <w:tc>
          <w:tcPr>
            <w:tcW w:w="960" w:type="dxa"/>
            <w:vAlign w:val="bottom"/>
          </w:tcPr>
          <w:p>
            <w:pPr>
              <w:jc w:val="center"/>
              <w:spacing w:after="0" w:line="234" w:lineRule="exact"/>
              <w:rPr>
                <w:sz w:val="20"/>
                <w:szCs w:val="20"/>
                <w:color w:val="auto"/>
              </w:rPr>
            </w:pPr>
            <w:r>
              <w:rPr>
                <w:rFonts w:ascii="Arial" w:cs="Arial" w:eastAsia="Arial" w:hAnsi="Arial"/>
                <w:sz w:val="14"/>
                <w:szCs w:val="14"/>
                <w:b w:val="1"/>
                <w:bCs w:val="1"/>
                <w:color w:val="F0533D"/>
                <w:w w:val="89"/>
              </w:rPr>
              <w:t>($)</w:t>
            </w:r>
            <w:r>
              <w:rPr>
                <w:rFonts w:ascii="Arial" w:cs="Arial" w:eastAsia="Arial" w:hAnsi="Arial"/>
                <w:sz w:val="23"/>
                <w:szCs w:val="23"/>
                <w:b w:val="1"/>
                <w:bCs w:val="1"/>
                <w:color w:val="F0533D"/>
                <w:w w:val="89"/>
                <w:vertAlign w:val="superscript"/>
              </w:rPr>
              <w:t>(4)</w:t>
            </w:r>
          </w:p>
        </w:tc>
        <w:tc>
          <w:tcPr>
            <w:tcW w:w="760" w:type="dxa"/>
            <w:vAlign w:val="bottom"/>
          </w:tcPr>
          <w:p>
            <w:pPr>
              <w:jc w:val="center"/>
              <w:spacing w:after="0" w:line="234" w:lineRule="exact"/>
              <w:rPr>
                <w:sz w:val="20"/>
                <w:szCs w:val="20"/>
                <w:color w:val="auto"/>
              </w:rPr>
            </w:pPr>
            <w:r>
              <w:rPr>
                <w:rFonts w:ascii="Arial" w:cs="Arial" w:eastAsia="Arial" w:hAnsi="Arial"/>
                <w:sz w:val="14"/>
                <w:szCs w:val="14"/>
                <w:b w:val="1"/>
                <w:bCs w:val="1"/>
                <w:color w:val="F0533D"/>
                <w:w w:val="93"/>
              </w:rPr>
              <w:t>($ mil.)</w:t>
            </w:r>
            <w:r>
              <w:rPr>
                <w:rFonts w:ascii="Arial" w:cs="Arial" w:eastAsia="Arial" w:hAnsi="Arial"/>
                <w:sz w:val="23"/>
                <w:szCs w:val="23"/>
                <w:b w:val="1"/>
                <w:bCs w:val="1"/>
                <w:color w:val="F0533D"/>
                <w:w w:val="93"/>
                <w:vertAlign w:val="superscript"/>
              </w:rPr>
              <w:t>(5)</w:t>
            </w:r>
          </w:p>
        </w:tc>
        <w:tc>
          <w:tcPr>
            <w:tcW w:w="700" w:type="dxa"/>
            <w:vAlign w:val="bottom"/>
          </w:tcPr>
          <w:p>
            <w:pPr>
              <w:ind w:left="80"/>
              <w:spacing w:after="0" w:line="234" w:lineRule="exact"/>
              <w:rPr>
                <w:sz w:val="20"/>
                <w:szCs w:val="20"/>
                <w:color w:val="auto"/>
              </w:rPr>
            </w:pPr>
            <w:r>
              <w:rPr>
                <w:rFonts w:ascii="Arial" w:cs="Arial" w:eastAsia="Arial" w:hAnsi="Arial"/>
                <w:sz w:val="14"/>
                <w:szCs w:val="14"/>
                <w:b w:val="1"/>
                <w:bCs w:val="1"/>
                <w:color w:val="F0533D"/>
                <w:w w:val="93"/>
              </w:rPr>
              <w:t>($ mil.)</w:t>
            </w:r>
            <w:r>
              <w:rPr>
                <w:rFonts w:ascii="Arial" w:cs="Arial" w:eastAsia="Arial" w:hAnsi="Arial"/>
                <w:sz w:val="23"/>
                <w:szCs w:val="23"/>
                <w:b w:val="1"/>
                <w:bCs w:val="1"/>
                <w:color w:val="F0533D"/>
                <w:w w:val="93"/>
                <w:vertAlign w:val="superscript"/>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-2540</wp:posOffset>
            </wp:positionV>
            <wp:extent cx="562356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3100" w:space="140"/>
            <w:col w:w="5779"/>
          </w:cols>
          <w:pgMar w:left="1440" w:top="114" w:right="1440" w:bottom="1440" w:gutter="0" w:footer="0" w:header="0"/>
          <w:type w:val="continuous"/>
        </w:sectPr>
      </w:pPr>
    </w:p>
    <w:tbl>
      <w:tblPr>
        <w:tblLayout w:type="fixed"/>
        <w:tblInd w:w="80" w:type="dxa"/>
        <w:tblCellMar>
          <w:top w:w="0" w:type="dxa"/>
          <w:left w:w="0" w:type="dxa"/>
          <w:bottom w:w="0" w:type="dxa"/>
          <w:right w:w="0" w:type="dxa"/>
        </w:tblCellMar>
      </w:tblPr>
      <w:tr>
        <w:trPr>
          <w:trHeight w:val="224"/>
        </w:trPr>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(a)</w:t>
            </w:r>
          </w:p>
        </w:tc>
        <w:tc>
          <w:tcPr>
            <w:tcW w:w="1120" w:type="dxa"/>
            <w:vAlign w:val="bottom"/>
            <w:tcBorders>
              <w:bottom w:val="single" w:sz="8" w:color="939598"/>
            </w:tcBorders>
          </w:tcPr>
          <w:p>
            <w:pPr>
              <w:jc w:val="right"/>
              <w:ind w:right="359"/>
              <w:spacing w:after="0"/>
              <w:rPr>
                <w:sz w:val="20"/>
                <w:szCs w:val="20"/>
                <w:color w:val="auto"/>
              </w:rPr>
            </w:pPr>
            <w:r>
              <w:rPr>
                <w:rFonts w:ascii="Arial" w:cs="Arial" w:eastAsia="Arial" w:hAnsi="Arial"/>
                <w:sz w:val="16"/>
                <w:szCs w:val="16"/>
                <w:color w:val="auto"/>
              </w:rPr>
              <w:t>(b)</w:t>
            </w:r>
          </w:p>
        </w:tc>
        <w:tc>
          <w:tcPr>
            <w:tcW w:w="1200" w:type="dxa"/>
            <w:vAlign w:val="bottom"/>
            <w:tcBorders>
              <w:bottom w:val="single" w:sz="8" w:color="939598"/>
            </w:tcBorders>
          </w:tcPr>
          <w:p>
            <w:pPr>
              <w:jc w:val="right"/>
              <w:ind w:right="439"/>
              <w:spacing w:after="0"/>
              <w:rPr>
                <w:sz w:val="20"/>
                <w:szCs w:val="20"/>
                <w:color w:val="auto"/>
              </w:rPr>
            </w:pPr>
            <w:r>
              <w:rPr>
                <w:rFonts w:ascii="Arial" w:cs="Arial" w:eastAsia="Arial" w:hAnsi="Arial"/>
                <w:sz w:val="16"/>
                <w:szCs w:val="16"/>
                <w:color w:val="auto"/>
              </w:rPr>
              <w:t>(c)</w:t>
            </w:r>
          </w:p>
        </w:tc>
        <w:tc>
          <w:tcPr>
            <w:tcW w:w="1080" w:type="dxa"/>
            <w:vAlign w:val="bottom"/>
            <w:tcBorders>
              <w:bottom w:val="single" w:sz="8" w:color="939598"/>
            </w:tcBorders>
          </w:tcPr>
          <w:p>
            <w:pPr>
              <w:jc w:val="right"/>
              <w:ind w:right="379"/>
              <w:spacing w:after="0"/>
              <w:rPr>
                <w:sz w:val="20"/>
                <w:szCs w:val="20"/>
                <w:color w:val="auto"/>
              </w:rPr>
            </w:pPr>
            <w:r>
              <w:rPr>
                <w:rFonts w:ascii="Arial" w:cs="Arial" w:eastAsia="Arial" w:hAnsi="Arial"/>
                <w:sz w:val="16"/>
                <w:szCs w:val="16"/>
                <w:color w:val="auto"/>
              </w:rPr>
              <w:t>(d)</w:t>
            </w:r>
          </w:p>
        </w:tc>
        <w:tc>
          <w:tcPr>
            <w:tcW w:w="1240" w:type="dxa"/>
            <w:vAlign w:val="bottom"/>
            <w:tcBorders>
              <w:bottom w:val="single" w:sz="8" w:color="939598"/>
            </w:tcBorders>
          </w:tcPr>
          <w:p>
            <w:pPr>
              <w:jc w:val="right"/>
              <w:ind w:right="499"/>
              <w:spacing w:after="0"/>
              <w:rPr>
                <w:sz w:val="20"/>
                <w:szCs w:val="20"/>
                <w:color w:val="auto"/>
              </w:rPr>
            </w:pPr>
            <w:r>
              <w:rPr>
                <w:rFonts w:ascii="Arial" w:cs="Arial" w:eastAsia="Arial" w:hAnsi="Arial"/>
                <w:sz w:val="16"/>
                <w:szCs w:val="16"/>
                <w:color w:val="auto"/>
              </w:rPr>
              <w:t>(e)</w:t>
            </w:r>
          </w:p>
        </w:tc>
        <w:tc>
          <w:tcPr>
            <w:tcW w:w="840" w:type="dxa"/>
            <w:vAlign w:val="bottom"/>
            <w:tcBorders>
              <w:bottom w:val="single" w:sz="8" w:color="939598"/>
            </w:tcBorders>
          </w:tcPr>
          <w:p>
            <w:pPr>
              <w:jc w:val="right"/>
              <w:ind w:right="319"/>
              <w:spacing w:after="0"/>
              <w:rPr>
                <w:sz w:val="20"/>
                <w:szCs w:val="20"/>
                <w:color w:val="auto"/>
              </w:rPr>
            </w:pPr>
            <w:r>
              <w:rPr>
                <w:rFonts w:ascii="Arial" w:cs="Arial" w:eastAsia="Arial" w:hAnsi="Arial"/>
                <w:sz w:val="16"/>
                <w:szCs w:val="16"/>
                <w:color w:val="auto"/>
              </w:rPr>
              <w:t>(f)</w:t>
            </w:r>
          </w:p>
        </w:tc>
        <w:tc>
          <w:tcPr>
            <w:tcW w:w="86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(g)</w:t>
            </w:r>
          </w:p>
        </w:tc>
        <w:tc>
          <w:tcPr>
            <w:tcW w:w="920" w:type="dxa"/>
            <w:vAlign w:val="bottom"/>
            <w:tcBorders>
              <w:bottom w:val="single" w:sz="8" w:color="939598"/>
            </w:tcBorders>
          </w:tcPr>
          <w:p>
            <w:pPr>
              <w:jc w:val="right"/>
              <w:ind w:right="239"/>
              <w:spacing w:after="0"/>
              <w:rPr>
                <w:sz w:val="20"/>
                <w:szCs w:val="20"/>
                <w:color w:val="auto"/>
              </w:rPr>
            </w:pPr>
            <w:r>
              <w:rPr>
                <w:rFonts w:ascii="Arial" w:cs="Arial" w:eastAsia="Arial" w:hAnsi="Arial"/>
                <w:sz w:val="16"/>
                <w:szCs w:val="16"/>
                <w:color w:val="auto"/>
              </w:rPr>
              <w:t>(h)</w:t>
            </w:r>
          </w:p>
        </w:tc>
        <w:tc>
          <w:tcPr>
            <w:tcW w:w="800" w:type="dxa"/>
            <w:vAlign w:val="bottom"/>
            <w:tcBorders>
              <w:bottom w:val="single" w:sz="8" w:color="939598"/>
            </w:tcBorders>
          </w:tcPr>
          <w:p>
            <w:pPr>
              <w:jc w:val="right"/>
              <w:ind w:right="299"/>
              <w:spacing w:after="0"/>
              <w:rPr>
                <w:sz w:val="20"/>
                <w:szCs w:val="20"/>
                <w:color w:val="auto"/>
              </w:rPr>
            </w:pPr>
            <w:r>
              <w:rPr>
                <w:rFonts w:ascii="Arial" w:cs="Arial" w:eastAsia="Arial" w:hAnsi="Arial"/>
                <w:sz w:val="16"/>
                <w:szCs w:val="16"/>
                <w:color w:val="auto"/>
              </w:rPr>
              <w:t>(i)</w:t>
            </w:r>
          </w:p>
        </w:tc>
      </w:tr>
      <w:tr>
        <w:trPr>
          <w:trHeight w:val="237"/>
        </w:trPr>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2026</w:t>
            </w:r>
          </w:p>
        </w:tc>
        <w:tc>
          <w:tcPr>
            <w:tcW w:w="112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rPr>
              <w:t>21,766,355</w:t>
            </w:r>
          </w:p>
        </w:tc>
        <w:tc>
          <w:tcPr>
            <w:tcW w:w="1200" w:type="dxa"/>
            <w:vAlign w:val="bottom"/>
            <w:tcBorders>
              <w:bottom w:val="single" w:sz="8" w:color="939598"/>
            </w:tcBorders>
          </w:tcPr>
          <w:p>
            <w:pPr>
              <w:jc w:val="right"/>
              <w:ind w:right="39"/>
              <w:spacing w:after="0"/>
              <w:rPr>
                <w:sz w:val="20"/>
                <w:szCs w:val="20"/>
                <w:color w:val="auto"/>
              </w:rPr>
            </w:pPr>
            <w:r>
              <w:rPr>
                <w:rFonts w:ascii="Arial" w:cs="Arial" w:eastAsia="Arial" w:hAnsi="Arial"/>
                <w:sz w:val="16"/>
                <w:szCs w:val="16"/>
                <w:color w:val="auto"/>
              </w:rPr>
              <w:t>(16,095,806)</w:t>
            </w:r>
          </w:p>
        </w:tc>
        <w:tc>
          <w:tcPr>
            <w:tcW w:w="108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6,500,866</w:t>
            </w:r>
          </w:p>
        </w:tc>
        <w:tc>
          <w:tcPr>
            <w:tcW w:w="1240" w:type="dxa"/>
            <w:vAlign w:val="bottom"/>
            <w:tcBorders>
              <w:bottom w:val="single" w:sz="8" w:color="939598"/>
            </w:tcBorders>
          </w:tcPr>
          <w:p>
            <w:pPr>
              <w:jc w:val="right"/>
              <w:ind w:right="139"/>
              <w:spacing w:after="0"/>
              <w:rPr>
                <w:sz w:val="20"/>
                <w:szCs w:val="20"/>
                <w:color w:val="auto"/>
              </w:rPr>
            </w:pPr>
            <w:r>
              <w:rPr>
                <w:rFonts w:ascii="Arial" w:cs="Arial" w:eastAsia="Arial" w:hAnsi="Arial"/>
                <w:sz w:val="16"/>
                <w:szCs w:val="16"/>
                <w:color w:val="auto"/>
              </w:rPr>
              <w:t>(2,860,379)</w:t>
            </w:r>
          </w:p>
        </w:tc>
        <w:tc>
          <w:tcPr>
            <w:tcW w:w="840" w:type="dxa"/>
            <w:vAlign w:val="bottom"/>
            <w:tcBorders>
              <w:bottom w:val="single" w:sz="8" w:color="939598"/>
            </w:tcBorders>
          </w:tcPr>
          <w:p>
            <w:pPr>
              <w:jc w:val="right"/>
              <w:ind w:right="279"/>
              <w:spacing w:after="0"/>
              <w:rPr>
                <w:sz w:val="20"/>
                <w:szCs w:val="20"/>
                <w:color w:val="auto"/>
              </w:rPr>
            </w:pPr>
            <w:r>
              <w:rPr>
                <w:rFonts w:ascii="Arial" w:cs="Arial" w:eastAsia="Arial" w:hAnsi="Arial"/>
                <w:sz w:val="16"/>
                <w:szCs w:val="16"/>
                <w:color w:val="auto"/>
              </w:rPr>
              <w:t>50</w:t>
            </w:r>
          </w:p>
        </w:tc>
        <w:tc>
          <w:tcPr>
            <w:tcW w:w="860" w:type="dxa"/>
            <w:vAlign w:val="bottom"/>
            <w:tcBorders>
              <w:bottom w:val="single" w:sz="8" w:color="939598"/>
            </w:tcBorders>
          </w:tcPr>
          <w:p>
            <w:pPr>
              <w:jc w:val="right"/>
              <w:ind w:right="159"/>
              <w:spacing w:after="0"/>
              <w:rPr>
                <w:sz w:val="20"/>
                <w:szCs w:val="20"/>
                <w:color w:val="auto"/>
              </w:rPr>
            </w:pPr>
            <w:r>
              <w:rPr>
                <w:rFonts w:ascii="Arial" w:cs="Arial" w:eastAsia="Arial" w:hAnsi="Arial"/>
                <w:sz w:val="16"/>
                <w:szCs w:val="16"/>
                <w:color w:val="auto"/>
              </w:rPr>
              <w:t>150</w:t>
            </w:r>
          </w:p>
        </w:tc>
        <w:tc>
          <w:tcPr>
            <w:tcW w:w="920" w:type="dxa"/>
            <w:vAlign w:val="bottom"/>
            <w:tcBorders>
              <w:bottom w:val="single" w:sz="8" w:color="939598"/>
            </w:tcBorders>
          </w:tcPr>
          <w:p>
            <w:pPr>
              <w:jc w:val="right"/>
              <w:ind w:right="119"/>
              <w:spacing w:after="0"/>
              <w:rPr>
                <w:sz w:val="20"/>
                <w:szCs w:val="20"/>
                <w:color w:val="auto"/>
              </w:rPr>
            </w:pPr>
            <w:r>
              <w:rPr>
                <w:rFonts w:ascii="Arial" w:cs="Arial" w:eastAsia="Arial" w:hAnsi="Arial"/>
                <w:sz w:val="16"/>
                <w:szCs w:val="16"/>
                <w:color w:val="auto"/>
              </w:rPr>
              <w:t>185</w:t>
            </w:r>
          </w:p>
        </w:tc>
        <w:tc>
          <w:tcPr>
            <w:tcW w:w="80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2,672</w:t>
            </w:r>
          </w:p>
        </w:tc>
      </w:tr>
      <w:tr>
        <w:trPr>
          <w:trHeight w:val="237"/>
        </w:trPr>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2025</w:t>
            </w:r>
          </w:p>
        </w:tc>
        <w:tc>
          <w:tcPr>
            <w:tcW w:w="112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rPr>
              <w:t>15,803,726</w:t>
            </w:r>
          </w:p>
        </w:tc>
        <w:tc>
          <w:tcPr>
            <w:tcW w:w="1200" w:type="dxa"/>
            <w:vAlign w:val="bottom"/>
            <w:tcBorders>
              <w:bottom w:val="single" w:sz="8" w:color="939598"/>
            </w:tcBorders>
          </w:tcPr>
          <w:p>
            <w:pPr>
              <w:jc w:val="right"/>
              <w:ind w:right="99"/>
              <w:spacing w:after="0"/>
              <w:rPr>
                <w:sz w:val="20"/>
                <w:szCs w:val="20"/>
                <w:color w:val="auto"/>
              </w:rPr>
            </w:pPr>
            <w:r>
              <w:rPr>
                <w:rFonts w:ascii="Arial" w:cs="Arial" w:eastAsia="Arial" w:hAnsi="Arial"/>
                <w:sz w:val="16"/>
                <w:szCs w:val="16"/>
                <w:color w:val="auto"/>
              </w:rPr>
              <w:t>45,831,860</w:t>
            </w:r>
          </w:p>
        </w:tc>
        <w:tc>
          <w:tcPr>
            <w:tcW w:w="108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5,798,170</w:t>
            </w:r>
          </w:p>
        </w:tc>
        <w:tc>
          <w:tcPr>
            <w:tcW w:w="1240" w:type="dxa"/>
            <w:vAlign w:val="bottom"/>
            <w:tcBorders>
              <w:bottom w:val="single" w:sz="8" w:color="939598"/>
            </w:tcBorders>
          </w:tcPr>
          <w:p>
            <w:pPr>
              <w:jc w:val="right"/>
              <w:ind w:right="199"/>
              <w:spacing w:after="0"/>
              <w:rPr>
                <w:sz w:val="20"/>
                <w:szCs w:val="20"/>
                <w:color w:val="auto"/>
              </w:rPr>
            </w:pPr>
            <w:r>
              <w:rPr>
                <w:rFonts w:ascii="Arial" w:cs="Arial" w:eastAsia="Arial" w:hAnsi="Arial"/>
                <w:sz w:val="16"/>
                <w:szCs w:val="16"/>
                <w:color w:val="auto"/>
              </w:rPr>
              <w:t>15,831,031</w:t>
            </w:r>
          </w:p>
        </w:tc>
        <w:tc>
          <w:tcPr>
            <w:tcW w:w="840" w:type="dxa"/>
            <w:vAlign w:val="bottom"/>
            <w:tcBorders>
              <w:bottom w:val="single" w:sz="8" w:color="939598"/>
            </w:tcBorders>
          </w:tcPr>
          <w:p>
            <w:pPr>
              <w:jc w:val="right"/>
              <w:ind w:right="259"/>
              <w:spacing w:after="0"/>
              <w:rPr>
                <w:sz w:val="20"/>
                <w:szCs w:val="20"/>
                <w:color w:val="auto"/>
              </w:rPr>
            </w:pPr>
            <w:r>
              <w:rPr>
                <w:rFonts w:ascii="Arial" w:cs="Arial" w:eastAsia="Arial" w:hAnsi="Arial"/>
                <w:sz w:val="16"/>
                <w:szCs w:val="16"/>
                <w:color w:val="auto"/>
              </w:rPr>
              <w:t>119</w:t>
            </w:r>
          </w:p>
        </w:tc>
        <w:tc>
          <w:tcPr>
            <w:tcW w:w="860" w:type="dxa"/>
            <w:vAlign w:val="bottom"/>
            <w:tcBorders>
              <w:bottom w:val="single" w:sz="8" w:color="939598"/>
            </w:tcBorders>
          </w:tcPr>
          <w:p>
            <w:pPr>
              <w:jc w:val="right"/>
              <w:ind w:right="159"/>
              <w:spacing w:after="0"/>
              <w:rPr>
                <w:sz w:val="20"/>
                <w:szCs w:val="20"/>
                <w:color w:val="auto"/>
              </w:rPr>
            </w:pPr>
            <w:r>
              <w:rPr>
                <w:rFonts w:ascii="Arial" w:cs="Arial" w:eastAsia="Arial" w:hAnsi="Arial"/>
                <w:sz w:val="16"/>
                <w:szCs w:val="16"/>
                <w:color w:val="auto"/>
              </w:rPr>
              <w:t>102</w:t>
            </w:r>
          </w:p>
        </w:tc>
        <w:tc>
          <w:tcPr>
            <w:tcW w:w="920" w:type="dxa"/>
            <w:vAlign w:val="bottom"/>
            <w:tcBorders>
              <w:bottom w:val="single" w:sz="8" w:color="939598"/>
            </w:tcBorders>
          </w:tcPr>
          <w:p>
            <w:pPr>
              <w:jc w:val="right"/>
              <w:ind w:right="119"/>
              <w:spacing w:after="0"/>
              <w:rPr>
                <w:sz w:val="20"/>
                <w:szCs w:val="20"/>
                <w:color w:val="auto"/>
              </w:rPr>
            </w:pPr>
            <w:r>
              <w:rPr>
                <w:rFonts w:ascii="Arial" w:cs="Arial" w:eastAsia="Arial" w:hAnsi="Arial"/>
                <w:sz w:val="16"/>
                <w:szCs w:val="16"/>
                <w:color w:val="auto"/>
              </w:rPr>
              <w:t>252</w:t>
            </w:r>
          </w:p>
        </w:tc>
        <w:tc>
          <w:tcPr>
            <w:tcW w:w="80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2,559</w:t>
            </w:r>
          </w:p>
        </w:tc>
      </w:tr>
      <w:tr>
        <w:trPr>
          <w:trHeight w:val="237"/>
        </w:trPr>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2024</w:t>
            </w:r>
          </w:p>
        </w:tc>
        <w:tc>
          <w:tcPr>
            <w:tcW w:w="112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rPr>
              <w:t>15,661,281</w:t>
            </w:r>
          </w:p>
        </w:tc>
        <w:tc>
          <w:tcPr>
            <w:tcW w:w="1200" w:type="dxa"/>
            <w:vAlign w:val="bottom"/>
            <w:tcBorders>
              <w:bottom w:val="single" w:sz="8" w:color="939598"/>
            </w:tcBorders>
          </w:tcPr>
          <w:p>
            <w:pPr>
              <w:jc w:val="right"/>
              <w:ind w:right="99"/>
              <w:spacing w:after="0"/>
              <w:rPr>
                <w:sz w:val="20"/>
                <w:szCs w:val="20"/>
                <w:color w:val="auto"/>
              </w:rPr>
            </w:pPr>
            <w:r>
              <w:rPr>
                <w:rFonts w:ascii="Arial" w:cs="Arial" w:eastAsia="Arial" w:hAnsi="Arial"/>
                <w:sz w:val="16"/>
                <w:szCs w:val="16"/>
                <w:color w:val="auto"/>
              </w:rPr>
              <w:t>31,636,300</w:t>
            </w:r>
          </w:p>
        </w:tc>
        <w:tc>
          <w:tcPr>
            <w:tcW w:w="108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6,119,176</w:t>
            </w:r>
          </w:p>
        </w:tc>
        <w:tc>
          <w:tcPr>
            <w:tcW w:w="1240" w:type="dxa"/>
            <w:vAlign w:val="bottom"/>
            <w:tcBorders>
              <w:bottom w:val="single" w:sz="8" w:color="939598"/>
            </w:tcBorders>
          </w:tcPr>
          <w:p>
            <w:pPr>
              <w:jc w:val="right"/>
              <w:ind w:right="199"/>
              <w:spacing w:after="0"/>
              <w:rPr>
                <w:sz w:val="20"/>
                <w:szCs w:val="20"/>
                <w:color w:val="auto"/>
              </w:rPr>
            </w:pPr>
            <w:r>
              <w:rPr>
                <w:rFonts w:ascii="Arial" w:cs="Arial" w:eastAsia="Arial" w:hAnsi="Arial"/>
                <w:sz w:val="16"/>
                <w:szCs w:val="16"/>
                <w:color w:val="auto"/>
              </w:rPr>
              <w:t>11,069,154</w:t>
            </w:r>
          </w:p>
        </w:tc>
        <w:tc>
          <w:tcPr>
            <w:tcW w:w="840" w:type="dxa"/>
            <w:vAlign w:val="bottom"/>
            <w:tcBorders>
              <w:bottom w:val="single" w:sz="8" w:color="939598"/>
            </w:tcBorders>
          </w:tcPr>
          <w:p>
            <w:pPr>
              <w:jc w:val="right"/>
              <w:ind w:right="279"/>
              <w:spacing w:after="0"/>
              <w:rPr>
                <w:sz w:val="20"/>
                <w:szCs w:val="20"/>
                <w:color w:val="auto"/>
              </w:rPr>
            </w:pPr>
            <w:r>
              <w:rPr>
                <w:rFonts w:ascii="Arial" w:cs="Arial" w:eastAsia="Arial" w:hAnsi="Arial"/>
                <w:sz w:val="16"/>
                <w:szCs w:val="16"/>
                <w:color w:val="auto"/>
              </w:rPr>
              <w:t>82</w:t>
            </w:r>
          </w:p>
        </w:tc>
        <w:tc>
          <w:tcPr>
            <w:tcW w:w="86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116</w:t>
            </w:r>
          </w:p>
        </w:tc>
        <w:tc>
          <w:tcPr>
            <w:tcW w:w="92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(340)</w:t>
            </w:r>
          </w:p>
        </w:tc>
        <w:tc>
          <w:tcPr>
            <w:tcW w:w="80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2,361</w:t>
            </w:r>
          </w:p>
        </w:tc>
      </w:tr>
      <w:tr>
        <w:trPr>
          <w:trHeight w:val="237"/>
        </w:trPr>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2023</w:t>
            </w:r>
          </w:p>
        </w:tc>
        <w:tc>
          <w:tcPr>
            <w:tcW w:w="112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rPr>
              <w:t>13,655,346</w:t>
            </w:r>
          </w:p>
        </w:tc>
        <w:tc>
          <w:tcPr>
            <w:tcW w:w="1200" w:type="dxa"/>
            <w:vAlign w:val="bottom"/>
            <w:tcBorders>
              <w:bottom w:val="single" w:sz="8" w:color="939598"/>
            </w:tcBorders>
          </w:tcPr>
          <w:p>
            <w:pPr>
              <w:jc w:val="right"/>
              <w:ind w:right="99"/>
              <w:spacing w:after="0"/>
              <w:rPr>
                <w:sz w:val="20"/>
                <w:szCs w:val="20"/>
                <w:color w:val="auto"/>
              </w:rPr>
            </w:pPr>
            <w:r>
              <w:rPr>
                <w:rFonts w:ascii="Arial" w:cs="Arial" w:eastAsia="Arial" w:hAnsi="Arial"/>
                <w:sz w:val="16"/>
                <w:szCs w:val="16"/>
                <w:color w:val="auto"/>
              </w:rPr>
              <w:t>19,183,372</w:t>
            </w:r>
          </w:p>
        </w:tc>
        <w:tc>
          <w:tcPr>
            <w:tcW w:w="108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5,348,618</w:t>
            </w:r>
          </w:p>
        </w:tc>
        <w:tc>
          <w:tcPr>
            <w:tcW w:w="1240" w:type="dxa"/>
            <w:vAlign w:val="bottom"/>
            <w:tcBorders>
              <w:bottom w:val="single" w:sz="8" w:color="939598"/>
            </w:tcBorders>
          </w:tcPr>
          <w:p>
            <w:pPr>
              <w:jc w:val="right"/>
              <w:ind w:right="199"/>
              <w:spacing w:after="0"/>
              <w:rPr>
                <w:sz w:val="20"/>
                <w:szCs w:val="20"/>
                <w:color w:val="auto"/>
              </w:rPr>
            </w:pPr>
            <w:r>
              <w:rPr>
                <w:rFonts w:ascii="Arial" w:cs="Arial" w:eastAsia="Arial" w:hAnsi="Arial"/>
                <w:sz w:val="16"/>
                <w:szCs w:val="16"/>
                <w:color w:val="auto"/>
              </w:rPr>
              <w:t>6,928,885</w:t>
            </w:r>
          </w:p>
        </w:tc>
        <w:tc>
          <w:tcPr>
            <w:tcW w:w="840" w:type="dxa"/>
            <w:vAlign w:val="bottom"/>
            <w:tcBorders>
              <w:bottom w:val="single" w:sz="8" w:color="939598"/>
            </w:tcBorders>
          </w:tcPr>
          <w:p>
            <w:pPr>
              <w:jc w:val="right"/>
              <w:ind w:right="279"/>
              <w:spacing w:after="0"/>
              <w:rPr>
                <w:sz w:val="20"/>
                <w:szCs w:val="20"/>
                <w:color w:val="auto"/>
              </w:rPr>
            </w:pPr>
            <w:r>
              <w:rPr>
                <w:rFonts w:ascii="Arial" w:cs="Arial" w:eastAsia="Arial" w:hAnsi="Arial"/>
                <w:sz w:val="16"/>
                <w:szCs w:val="16"/>
                <w:color w:val="auto"/>
              </w:rPr>
              <w:t>56</w:t>
            </w:r>
          </w:p>
        </w:tc>
        <w:tc>
          <w:tcPr>
            <w:tcW w:w="860" w:type="dxa"/>
            <w:vAlign w:val="bottom"/>
            <w:tcBorders>
              <w:bottom w:val="single" w:sz="8" w:color="939598"/>
            </w:tcBorders>
          </w:tcPr>
          <w:p>
            <w:pPr>
              <w:jc w:val="right"/>
              <w:ind w:right="159"/>
              <w:spacing w:after="0"/>
              <w:rPr>
                <w:sz w:val="20"/>
                <w:szCs w:val="20"/>
                <w:color w:val="auto"/>
              </w:rPr>
            </w:pPr>
            <w:r>
              <w:rPr>
                <w:rFonts w:ascii="Arial" w:cs="Arial" w:eastAsia="Arial" w:hAnsi="Arial"/>
                <w:sz w:val="16"/>
                <w:szCs w:val="16"/>
                <w:color w:val="auto"/>
              </w:rPr>
              <w:t>87</w:t>
            </w:r>
          </w:p>
        </w:tc>
        <w:tc>
          <w:tcPr>
            <w:tcW w:w="92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(1,374)</w:t>
            </w:r>
          </w:p>
        </w:tc>
        <w:tc>
          <w:tcPr>
            <w:tcW w:w="80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2,202</w:t>
            </w:r>
          </w:p>
        </w:tc>
      </w:tr>
      <w:tr>
        <w:trPr>
          <w:trHeight w:val="236"/>
        </w:trPr>
        <w:tc>
          <w:tcPr>
            <w:tcW w:w="800" w:type="dxa"/>
            <w:vAlign w:val="bottom"/>
            <w:tcBorders>
              <w:bottom w:val="single" w:sz="8" w:color="939598"/>
            </w:tcBorders>
          </w:tcPr>
          <w:p>
            <w:pPr>
              <w:jc w:val="center"/>
              <w:spacing w:after="0"/>
              <w:rPr>
                <w:sz w:val="20"/>
                <w:szCs w:val="20"/>
                <w:color w:val="auto"/>
              </w:rPr>
            </w:pPr>
            <w:r>
              <w:rPr>
                <w:rFonts w:ascii="Arial" w:cs="Arial" w:eastAsia="Arial" w:hAnsi="Arial"/>
                <w:sz w:val="16"/>
                <w:szCs w:val="16"/>
                <w:color w:val="auto"/>
              </w:rPr>
              <w:t>Trans</w:t>
            </w:r>
          </w:p>
        </w:tc>
        <w:tc>
          <w:tcPr>
            <w:tcW w:w="112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rPr>
              <w:t>774,244</w:t>
            </w:r>
          </w:p>
        </w:tc>
        <w:tc>
          <w:tcPr>
            <w:tcW w:w="1200" w:type="dxa"/>
            <w:vAlign w:val="bottom"/>
            <w:tcBorders>
              <w:bottom w:val="single" w:sz="8" w:color="939598"/>
            </w:tcBorders>
          </w:tcPr>
          <w:p>
            <w:pPr>
              <w:jc w:val="right"/>
              <w:ind w:right="59"/>
              <w:spacing w:after="0"/>
              <w:rPr>
                <w:sz w:val="20"/>
                <w:szCs w:val="20"/>
                <w:color w:val="auto"/>
              </w:rPr>
            </w:pPr>
            <w:r>
              <w:rPr>
                <w:rFonts w:ascii="Arial" w:cs="Arial" w:eastAsia="Arial" w:hAnsi="Arial"/>
                <w:sz w:val="16"/>
                <w:szCs w:val="16"/>
                <w:color w:val="auto"/>
              </w:rPr>
              <w:t>(6,991,872)</w:t>
            </w:r>
          </w:p>
        </w:tc>
        <w:tc>
          <w:tcPr>
            <w:tcW w:w="108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445,052</w:t>
            </w:r>
          </w:p>
        </w:tc>
        <w:tc>
          <w:tcPr>
            <w:tcW w:w="1240" w:type="dxa"/>
            <w:vAlign w:val="bottom"/>
            <w:tcBorders>
              <w:bottom w:val="single" w:sz="8" w:color="939598"/>
            </w:tcBorders>
          </w:tcPr>
          <w:p>
            <w:pPr>
              <w:jc w:val="right"/>
              <w:ind w:right="139"/>
              <w:spacing w:after="0"/>
              <w:rPr>
                <w:sz w:val="20"/>
                <w:szCs w:val="20"/>
                <w:color w:val="auto"/>
              </w:rPr>
            </w:pPr>
            <w:r>
              <w:rPr>
                <w:rFonts w:ascii="Arial" w:cs="Arial" w:eastAsia="Arial" w:hAnsi="Arial"/>
                <w:sz w:val="16"/>
                <w:szCs w:val="16"/>
                <w:color w:val="auto"/>
              </w:rPr>
              <w:t>(2,150,363)</w:t>
            </w:r>
          </w:p>
        </w:tc>
        <w:tc>
          <w:tcPr>
            <w:tcW w:w="840" w:type="dxa"/>
            <w:vAlign w:val="bottom"/>
            <w:tcBorders>
              <w:bottom w:val="single" w:sz="8" w:color="939598"/>
            </w:tcBorders>
          </w:tcPr>
          <w:p>
            <w:pPr>
              <w:jc w:val="right"/>
              <w:ind w:right="279"/>
              <w:spacing w:after="0"/>
              <w:rPr>
                <w:sz w:val="20"/>
                <w:szCs w:val="20"/>
                <w:color w:val="auto"/>
              </w:rPr>
            </w:pPr>
            <w:r>
              <w:rPr>
                <w:rFonts w:ascii="Arial" w:cs="Arial" w:eastAsia="Arial" w:hAnsi="Arial"/>
                <w:sz w:val="16"/>
                <w:szCs w:val="16"/>
                <w:color w:val="auto"/>
              </w:rPr>
              <w:t>50</w:t>
            </w:r>
          </w:p>
        </w:tc>
        <w:tc>
          <w:tcPr>
            <w:tcW w:w="860" w:type="dxa"/>
            <w:vAlign w:val="bottom"/>
            <w:tcBorders>
              <w:bottom w:val="single" w:sz="8" w:color="939598"/>
            </w:tcBorders>
          </w:tcPr>
          <w:p>
            <w:pPr>
              <w:jc w:val="right"/>
              <w:ind w:right="159"/>
              <w:spacing w:after="0"/>
              <w:rPr>
                <w:sz w:val="20"/>
                <w:szCs w:val="20"/>
                <w:color w:val="auto"/>
              </w:rPr>
            </w:pPr>
            <w:r>
              <w:rPr>
                <w:rFonts w:ascii="Arial" w:cs="Arial" w:eastAsia="Arial" w:hAnsi="Arial"/>
                <w:sz w:val="16"/>
                <w:szCs w:val="16"/>
                <w:color w:val="auto"/>
              </w:rPr>
              <w:t>89</w:t>
            </w:r>
          </w:p>
        </w:tc>
        <w:tc>
          <w:tcPr>
            <w:tcW w:w="920" w:type="dxa"/>
            <w:vAlign w:val="bottom"/>
            <w:tcBorders>
              <w:bottom w:val="single" w:sz="8" w:color="939598"/>
            </w:tcBorders>
          </w:tcPr>
          <w:p>
            <w:pPr>
              <w:jc w:val="right"/>
              <w:ind w:right="79"/>
              <w:spacing w:after="0"/>
              <w:rPr>
                <w:sz w:val="20"/>
                <w:szCs w:val="20"/>
                <w:color w:val="auto"/>
              </w:rPr>
            </w:pPr>
            <w:r>
              <w:rPr>
                <w:rFonts w:ascii="Arial" w:cs="Arial" w:eastAsia="Arial" w:hAnsi="Arial"/>
                <w:sz w:val="16"/>
                <w:szCs w:val="16"/>
                <w:color w:val="auto"/>
              </w:rPr>
              <w:t>(229)</w:t>
            </w:r>
          </w:p>
        </w:tc>
        <w:tc>
          <w:tcPr>
            <w:tcW w:w="800" w:type="dxa"/>
            <w:vAlign w:val="bottom"/>
            <w:tcBorders>
              <w:bottom w:val="single" w:sz="8" w:color="939598"/>
            </w:tcBorders>
          </w:tcPr>
          <w:p>
            <w:pPr>
              <w:jc w:val="right"/>
              <w:ind w:right="179"/>
              <w:spacing w:after="0"/>
              <w:rPr>
                <w:sz w:val="20"/>
                <w:szCs w:val="20"/>
                <w:color w:val="auto"/>
              </w:rPr>
            </w:pPr>
            <w:r>
              <w:rPr>
                <w:rFonts w:ascii="Arial" w:cs="Arial" w:eastAsia="Arial" w:hAnsi="Arial"/>
                <w:sz w:val="16"/>
                <w:szCs w:val="16"/>
                <w:color w:val="auto"/>
              </w:rPr>
              <w:t>536</w:t>
            </w:r>
          </w:p>
        </w:tc>
      </w:tr>
      <w:tr>
        <w:trPr>
          <w:trHeight w:val="216"/>
        </w:trPr>
        <w:tc>
          <w:tcPr>
            <w:tcW w:w="800" w:type="dxa"/>
            <w:vAlign w:val="bottom"/>
            <w:tcBorders>
              <w:bottom w:val="single" w:sz="8" w:color="F0533D"/>
            </w:tcBorders>
          </w:tcPr>
          <w:p>
            <w:pPr>
              <w:jc w:val="center"/>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F0533D"/>
            </w:tcBorders>
          </w:tcPr>
          <w:p>
            <w:pPr>
              <w:jc w:val="right"/>
              <w:ind w:right="59"/>
              <w:spacing w:after="0"/>
              <w:rPr>
                <w:sz w:val="20"/>
                <w:szCs w:val="20"/>
                <w:color w:val="auto"/>
              </w:rPr>
            </w:pPr>
            <w:r>
              <w:rPr>
                <w:rFonts w:ascii="Arial" w:cs="Arial" w:eastAsia="Arial" w:hAnsi="Arial"/>
                <w:sz w:val="16"/>
                <w:szCs w:val="16"/>
                <w:color w:val="auto"/>
              </w:rPr>
              <w:t>26,377,162</w:t>
            </w:r>
          </w:p>
        </w:tc>
        <w:tc>
          <w:tcPr>
            <w:tcW w:w="1200" w:type="dxa"/>
            <w:vAlign w:val="bottom"/>
            <w:tcBorders>
              <w:bottom w:val="single" w:sz="8" w:color="F0533D"/>
            </w:tcBorders>
          </w:tcPr>
          <w:p>
            <w:pPr>
              <w:jc w:val="right"/>
              <w:ind w:right="99"/>
              <w:spacing w:after="0"/>
              <w:rPr>
                <w:sz w:val="20"/>
                <w:szCs w:val="20"/>
                <w:color w:val="auto"/>
              </w:rPr>
            </w:pPr>
            <w:r>
              <w:rPr>
                <w:rFonts w:ascii="Arial" w:cs="Arial" w:eastAsia="Arial" w:hAnsi="Arial"/>
                <w:sz w:val="16"/>
                <w:szCs w:val="16"/>
                <w:color w:val="auto"/>
              </w:rPr>
              <w:t>23,074,107</w:t>
            </w:r>
          </w:p>
        </w:tc>
        <w:tc>
          <w:tcPr>
            <w:tcW w:w="1080" w:type="dxa"/>
            <w:vAlign w:val="bottom"/>
            <w:tcBorders>
              <w:bottom w:val="single" w:sz="8" w:color="F0533D"/>
            </w:tcBorders>
          </w:tcPr>
          <w:p>
            <w:pPr>
              <w:jc w:val="right"/>
              <w:ind w:right="79"/>
              <w:spacing w:after="0"/>
              <w:rPr>
                <w:sz w:val="20"/>
                <w:szCs w:val="20"/>
                <w:color w:val="auto"/>
              </w:rPr>
            </w:pPr>
            <w:r>
              <w:rPr>
                <w:rFonts w:ascii="Arial" w:cs="Arial" w:eastAsia="Arial" w:hAnsi="Arial"/>
                <w:sz w:val="16"/>
                <w:szCs w:val="16"/>
                <w:color w:val="auto"/>
              </w:rPr>
              <w:t>10,881,003</w:t>
            </w:r>
          </w:p>
        </w:tc>
        <w:tc>
          <w:tcPr>
            <w:tcW w:w="1240" w:type="dxa"/>
            <w:vAlign w:val="bottom"/>
            <w:tcBorders>
              <w:bottom w:val="single" w:sz="8" w:color="F0533D"/>
            </w:tcBorders>
          </w:tcPr>
          <w:p>
            <w:pPr>
              <w:jc w:val="right"/>
              <w:ind w:right="199"/>
              <w:spacing w:after="0"/>
              <w:rPr>
                <w:sz w:val="20"/>
                <w:szCs w:val="20"/>
                <w:color w:val="auto"/>
              </w:rPr>
            </w:pPr>
            <w:r>
              <w:rPr>
                <w:rFonts w:ascii="Arial" w:cs="Arial" w:eastAsia="Arial" w:hAnsi="Arial"/>
                <w:sz w:val="16"/>
                <w:szCs w:val="16"/>
                <w:color w:val="auto"/>
              </w:rPr>
              <w:t>8,995,352</w:t>
            </w:r>
          </w:p>
        </w:tc>
        <w:tc>
          <w:tcPr>
            <w:tcW w:w="840" w:type="dxa"/>
            <w:vAlign w:val="bottom"/>
            <w:tcBorders>
              <w:bottom w:val="single" w:sz="8" w:color="F0533D"/>
            </w:tcBorders>
          </w:tcPr>
          <w:p>
            <w:pPr>
              <w:jc w:val="right"/>
              <w:ind w:right="279"/>
              <w:spacing w:after="0"/>
              <w:rPr>
                <w:sz w:val="20"/>
                <w:szCs w:val="20"/>
                <w:color w:val="auto"/>
              </w:rPr>
            </w:pPr>
            <w:r>
              <w:rPr>
                <w:rFonts w:ascii="Arial" w:cs="Arial" w:eastAsia="Arial" w:hAnsi="Arial"/>
                <w:sz w:val="16"/>
                <w:szCs w:val="16"/>
                <w:color w:val="auto"/>
              </w:rPr>
              <w:t>69</w:t>
            </w:r>
          </w:p>
        </w:tc>
        <w:tc>
          <w:tcPr>
            <w:tcW w:w="860" w:type="dxa"/>
            <w:vAlign w:val="bottom"/>
            <w:tcBorders>
              <w:bottom w:val="single" w:sz="8" w:color="F0533D"/>
            </w:tcBorders>
          </w:tcPr>
          <w:p>
            <w:pPr>
              <w:jc w:val="right"/>
              <w:ind w:right="159"/>
              <w:spacing w:after="0"/>
              <w:rPr>
                <w:sz w:val="20"/>
                <w:szCs w:val="20"/>
                <w:color w:val="auto"/>
              </w:rPr>
            </w:pPr>
            <w:r>
              <w:rPr>
                <w:rFonts w:ascii="Arial" w:cs="Arial" w:eastAsia="Arial" w:hAnsi="Arial"/>
                <w:sz w:val="16"/>
                <w:szCs w:val="16"/>
                <w:color w:val="auto"/>
              </w:rPr>
              <w:t>96</w:t>
            </w:r>
          </w:p>
        </w:tc>
        <w:tc>
          <w:tcPr>
            <w:tcW w:w="920" w:type="dxa"/>
            <w:vAlign w:val="bottom"/>
            <w:tcBorders>
              <w:bottom w:val="single" w:sz="8" w:color="F0533D"/>
            </w:tcBorders>
          </w:tcPr>
          <w:p>
            <w:pPr>
              <w:jc w:val="right"/>
              <w:ind w:right="79"/>
              <w:spacing w:after="0"/>
              <w:rPr>
                <w:sz w:val="20"/>
                <w:szCs w:val="20"/>
                <w:color w:val="auto"/>
              </w:rPr>
            </w:pPr>
            <w:r>
              <w:rPr>
                <w:rFonts w:ascii="Arial" w:cs="Arial" w:eastAsia="Arial" w:hAnsi="Arial"/>
                <w:sz w:val="16"/>
                <w:szCs w:val="16"/>
                <w:color w:val="auto"/>
              </w:rPr>
              <w:t>(2,304)</w:t>
            </w:r>
          </w:p>
        </w:tc>
        <w:tc>
          <w:tcPr>
            <w:tcW w:w="800" w:type="dxa"/>
            <w:vAlign w:val="bottom"/>
            <w:tcBorders>
              <w:bottom w:val="single" w:sz="8" w:color="F0533D"/>
            </w:tcBorders>
          </w:tcPr>
          <w:p>
            <w:pPr>
              <w:jc w:val="right"/>
              <w:ind w:right="179"/>
              <w:spacing w:after="0"/>
              <w:rPr>
                <w:sz w:val="20"/>
                <w:szCs w:val="20"/>
                <w:color w:val="auto"/>
              </w:rPr>
            </w:pPr>
            <w:r>
              <w:rPr>
                <w:rFonts w:ascii="Arial" w:cs="Arial" w:eastAsia="Arial" w:hAnsi="Arial"/>
                <w:sz w:val="16"/>
                <w:szCs w:val="16"/>
                <w:color w:val="auto"/>
              </w:rPr>
              <w:t>2,049</w:t>
            </w:r>
          </w:p>
        </w:tc>
      </w:tr>
    </w:tbl>
    <w:p>
      <w:pPr>
        <w:spacing w:after="0" w:line="307" w:lineRule="exact"/>
        <w:rPr>
          <w:sz w:val="20"/>
          <w:szCs w:val="20"/>
          <w:color w:val="auto"/>
        </w:rPr>
      </w:pPr>
    </w:p>
    <w:p>
      <w:pPr>
        <w:ind w:left="540" w:right="439" w:hanging="356"/>
        <w:spacing w:after="0" w:line="206" w:lineRule="auto"/>
        <w:tabs>
          <w:tab w:leader="none" w:pos="540" w:val="left"/>
        </w:tabs>
        <w:numPr>
          <w:ilvl w:val="0"/>
          <w:numId w:val="98"/>
        </w:numPr>
        <w:rPr>
          <w:rFonts w:ascii="Arial" w:cs="Arial" w:eastAsia="Arial" w:hAnsi="Arial"/>
          <w:sz w:val="23"/>
          <w:szCs w:val="23"/>
          <w:color w:val="auto"/>
          <w:vertAlign w:val="superscript"/>
        </w:rPr>
      </w:pPr>
      <w:r>
        <w:rPr>
          <w:rFonts w:ascii="Arial" w:cs="Arial" w:eastAsia="Arial" w:hAnsi="Arial"/>
          <w:sz w:val="15"/>
          <w:szCs w:val="15"/>
          <w:color w:val="auto"/>
        </w:rPr>
        <w:t>In January 2022, the Company changed its fiscal year-end to March 31 from December 31. Fiscal 2024 and fiscal 2023 reflect the years ended March 31, 2024 and 2023; the transition period (“Trans”) reflects the three months from January 1, 2022 through March 31, 2022; and fiscal 2021 reflects the year ended December 31, 2021.</w:t>
      </w:r>
    </w:p>
    <w:p>
      <w:pPr>
        <w:spacing w:after="0" w:line="70" w:lineRule="exact"/>
        <w:rPr>
          <w:rFonts w:ascii="Arial" w:cs="Arial" w:eastAsia="Arial" w:hAnsi="Arial"/>
          <w:sz w:val="23"/>
          <w:szCs w:val="23"/>
          <w:color w:val="auto"/>
          <w:vertAlign w:val="superscript"/>
        </w:rPr>
      </w:pPr>
    </w:p>
    <w:p>
      <w:pPr>
        <w:ind w:left="540" w:right="339" w:hanging="356"/>
        <w:spacing w:after="0" w:line="206" w:lineRule="auto"/>
        <w:tabs>
          <w:tab w:leader="none" w:pos="540" w:val="left"/>
        </w:tabs>
        <w:numPr>
          <w:ilvl w:val="0"/>
          <w:numId w:val="98"/>
        </w:numPr>
        <w:rPr>
          <w:rFonts w:ascii="Arial" w:cs="Arial" w:eastAsia="Arial" w:hAnsi="Arial"/>
          <w:sz w:val="23"/>
          <w:szCs w:val="23"/>
          <w:color w:val="auto"/>
          <w:vertAlign w:val="superscript"/>
        </w:rPr>
      </w:pPr>
      <w:r>
        <w:rPr>
          <w:rFonts w:ascii="Arial" w:cs="Arial" w:eastAsia="Arial" w:hAnsi="Arial"/>
          <w:sz w:val="15"/>
          <w:szCs w:val="15"/>
          <w:color w:val="auto"/>
        </w:rPr>
        <w:t>To calculate the CAP to Martin Schroeter, our PEO, and the average CAP to our non-PEO NEOs during fiscal 2026 (Harsh Chugh, Elly Keinan, Maryjo Charbonnier, Mark Ringes, David Wyshner, Edward Sebold and Vineet Khurana), the following amounts were deducted from and added to Summary Compensation Table (“SCT”) total compensation:</w:t>
      </w:r>
    </w:p>
    <w:p>
      <w:pPr>
        <w:spacing w:after="0" w:line="133"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jc w:val="center"/>
              <w:ind w:left="48"/>
              <w:spacing w:after="0"/>
              <w:rPr>
                <w:sz w:val="20"/>
                <w:szCs w:val="20"/>
                <w:color w:val="auto"/>
              </w:rPr>
            </w:pPr>
            <w:r>
              <w:rPr>
                <w:rFonts w:ascii="Arial" w:cs="Arial" w:eastAsia="Arial" w:hAnsi="Arial"/>
                <w:sz w:val="14"/>
                <w:szCs w:val="14"/>
                <w:b w:val="1"/>
                <w:bCs w:val="1"/>
                <w:color w:val="F0533D"/>
              </w:rPr>
              <w:t>Additions: Value of</w:t>
            </w:r>
          </w:p>
        </w:tc>
        <w:tc>
          <w:tcPr>
            <w:tcW w:w="12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jc w:val="center"/>
              <w:ind w:left="28"/>
              <w:spacing w:after="0"/>
              <w:rPr>
                <w:sz w:val="20"/>
                <w:szCs w:val="20"/>
                <w:color w:val="auto"/>
              </w:rPr>
            </w:pPr>
            <w:r>
              <w:rPr>
                <w:rFonts w:ascii="Arial" w:cs="Arial" w:eastAsia="Arial" w:hAnsi="Arial"/>
                <w:sz w:val="14"/>
                <w:szCs w:val="14"/>
                <w:b w:val="1"/>
                <w:bCs w:val="1"/>
                <w:color w:val="F0533D"/>
              </w:rPr>
              <w:t>Stock and Option</w:t>
            </w:r>
          </w:p>
        </w:tc>
        <w:tc>
          <w:tcPr>
            <w:tcW w:w="12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140" w:type="dxa"/>
            <w:vAlign w:val="bottom"/>
          </w:tcPr>
          <w:p>
            <w:pPr>
              <w:jc w:val="center"/>
              <w:ind w:left="48"/>
              <w:spacing w:after="0"/>
              <w:rPr>
                <w:sz w:val="20"/>
                <w:szCs w:val="20"/>
                <w:color w:val="auto"/>
              </w:rPr>
            </w:pPr>
            <w:r>
              <w:rPr>
                <w:rFonts w:ascii="Arial" w:cs="Arial" w:eastAsia="Arial" w:hAnsi="Arial"/>
                <w:sz w:val="14"/>
                <w:szCs w:val="14"/>
                <w:b w:val="1"/>
                <w:bCs w:val="1"/>
                <w:color w:val="F0533D"/>
              </w:rPr>
              <w:t>Awards calculated in</w:t>
            </w:r>
          </w:p>
        </w:tc>
        <w:tc>
          <w:tcPr>
            <w:tcW w:w="12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F0533D"/>
              </w:rPr>
              <w:t>Deductions: Stock</w:t>
            </w:r>
          </w:p>
        </w:tc>
        <w:tc>
          <w:tcPr>
            <w:tcW w:w="2140" w:type="dxa"/>
            <w:vAlign w:val="bottom"/>
          </w:tcPr>
          <w:p>
            <w:pPr>
              <w:jc w:val="center"/>
              <w:ind w:left="48"/>
              <w:spacing w:after="0"/>
              <w:rPr>
                <w:sz w:val="20"/>
                <w:szCs w:val="20"/>
                <w:color w:val="auto"/>
              </w:rPr>
            </w:pPr>
            <w:r>
              <w:rPr>
                <w:rFonts w:ascii="Arial" w:cs="Arial" w:eastAsia="Arial" w:hAnsi="Arial"/>
                <w:sz w:val="14"/>
                <w:szCs w:val="14"/>
                <w:b w:val="1"/>
                <w:bCs w:val="1"/>
                <w:color w:val="F0533D"/>
              </w:rPr>
              <w:t>accordance with SEC</w:t>
            </w:r>
          </w:p>
        </w:tc>
        <w:tc>
          <w:tcPr>
            <w:tcW w:w="12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F0533D"/>
              </w:rPr>
              <w:t>Award and Option</w:t>
            </w:r>
          </w:p>
        </w:tc>
        <w:tc>
          <w:tcPr>
            <w:tcW w:w="2140" w:type="dxa"/>
            <w:vAlign w:val="bottom"/>
          </w:tcPr>
          <w:p>
            <w:pPr>
              <w:jc w:val="center"/>
              <w:ind w:left="48"/>
              <w:spacing w:after="0"/>
              <w:rPr>
                <w:sz w:val="20"/>
                <w:szCs w:val="20"/>
                <w:color w:val="auto"/>
              </w:rPr>
            </w:pPr>
            <w:r>
              <w:rPr>
                <w:rFonts w:ascii="Arial" w:cs="Arial" w:eastAsia="Arial" w:hAnsi="Arial"/>
                <w:sz w:val="14"/>
                <w:szCs w:val="14"/>
                <w:b w:val="1"/>
                <w:bCs w:val="1"/>
                <w:color w:val="F0533D"/>
              </w:rPr>
              <w:t>methodology for</w:t>
            </w:r>
          </w:p>
        </w:tc>
        <w:tc>
          <w:tcPr>
            <w:tcW w:w="1240" w:type="dxa"/>
            <w:vAlign w:val="bottom"/>
          </w:tcPr>
          <w:p>
            <w:pPr>
              <w:spacing w:after="0"/>
              <w:rPr>
                <w:sz w:val="14"/>
                <w:szCs w:val="14"/>
                <w:color w:val="auto"/>
              </w:rPr>
            </w:pPr>
          </w:p>
        </w:tc>
      </w:tr>
      <w:tr>
        <w:trPr>
          <w:trHeight w:val="171"/>
        </w:trPr>
        <w:tc>
          <w:tcPr>
            <w:tcW w:w="156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F0533D"/>
              </w:rPr>
              <w:t>SCT Total</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F0533D"/>
              </w:rPr>
              <w:t>Award</w:t>
            </w:r>
          </w:p>
        </w:tc>
        <w:tc>
          <w:tcPr>
            <w:tcW w:w="2140" w:type="dxa"/>
            <w:vAlign w:val="bottom"/>
          </w:tcPr>
          <w:p>
            <w:pPr>
              <w:jc w:val="center"/>
              <w:ind w:left="28"/>
              <w:spacing w:after="0"/>
              <w:rPr>
                <w:sz w:val="20"/>
                <w:szCs w:val="20"/>
                <w:color w:val="auto"/>
              </w:rPr>
            </w:pPr>
            <w:r>
              <w:rPr>
                <w:rFonts w:ascii="Arial" w:cs="Arial" w:eastAsia="Arial" w:hAnsi="Arial"/>
                <w:sz w:val="14"/>
                <w:szCs w:val="14"/>
                <w:b w:val="1"/>
                <w:bCs w:val="1"/>
                <w:color w:val="F0533D"/>
              </w:rPr>
              <w:t>determining CAP</w:t>
            </w:r>
          </w:p>
        </w:tc>
        <w:tc>
          <w:tcPr>
            <w:tcW w:w="1240" w:type="dxa"/>
            <w:vAlign w:val="bottom"/>
          </w:tcPr>
          <w:p>
            <w:pPr>
              <w:jc w:val="right"/>
              <w:ind w:right="308"/>
              <w:spacing w:after="0"/>
              <w:rPr>
                <w:sz w:val="20"/>
                <w:szCs w:val="20"/>
                <w:color w:val="auto"/>
              </w:rPr>
            </w:pPr>
            <w:r>
              <w:rPr>
                <w:rFonts w:ascii="Arial" w:cs="Arial" w:eastAsia="Arial" w:hAnsi="Arial"/>
                <w:sz w:val="14"/>
                <w:szCs w:val="14"/>
                <w:b w:val="1"/>
                <w:bCs w:val="1"/>
                <w:color w:val="F0533D"/>
              </w:rPr>
              <w:t>CAP</w:t>
            </w:r>
          </w:p>
        </w:tc>
      </w:tr>
      <w:tr>
        <w:trPr>
          <w:trHeight w:val="230"/>
        </w:trPr>
        <w:tc>
          <w:tcPr>
            <w:tcW w:w="1560" w:type="dxa"/>
            <w:vAlign w:val="bottom"/>
            <w:tcBorders>
              <w:bottom w:val="single" w:sz="8" w:color="F0533D"/>
            </w:tcBorders>
          </w:tcPr>
          <w:p>
            <w:pPr>
              <w:spacing w:after="0"/>
              <w:rPr>
                <w:sz w:val="20"/>
                <w:szCs w:val="20"/>
                <w:color w:val="auto"/>
              </w:rPr>
            </w:pPr>
          </w:p>
        </w:tc>
        <w:tc>
          <w:tcPr>
            <w:tcW w:w="1480" w:type="dxa"/>
            <w:vAlign w:val="bottom"/>
            <w:tcBorders>
              <w:bottom w:val="single" w:sz="8" w:color="F0533D"/>
            </w:tcBorders>
          </w:tcPr>
          <w:p>
            <w:pPr>
              <w:jc w:val="right"/>
              <w:ind w:right="508"/>
              <w:spacing w:after="0" w:line="230" w:lineRule="exact"/>
              <w:rPr>
                <w:sz w:val="20"/>
                <w:szCs w:val="20"/>
                <w:color w:val="auto"/>
              </w:rPr>
            </w:pPr>
            <w:r>
              <w:rPr>
                <w:rFonts w:ascii="Arial" w:cs="Arial" w:eastAsia="Arial" w:hAnsi="Arial"/>
                <w:sz w:val="14"/>
                <w:szCs w:val="14"/>
                <w:b w:val="1"/>
                <w:bCs w:val="1"/>
                <w:color w:val="F0533D"/>
              </w:rPr>
              <w:t>($)</w:t>
            </w:r>
            <w:r>
              <w:rPr>
                <w:rFonts w:ascii="Arial" w:cs="Arial" w:eastAsia="Arial" w:hAnsi="Arial"/>
                <w:sz w:val="23"/>
                <w:szCs w:val="23"/>
                <w:b w:val="1"/>
                <w:bCs w:val="1"/>
                <w:color w:val="F0533D"/>
                <w:vertAlign w:val="superscript"/>
              </w:rPr>
              <w:t>(a)</w:t>
            </w:r>
          </w:p>
        </w:tc>
        <w:tc>
          <w:tcPr>
            <w:tcW w:w="2020" w:type="dxa"/>
            <w:vAlign w:val="bottom"/>
            <w:tcBorders>
              <w:bottom w:val="single" w:sz="8" w:color="F0533D"/>
            </w:tcBorders>
          </w:tcPr>
          <w:p>
            <w:pPr>
              <w:jc w:val="center"/>
              <w:spacing w:after="0" w:line="230" w:lineRule="exact"/>
              <w:rPr>
                <w:sz w:val="20"/>
                <w:szCs w:val="20"/>
                <w:color w:val="auto"/>
              </w:rPr>
            </w:pPr>
            <w:r>
              <w:rPr>
                <w:rFonts w:ascii="Arial" w:cs="Arial" w:eastAsia="Arial" w:hAnsi="Arial"/>
                <w:sz w:val="14"/>
                <w:szCs w:val="14"/>
                <w:b w:val="1"/>
                <w:bCs w:val="1"/>
                <w:color w:val="F0533D"/>
                <w:w w:val="87"/>
              </w:rPr>
              <w:t>($)</w:t>
            </w:r>
            <w:r>
              <w:rPr>
                <w:rFonts w:ascii="Arial" w:cs="Arial" w:eastAsia="Arial" w:hAnsi="Arial"/>
                <w:sz w:val="23"/>
                <w:szCs w:val="23"/>
                <w:b w:val="1"/>
                <w:bCs w:val="1"/>
                <w:color w:val="F0533D"/>
                <w:w w:val="87"/>
                <w:vertAlign w:val="superscript"/>
              </w:rPr>
              <w:t>(b)</w:t>
            </w:r>
          </w:p>
        </w:tc>
        <w:tc>
          <w:tcPr>
            <w:tcW w:w="2140" w:type="dxa"/>
            <w:vAlign w:val="bottom"/>
            <w:tcBorders>
              <w:bottom w:val="single" w:sz="8" w:color="F0533D"/>
            </w:tcBorders>
          </w:tcPr>
          <w:p>
            <w:pPr>
              <w:jc w:val="center"/>
              <w:ind w:left="68"/>
              <w:spacing w:after="0" w:line="230" w:lineRule="exact"/>
              <w:rPr>
                <w:sz w:val="20"/>
                <w:szCs w:val="20"/>
                <w:color w:val="auto"/>
              </w:rPr>
            </w:pPr>
            <w:r>
              <w:rPr>
                <w:rFonts w:ascii="Arial" w:cs="Arial" w:eastAsia="Arial" w:hAnsi="Arial"/>
                <w:sz w:val="14"/>
                <w:szCs w:val="14"/>
                <w:b w:val="1"/>
                <w:bCs w:val="1"/>
                <w:color w:val="F0533D"/>
                <w:w w:val="89"/>
              </w:rPr>
              <w:t>($)</w:t>
            </w:r>
            <w:r>
              <w:rPr>
                <w:rFonts w:ascii="Arial" w:cs="Arial" w:eastAsia="Arial" w:hAnsi="Arial"/>
                <w:sz w:val="23"/>
                <w:szCs w:val="23"/>
                <w:b w:val="1"/>
                <w:bCs w:val="1"/>
                <w:color w:val="F0533D"/>
                <w:w w:val="89"/>
                <w:vertAlign w:val="superscript"/>
              </w:rPr>
              <w:t>(c)</w:t>
            </w:r>
          </w:p>
        </w:tc>
        <w:tc>
          <w:tcPr>
            <w:tcW w:w="1240" w:type="dxa"/>
            <w:vAlign w:val="bottom"/>
            <w:tcBorders>
              <w:bottom w:val="single" w:sz="8" w:color="F0533D"/>
            </w:tcBorders>
          </w:tcPr>
          <w:p>
            <w:pPr>
              <w:jc w:val="right"/>
              <w:ind w:right="368"/>
              <w:spacing w:after="0"/>
              <w:rPr>
                <w:sz w:val="20"/>
                <w:szCs w:val="20"/>
                <w:color w:val="auto"/>
              </w:rPr>
            </w:pPr>
            <w:r>
              <w:rPr>
                <w:rFonts w:ascii="Arial" w:cs="Arial" w:eastAsia="Arial" w:hAnsi="Arial"/>
                <w:sz w:val="14"/>
                <w:szCs w:val="14"/>
                <w:b w:val="1"/>
                <w:bCs w:val="1"/>
                <w:color w:val="F0533D"/>
              </w:rPr>
              <w:t>($)</w:t>
            </w:r>
          </w:p>
        </w:tc>
      </w:tr>
      <w:tr>
        <w:trPr>
          <w:trHeight w:val="205"/>
        </w:trPr>
        <w:tc>
          <w:tcPr>
            <w:tcW w:w="1560" w:type="dxa"/>
            <w:vAlign w:val="bottom"/>
            <w:tcBorders>
              <w:bottom w:val="single" w:sz="8" w:color="939598"/>
            </w:tcBorders>
          </w:tcPr>
          <w:p>
            <w:pPr>
              <w:ind w:left="160"/>
              <w:spacing w:after="0"/>
              <w:rPr>
                <w:sz w:val="20"/>
                <w:szCs w:val="20"/>
                <w:color w:val="auto"/>
              </w:rPr>
            </w:pPr>
            <w:r>
              <w:rPr>
                <w:rFonts w:ascii="Arial" w:cs="Arial" w:eastAsia="Arial" w:hAnsi="Arial"/>
                <w:sz w:val="14"/>
                <w:szCs w:val="14"/>
                <w:color w:val="auto"/>
              </w:rPr>
              <w:t>PEO</w:t>
            </w:r>
          </w:p>
        </w:tc>
        <w:tc>
          <w:tcPr>
            <w:tcW w:w="1480" w:type="dxa"/>
            <w:vAlign w:val="bottom"/>
            <w:tcBorders>
              <w:bottom w:val="single" w:sz="8" w:color="939598"/>
            </w:tcBorders>
          </w:tcPr>
          <w:p>
            <w:pPr>
              <w:jc w:val="right"/>
              <w:ind w:right="308"/>
              <w:spacing w:after="0"/>
              <w:rPr>
                <w:sz w:val="20"/>
                <w:szCs w:val="20"/>
                <w:color w:val="auto"/>
              </w:rPr>
            </w:pPr>
            <w:r>
              <w:rPr>
                <w:rFonts w:ascii="Arial" w:cs="Arial" w:eastAsia="Arial" w:hAnsi="Arial"/>
                <w:sz w:val="14"/>
                <w:szCs w:val="14"/>
                <w:color w:val="auto"/>
              </w:rPr>
              <w:t>21,766,355</w:t>
            </w:r>
          </w:p>
        </w:tc>
        <w:tc>
          <w:tcPr>
            <w:tcW w:w="2020" w:type="dxa"/>
            <w:vAlign w:val="bottom"/>
            <w:tcBorders>
              <w:bottom w:val="single" w:sz="8" w:color="939598"/>
            </w:tcBorders>
          </w:tcPr>
          <w:p>
            <w:pPr>
              <w:jc w:val="right"/>
              <w:ind w:right="568"/>
              <w:spacing w:after="0"/>
              <w:rPr>
                <w:sz w:val="20"/>
                <w:szCs w:val="20"/>
                <w:color w:val="auto"/>
              </w:rPr>
            </w:pPr>
            <w:r>
              <w:rPr>
                <w:rFonts w:ascii="Arial" w:cs="Arial" w:eastAsia="Arial" w:hAnsi="Arial"/>
                <w:sz w:val="14"/>
                <w:szCs w:val="14"/>
                <w:color w:val="auto"/>
              </w:rPr>
              <w:t>18,000,025</w:t>
            </w:r>
          </w:p>
        </w:tc>
        <w:tc>
          <w:tcPr>
            <w:tcW w:w="2140" w:type="dxa"/>
            <w:vAlign w:val="bottom"/>
            <w:tcBorders>
              <w:bottom w:val="single" w:sz="8" w:color="939598"/>
            </w:tcBorders>
          </w:tcPr>
          <w:p>
            <w:pPr>
              <w:jc w:val="right"/>
              <w:ind w:right="508"/>
              <w:spacing w:after="0"/>
              <w:rPr>
                <w:sz w:val="20"/>
                <w:szCs w:val="20"/>
                <w:color w:val="auto"/>
              </w:rPr>
            </w:pPr>
            <w:r>
              <w:rPr>
                <w:rFonts w:ascii="Arial" w:cs="Arial" w:eastAsia="Arial" w:hAnsi="Arial"/>
                <w:sz w:val="14"/>
                <w:szCs w:val="14"/>
                <w:color w:val="auto"/>
              </w:rPr>
              <w:t>(19,862,136)</w:t>
            </w:r>
          </w:p>
        </w:tc>
        <w:tc>
          <w:tcPr>
            <w:tcW w:w="1240" w:type="dxa"/>
            <w:vAlign w:val="bottom"/>
            <w:tcBorders>
              <w:bottom w:val="single" w:sz="8" w:color="939598"/>
            </w:tcBorders>
          </w:tcPr>
          <w:p>
            <w:pPr>
              <w:jc w:val="right"/>
              <w:ind w:right="48"/>
              <w:spacing w:after="0"/>
              <w:rPr>
                <w:sz w:val="20"/>
                <w:szCs w:val="20"/>
                <w:color w:val="auto"/>
              </w:rPr>
            </w:pPr>
            <w:r>
              <w:rPr>
                <w:rFonts w:ascii="Arial" w:cs="Arial" w:eastAsia="Arial" w:hAnsi="Arial"/>
                <w:sz w:val="14"/>
                <w:szCs w:val="14"/>
                <w:color w:val="auto"/>
              </w:rPr>
              <w:t>(16,095,806)</w:t>
            </w:r>
          </w:p>
        </w:tc>
      </w:tr>
      <w:tr>
        <w:trPr>
          <w:trHeight w:val="187"/>
        </w:trPr>
        <w:tc>
          <w:tcPr>
            <w:tcW w:w="1560" w:type="dxa"/>
            <w:vAlign w:val="bottom"/>
            <w:tcBorders>
              <w:bottom w:val="single" w:sz="8" w:color="F0533D"/>
            </w:tcBorders>
          </w:tcPr>
          <w:p>
            <w:pPr>
              <w:ind w:left="160"/>
              <w:spacing w:after="0"/>
              <w:rPr>
                <w:sz w:val="20"/>
                <w:szCs w:val="20"/>
                <w:color w:val="auto"/>
              </w:rPr>
            </w:pPr>
            <w:r>
              <w:rPr>
                <w:rFonts w:ascii="Arial" w:cs="Arial" w:eastAsia="Arial" w:hAnsi="Arial"/>
                <w:sz w:val="14"/>
                <w:szCs w:val="14"/>
                <w:color w:val="auto"/>
              </w:rPr>
              <w:t>Non-PEO NEOs</w:t>
            </w:r>
          </w:p>
        </w:tc>
        <w:tc>
          <w:tcPr>
            <w:tcW w:w="1480" w:type="dxa"/>
            <w:vAlign w:val="bottom"/>
            <w:tcBorders>
              <w:bottom w:val="single" w:sz="8" w:color="F0533D"/>
            </w:tcBorders>
          </w:tcPr>
          <w:p>
            <w:pPr>
              <w:jc w:val="right"/>
              <w:ind w:right="308"/>
              <w:spacing w:after="0"/>
              <w:rPr>
                <w:sz w:val="20"/>
                <w:szCs w:val="20"/>
                <w:color w:val="auto"/>
              </w:rPr>
            </w:pPr>
            <w:r>
              <w:rPr>
                <w:rFonts w:ascii="Arial" w:cs="Arial" w:eastAsia="Arial" w:hAnsi="Arial"/>
                <w:sz w:val="14"/>
                <w:szCs w:val="14"/>
                <w:color w:val="auto"/>
              </w:rPr>
              <w:t>6,500,866</w:t>
            </w:r>
          </w:p>
        </w:tc>
        <w:tc>
          <w:tcPr>
            <w:tcW w:w="2020" w:type="dxa"/>
            <w:vAlign w:val="bottom"/>
            <w:tcBorders>
              <w:bottom w:val="single" w:sz="8" w:color="F0533D"/>
            </w:tcBorders>
          </w:tcPr>
          <w:p>
            <w:pPr>
              <w:jc w:val="right"/>
              <w:ind w:right="568"/>
              <w:spacing w:after="0"/>
              <w:rPr>
                <w:sz w:val="20"/>
                <w:szCs w:val="20"/>
                <w:color w:val="auto"/>
              </w:rPr>
            </w:pPr>
            <w:r>
              <w:rPr>
                <w:rFonts w:ascii="Arial" w:cs="Arial" w:eastAsia="Arial" w:hAnsi="Arial"/>
                <w:sz w:val="14"/>
                <w:szCs w:val="14"/>
                <w:color w:val="auto"/>
              </w:rPr>
              <w:t>4,631,481</w:t>
            </w:r>
          </w:p>
        </w:tc>
        <w:tc>
          <w:tcPr>
            <w:tcW w:w="2140" w:type="dxa"/>
            <w:vAlign w:val="bottom"/>
            <w:tcBorders>
              <w:bottom w:val="single" w:sz="8" w:color="F0533D"/>
            </w:tcBorders>
          </w:tcPr>
          <w:p>
            <w:pPr>
              <w:jc w:val="right"/>
              <w:ind w:right="508"/>
              <w:spacing w:after="0"/>
              <w:rPr>
                <w:sz w:val="20"/>
                <w:szCs w:val="20"/>
                <w:color w:val="auto"/>
              </w:rPr>
            </w:pPr>
            <w:r>
              <w:rPr>
                <w:rFonts w:ascii="Arial" w:cs="Arial" w:eastAsia="Arial" w:hAnsi="Arial"/>
                <w:sz w:val="14"/>
                <w:szCs w:val="14"/>
                <w:color w:val="auto"/>
              </w:rPr>
              <w:t>(4,729,764)</w:t>
            </w:r>
          </w:p>
        </w:tc>
        <w:tc>
          <w:tcPr>
            <w:tcW w:w="1240" w:type="dxa"/>
            <w:vAlign w:val="bottom"/>
            <w:tcBorders>
              <w:bottom w:val="single" w:sz="8" w:color="F0533D"/>
            </w:tcBorders>
          </w:tcPr>
          <w:p>
            <w:pPr>
              <w:jc w:val="right"/>
              <w:ind w:right="48"/>
              <w:spacing w:after="0"/>
              <w:rPr>
                <w:sz w:val="20"/>
                <w:szCs w:val="20"/>
                <w:color w:val="auto"/>
              </w:rPr>
            </w:pPr>
            <w:r>
              <w:rPr>
                <w:rFonts w:ascii="Arial" w:cs="Arial" w:eastAsia="Arial" w:hAnsi="Arial"/>
                <w:sz w:val="14"/>
                <w:szCs w:val="14"/>
                <w:color w:val="auto"/>
              </w:rPr>
              <w:t>(2,860,379)</w:t>
            </w:r>
          </w:p>
        </w:tc>
      </w:tr>
    </w:tbl>
    <w:p>
      <w:pPr>
        <w:spacing w:after="0" w:line="307" w:lineRule="exact"/>
        <w:rPr>
          <w:sz w:val="20"/>
          <w:szCs w:val="20"/>
          <w:color w:val="auto"/>
        </w:rPr>
      </w:pPr>
    </w:p>
    <w:p>
      <w:pPr>
        <w:ind w:left="900" w:right="299" w:hanging="356"/>
        <w:spacing w:after="0" w:line="199" w:lineRule="auto"/>
        <w:tabs>
          <w:tab w:leader="none" w:pos="900" w:val="left"/>
        </w:tabs>
        <w:numPr>
          <w:ilvl w:val="0"/>
          <w:numId w:val="99"/>
        </w:numPr>
        <w:rPr>
          <w:rFonts w:ascii="Arial" w:cs="Arial" w:eastAsia="Arial" w:hAnsi="Arial"/>
          <w:sz w:val="23"/>
          <w:szCs w:val="23"/>
          <w:color w:val="auto"/>
          <w:vertAlign w:val="superscript"/>
        </w:rPr>
      </w:pPr>
      <w:r>
        <w:rPr>
          <w:rFonts w:ascii="Arial" w:cs="Arial" w:eastAsia="Arial" w:hAnsi="Arial"/>
          <w:sz w:val="15"/>
          <w:szCs w:val="15"/>
          <w:color w:val="auto"/>
        </w:rPr>
        <w:t>Reflects the total dollar amount reported in the SCT for the PEO and the average dollar amount reported in the SCT for the non-PEO NEOs.</w:t>
      </w:r>
    </w:p>
    <w:p>
      <w:pPr>
        <w:spacing w:after="0" w:line="69" w:lineRule="exact"/>
        <w:rPr>
          <w:rFonts w:ascii="Arial" w:cs="Arial" w:eastAsia="Arial" w:hAnsi="Arial"/>
          <w:sz w:val="23"/>
          <w:szCs w:val="23"/>
          <w:color w:val="auto"/>
          <w:vertAlign w:val="superscript"/>
        </w:rPr>
      </w:pPr>
    </w:p>
    <w:p>
      <w:pPr>
        <w:ind w:left="900" w:right="199" w:hanging="356"/>
        <w:spacing w:after="0" w:line="210" w:lineRule="auto"/>
        <w:tabs>
          <w:tab w:leader="none" w:pos="900" w:val="left"/>
        </w:tabs>
        <w:numPr>
          <w:ilvl w:val="0"/>
          <w:numId w:val="99"/>
        </w:numPr>
        <w:rPr>
          <w:rFonts w:ascii="Arial" w:cs="Arial" w:eastAsia="Arial" w:hAnsi="Arial"/>
          <w:sz w:val="23"/>
          <w:szCs w:val="23"/>
          <w:color w:val="auto"/>
          <w:vertAlign w:val="superscript"/>
        </w:rPr>
      </w:pPr>
      <w:r>
        <w:rPr>
          <w:rFonts w:ascii="Arial" w:cs="Arial" w:eastAsia="Arial" w:hAnsi="Arial"/>
          <w:sz w:val="15"/>
          <w:szCs w:val="15"/>
          <w:color w:val="auto"/>
        </w:rPr>
        <w:t>Pursuant to Item 402(v)(2)(iii)(C)(1), this deduction reflects the subtraction of the grant date fair values of equity awards granted in the fiscal year, as reported in the SCT. The following amounts reflect the total dollar amount reported in the “Stock Awards” column in the SCT for the PEO and the average dollar amount reported in the SCT for the non-PEO NEOs:</w:t>
      </w:r>
    </w:p>
    <w:p>
      <w:pPr>
        <w:spacing w:after="0" w:line="134"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2200" w:type="dxa"/>
            <w:vAlign w:val="bottom"/>
          </w:tcPr>
          <w:p>
            <w:pPr>
              <w:jc w:val="right"/>
              <w:ind w:right="528"/>
              <w:spacing w:after="0"/>
              <w:rPr>
                <w:sz w:val="20"/>
                <w:szCs w:val="20"/>
                <w:color w:val="auto"/>
              </w:rPr>
            </w:pPr>
            <w:r>
              <w:rPr>
                <w:rFonts w:ascii="Arial" w:cs="Arial" w:eastAsia="Arial" w:hAnsi="Arial"/>
                <w:sz w:val="14"/>
                <w:szCs w:val="14"/>
                <w:b w:val="1"/>
                <w:bCs w:val="1"/>
                <w:color w:val="F0533D"/>
              </w:rPr>
              <w:t>Stock Awards</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F0533D"/>
              </w:rPr>
              <w:t>Option Awards</w:t>
            </w:r>
          </w:p>
        </w:tc>
        <w:tc>
          <w:tcPr>
            <w:tcW w:w="1900" w:type="dxa"/>
            <w:vAlign w:val="bottom"/>
          </w:tcPr>
          <w:p>
            <w:pPr>
              <w:jc w:val="right"/>
              <w:ind w:right="88"/>
              <w:spacing w:after="0"/>
              <w:rPr>
                <w:sz w:val="20"/>
                <w:szCs w:val="20"/>
                <w:color w:val="auto"/>
              </w:rPr>
            </w:pPr>
            <w:r>
              <w:rPr>
                <w:rFonts w:ascii="Arial" w:cs="Arial" w:eastAsia="Arial" w:hAnsi="Arial"/>
                <w:sz w:val="14"/>
                <w:szCs w:val="14"/>
                <w:b w:val="1"/>
                <w:bCs w:val="1"/>
                <w:color w:val="F0533D"/>
              </w:rPr>
              <w:t>Total Deductions</w:t>
            </w:r>
          </w:p>
        </w:tc>
      </w:tr>
      <w:tr>
        <w:trPr>
          <w:trHeight w:val="205"/>
        </w:trPr>
        <w:tc>
          <w:tcPr>
            <w:tcW w:w="1840" w:type="dxa"/>
            <w:vAlign w:val="bottom"/>
            <w:tcBorders>
              <w:bottom w:val="single" w:sz="8" w:color="F0533D"/>
            </w:tcBorders>
          </w:tcPr>
          <w:p>
            <w:pPr>
              <w:spacing w:after="0"/>
              <w:rPr>
                <w:sz w:val="17"/>
                <w:szCs w:val="17"/>
                <w:color w:val="auto"/>
              </w:rPr>
            </w:pPr>
          </w:p>
        </w:tc>
        <w:tc>
          <w:tcPr>
            <w:tcW w:w="2200" w:type="dxa"/>
            <w:vAlign w:val="bottom"/>
            <w:tcBorders>
              <w:bottom w:val="single" w:sz="8" w:color="F0533D"/>
            </w:tcBorders>
          </w:tcPr>
          <w:p>
            <w:pPr>
              <w:jc w:val="right"/>
              <w:ind w:right="888"/>
              <w:spacing w:after="0"/>
              <w:rPr>
                <w:sz w:val="20"/>
                <w:szCs w:val="20"/>
                <w:color w:val="auto"/>
              </w:rPr>
            </w:pPr>
            <w:r>
              <w:rPr>
                <w:rFonts w:ascii="Arial" w:cs="Arial" w:eastAsia="Arial" w:hAnsi="Arial"/>
                <w:sz w:val="14"/>
                <w:szCs w:val="14"/>
                <w:b w:val="1"/>
                <w:bCs w:val="1"/>
                <w:color w:val="F0533D"/>
              </w:rPr>
              <w:t>($)</w:t>
            </w:r>
          </w:p>
        </w:tc>
        <w:tc>
          <w:tcPr>
            <w:tcW w:w="22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1900" w:type="dxa"/>
            <w:vAlign w:val="bottom"/>
            <w:tcBorders>
              <w:bottom w:val="single" w:sz="8" w:color="F0533D"/>
            </w:tcBorders>
          </w:tcPr>
          <w:p>
            <w:pPr>
              <w:jc w:val="right"/>
              <w:ind w:right="548"/>
              <w:spacing w:after="0"/>
              <w:rPr>
                <w:sz w:val="20"/>
                <w:szCs w:val="20"/>
                <w:color w:val="auto"/>
              </w:rPr>
            </w:pPr>
            <w:r>
              <w:rPr>
                <w:rFonts w:ascii="Arial" w:cs="Arial" w:eastAsia="Arial" w:hAnsi="Arial"/>
                <w:sz w:val="14"/>
                <w:szCs w:val="14"/>
                <w:b w:val="1"/>
                <w:bCs w:val="1"/>
                <w:color w:val="F0533D"/>
              </w:rPr>
              <w:t>($)</w:t>
            </w:r>
          </w:p>
        </w:tc>
      </w:tr>
      <w:tr>
        <w:trPr>
          <w:trHeight w:val="212"/>
        </w:trPr>
        <w:tc>
          <w:tcPr>
            <w:tcW w:w="1840" w:type="dxa"/>
            <w:vAlign w:val="bottom"/>
            <w:tcBorders>
              <w:bottom w:val="single" w:sz="8" w:color="939598"/>
            </w:tcBorders>
          </w:tcPr>
          <w:p>
            <w:pPr>
              <w:ind w:left="160"/>
              <w:spacing w:after="0"/>
              <w:rPr>
                <w:sz w:val="20"/>
                <w:szCs w:val="20"/>
                <w:color w:val="auto"/>
              </w:rPr>
            </w:pPr>
            <w:r>
              <w:rPr>
                <w:rFonts w:ascii="Arial" w:cs="Arial" w:eastAsia="Arial" w:hAnsi="Arial"/>
                <w:sz w:val="14"/>
                <w:szCs w:val="14"/>
                <w:color w:val="auto"/>
              </w:rPr>
              <w:t>PEO</w:t>
            </w:r>
          </w:p>
        </w:tc>
        <w:tc>
          <w:tcPr>
            <w:tcW w:w="2200" w:type="dxa"/>
            <w:vAlign w:val="bottom"/>
            <w:tcBorders>
              <w:bottom w:val="single" w:sz="8" w:color="939598"/>
            </w:tcBorders>
          </w:tcPr>
          <w:p>
            <w:pPr>
              <w:jc w:val="right"/>
              <w:ind w:right="648"/>
              <w:spacing w:after="0"/>
              <w:rPr>
                <w:sz w:val="20"/>
                <w:szCs w:val="20"/>
                <w:color w:val="auto"/>
              </w:rPr>
            </w:pPr>
            <w:r>
              <w:rPr>
                <w:rFonts w:ascii="Arial" w:cs="Arial" w:eastAsia="Arial" w:hAnsi="Arial"/>
                <w:sz w:val="14"/>
                <w:szCs w:val="14"/>
                <w:color w:val="auto"/>
              </w:rPr>
              <w:t>18,000,025</w:t>
            </w:r>
          </w:p>
        </w:tc>
        <w:tc>
          <w:tcPr>
            <w:tcW w:w="220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9"/>
              </w:rPr>
              <w:t>—</w:t>
            </w:r>
          </w:p>
        </w:tc>
        <w:tc>
          <w:tcPr>
            <w:tcW w:w="1900" w:type="dxa"/>
            <w:vAlign w:val="bottom"/>
            <w:tcBorders>
              <w:bottom w:val="single" w:sz="8" w:color="939598"/>
            </w:tcBorders>
          </w:tcPr>
          <w:p>
            <w:pPr>
              <w:jc w:val="right"/>
              <w:ind w:right="308"/>
              <w:spacing w:after="0"/>
              <w:rPr>
                <w:sz w:val="20"/>
                <w:szCs w:val="20"/>
                <w:color w:val="auto"/>
              </w:rPr>
            </w:pPr>
            <w:r>
              <w:rPr>
                <w:rFonts w:ascii="Arial" w:cs="Arial" w:eastAsia="Arial" w:hAnsi="Arial"/>
                <w:sz w:val="14"/>
                <w:szCs w:val="14"/>
                <w:color w:val="auto"/>
              </w:rPr>
              <w:t>18,000,025</w:t>
            </w:r>
          </w:p>
        </w:tc>
      </w:tr>
      <w:tr>
        <w:trPr>
          <w:trHeight w:val="187"/>
        </w:trPr>
        <w:tc>
          <w:tcPr>
            <w:tcW w:w="1840" w:type="dxa"/>
            <w:vAlign w:val="bottom"/>
            <w:tcBorders>
              <w:bottom w:val="single" w:sz="8" w:color="F0533D"/>
            </w:tcBorders>
          </w:tcPr>
          <w:p>
            <w:pPr>
              <w:ind w:left="160"/>
              <w:spacing w:after="0"/>
              <w:rPr>
                <w:sz w:val="20"/>
                <w:szCs w:val="20"/>
                <w:color w:val="auto"/>
              </w:rPr>
            </w:pPr>
            <w:r>
              <w:rPr>
                <w:rFonts w:ascii="Arial" w:cs="Arial" w:eastAsia="Arial" w:hAnsi="Arial"/>
                <w:sz w:val="14"/>
                <w:szCs w:val="14"/>
                <w:color w:val="auto"/>
              </w:rPr>
              <w:t>Non-PEO NEOs</w:t>
            </w:r>
          </w:p>
        </w:tc>
        <w:tc>
          <w:tcPr>
            <w:tcW w:w="2200" w:type="dxa"/>
            <w:vAlign w:val="bottom"/>
            <w:tcBorders>
              <w:bottom w:val="single" w:sz="8" w:color="F0533D"/>
            </w:tcBorders>
          </w:tcPr>
          <w:p>
            <w:pPr>
              <w:jc w:val="right"/>
              <w:ind w:right="648"/>
              <w:spacing w:after="0"/>
              <w:rPr>
                <w:sz w:val="20"/>
                <w:szCs w:val="20"/>
                <w:color w:val="auto"/>
              </w:rPr>
            </w:pPr>
            <w:r>
              <w:rPr>
                <w:rFonts w:ascii="Arial" w:cs="Arial" w:eastAsia="Arial" w:hAnsi="Arial"/>
                <w:sz w:val="14"/>
                <w:szCs w:val="14"/>
                <w:color w:val="auto"/>
              </w:rPr>
              <w:t>4,631,481</w:t>
            </w:r>
          </w:p>
        </w:tc>
        <w:tc>
          <w:tcPr>
            <w:tcW w:w="22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color w:val="auto"/>
                <w:w w:val="99"/>
              </w:rPr>
              <w:t>—</w:t>
            </w:r>
          </w:p>
        </w:tc>
        <w:tc>
          <w:tcPr>
            <w:tcW w:w="1900" w:type="dxa"/>
            <w:vAlign w:val="bottom"/>
            <w:tcBorders>
              <w:bottom w:val="single" w:sz="8" w:color="F0533D"/>
            </w:tcBorders>
          </w:tcPr>
          <w:p>
            <w:pPr>
              <w:jc w:val="right"/>
              <w:ind w:right="308"/>
              <w:spacing w:after="0"/>
              <w:rPr>
                <w:sz w:val="20"/>
                <w:szCs w:val="20"/>
                <w:color w:val="auto"/>
              </w:rPr>
            </w:pPr>
            <w:r>
              <w:rPr>
                <w:rFonts w:ascii="Arial" w:cs="Arial" w:eastAsia="Arial" w:hAnsi="Arial"/>
                <w:sz w:val="14"/>
                <w:szCs w:val="14"/>
                <w:color w:val="auto"/>
              </w:rPr>
              <w:t>4,631,481</w:t>
            </w:r>
          </w:p>
        </w:tc>
      </w:tr>
    </w:tbl>
    <w:p>
      <w:pPr>
        <w:spacing w:after="0" w:line="307" w:lineRule="exact"/>
        <w:rPr>
          <w:sz w:val="20"/>
          <w:szCs w:val="20"/>
          <w:color w:val="auto"/>
        </w:rPr>
      </w:pPr>
    </w:p>
    <w:p>
      <w:pPr>
        <w:ind w:left="900" w:right="239" w:hanging="356"/>
        <w:spacing w:after="0" w:line="206" w:lineRule="auto"/>
        <w:tabs>
          <w:tab w:leader="none" w:pos="900" w:val="left"/>
        </w:tabs>
        <w:numPr>
          <w:ilvl w:val="0"/>
          <w:numId w:val="100"/>
        </w:numPr>
        <w:rPr>
          <w:rFonts w:ascii="Arial" w:cs="Arial" w:eastAsia="Arial" w:hAnsi="Arial"/>
          <w:sz w:val="23"/>
          <w:szCs w:val="23"/>
          <w:color w:val="auto"/>
          <w:vertAlign w:val="superscript"/>
        </w:rPr>
      </w:pPr>
      <w:r>
        <w:rPr>
          <w:rFonts w:ascii="Arial" w:cs="Arial" w:eastAsia="Arial" w:hAnsi="Arial"/>
          <w:sz w:val="15"/>
          <w:szCs w:val="15"/>
          <w:color w:val="auto"/>
        </w:rPr>
        <w:t>Pursuant to Item 402(v)(2)(iii)(C), the equity award adjustments include the addition (or subtraction, as applicable) of the following: (i) the fiscal 2026 year-end fair value of any equity awards granted during the fiscal year that are outstanding and unvested as of the end of the fiscal year; (ii) the amount of change as of the end of fiscal 2026 (from</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84" w:name="page85"/>
    <w:bookmarkEnd w:id="8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900" w:right="99"/>
        <w:spacing w:after="0" w:line="230" w:lineRule="auto"/>
        <w:rPr>
          <w:sz w:val="20"/>
          <w:szCs w:val="20"/>
          <w:color w:val="auto"/>
        </w:rPr>
      </w:pPr>
      <w:r>
        <w:rPr>
          <w:rFonts w:ascii="Arial" w:cs="Arial" w:eastAsia="Arial" w:hAnsi="Arial"/>
          <w:sz w:val="15"/>
          <w:szCs w:val="15"/>
          <w:color w:val="auto"/>
        </w:rPr>
        <w:t>the end of the prior fiscal year) in fair value of any awards granted in prior fiscal years or periods that are outstanding and unvested as of the end of fiscal 2026; (iii) for awards that are granted and vest in same applicable fiscal year, if any, the fair value as of the vesting date; (iv) for awards granted in prior fiscal years or periods that vested during fiscal 2026, the amount equal to the change as of the vesting date (from the end of the prior fiscal year) in fair value; (v) for awards granted in prior fiscal years that are determined to fail to meet the applicable vesting conditions during fiscal 2026, if any, a deduction for the amount equal to the fair value at the end of the prior fiscal year; and (vi) the dollar value of any dividends or other earnings paid on stock or option awards in fiscal 2026 prior to the vesting date that are not otherwise reflected in the fair value of such award or included in any other component of total compensation for the applicable fiscal year or period. The valuation assumptions used to calculate fair values did not materially differ from those disclosed at the time of grant. The amounts deducted or added in calculating the equity award adjustments are as follows:</w:t>
      </w:r>
    </w:p>
    <w:p>
      <w:pPr>
        <w:spacing w:after="0" w:line="5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Change in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Vesting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Change in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Prior Year-</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w w:val="99"/>
              </w:rPr>
              <w:t>Value of</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Date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Fair Value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End Fair</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Prior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Fair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of Prior</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Value of</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Fair 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w w:val="99"/>
              </w:rPr>
              <w:t>Years’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Value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Years’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Prior Year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rPr>
              <w:t>Dollar</w:t>
            </w:r>
          </w:p>
        </w:tc>
        <w:tc>
          <w:tcPr>
            <w:tcW w:w="148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of Current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Awards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Awards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Awards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rPr>
              <w:t>Value of</w:t>
            </w:r>
          </w:p>
        </w:tc>
        <w:tc>
          <w:tcPr>
            <w:tcW w:w="1480" w:type="dxa"/>
            <w:vAlign w:val="bottom"/>
          </w:tcPr>
          <w:p>
            <w:pPr>
              <w:spacing w:after="0"/>
              <w:rPr>
                <w:sz w:val="14"/>
                <w:szCs w:val="14"/>
                <w:color w:val="auto"/>
              </w:rPr>
            </w:pPr>
          </w:p>
        </w:tc>
      </w:tr>
      <w:tr>
        <w:trPr>
          <w:trHeight w:val="162"/>
        </w:trPr>
        <w:tc>
          <w:tcPr>
            <w:tcW w:w="1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Year Equity</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Unvested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Current</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that</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that Failed</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rPr>
              <w:t>Dividends</w:t>
            </w:r>
          </w:p>
        </w:tc>
        <w:tc>
          <w:tcPr>
            <w:tcW w:w="1480" w:type="dxa"/>
            <w:vAlign w:val="bottom"/>
          </w:tcPr>
          <w:p>
            <w:pPr>
              <w:jc w:val="center"/>
              <w:ind w:right="6"/>
              <w:spacing w:after="0"/>
              <w:rPr>
                <w:sz w:val="20"/>
                <w:szCs w:val="20"/>
                <w:color w:val="auto"/>
              </w:rPr>
            </w:pPr>
            <w:r>
              <w:rPr>
                <w:rFonts w:ascii="Arial" w:cs="Arial" w:eastAsia="Arial" w:hAnsi="Arial"/>
                <w:sz w:val="14"/>
                <w:szCs w:val="14"/>
                <w:b w:val="1"/>
                <w:bCs w:val="1"/>
                <w:color w:val="F0533D"/>
              </w:rPr>
              <w:t>Equity</w:t>
            </w:r>
          </w:p>
        </w:tc>
      </w:tr>
      <w:tr>
        <w:trPr>
          <w:trHeight w:val="162"/>
        </w:trPr>
        <w:tc>
          <w:tcPr>
            <w:tcW w:w="1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Awards at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at Fiscal</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w w:val="98"/>
              </w:rPr>
              <w:t>Year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Vested</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to Vest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rPr>
              <w:t>Paid</w:t>
            </w:r>
          </w:p>
        </w:tc>
        <w:tc>
          <w:tcPr>
            <w:tcW w:w="1480" w:type="dxa"/>
            <w:vAlign w:val="bottom"/>
          </w:tcPr>
          <w:p>
            <w:pPr>
              <w:jc w:val="center"/>
              <w:ind w:right="26"/>
              <w:spacing w:after="0"/>
              <w:rPr>
                <w:sz w:val="20"/>
                <w:szCs w:val="20"/>
                <w:color w:val="auto"/>
              </w:rPr>
            </w:pPr>
            <w:r>
              <w:rPr>
                <w:rFonts w:ascii="Arial" w:cs="Arial" w:eastAsia="Arial" w:hAnsi="Arial"/>
                <w:sz w:val="14"/>
                <w:szCs w:val="14"/>
                <w:b w:val="1"/>
                <w:bCs w:val="1"/>
                <w:color w:val="F0533D"/>
              </w:rPr>
              <w:t>Value</w:t>
            </w:r>
          </w:p>
        </w:tc>
      </w:tr>
      <w:tr>
        <w:trPr>
          <w:trHeight w:val="162"/>
        </w:trPr>
        <w:tc>
          <w:tcPr>
            <w:tcW w:w="1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Fiscal 2026</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2026 Year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Equity</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during</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During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rPr>
              <w:t>During</w:t>
            </w:r>
          </w:p>
        </w:tc>
        <w:tc>
          <w:tcPr>
            <w:tcW w:w="1480" w:type="dxa"/>
            <w:vAlign w:val="bottom"/>
          </w:tcPr>
          <w:p>
            <w:pPr>
              <w:jc w:val="center"/>
              <w:ind w:right="6"/>
              <w:spacing w:after="0"/>
              <w:rPr>
                <w:sz w:val="20"/>
                <w:szCs w:val="20"/>
                <w:color w:val="auto"/>
              </w:rPr>
            </w:pPr>
            <w:r>
              <w:rPr>
                <w:rFonts w:ascii="Arial" w:cs="Arial" w:eastAsia="Arial" w:hAnsi="Arial"/>
                <w:sz w:val="14"/>
                <w:szCs w:val="14"/>
                <w:b w:val="1"/>
                <w:bCs w:val="1"/>
                <w:color w:val="F0533D"/>
              </w:rPr>
              <w:t>Included</w:t>
            </w:r>
          </w:p>
        </w:tc>
      </w:tr>
      <w:tr>
        <w:trPr>
          <w:trHeight w:val="162"/>
        </w:trPr>
        <w:tc>
          <w:tcPr>
            <w:tcW w:w="13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Year End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w w:val="98"/>
              </w:rPr>
              <w:t>End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F0533D"/>
              </w:rPr>
              <w:t>Awards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F0533D"/>
              </w:rPr>
              <w:t>Fiscal 2026</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F0533D"/>
              </w:rPr>
              <w:t>Fiscal 2026</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F0533D"/>
              </w:rPr>
              <w:t>Fiscal 2026</w:t>
            </w:r>
          </w:p>
        </w:tc>
        <w:tc>
          <w:tcPr>
            <w:tcW w:w="1480" w:type="dxa"/>
            <w:vAlign w:val="bottom"/>
          </w:tcPr>
          <w:p>
            <w:pPr>
              <w:jc w:val="center"/>
              <w:ind w:right="6"/>
              <w:spacing w:after="0"/>
              <w:rPr>
                <w:sz w:val="20"/>
                <w:szCs w:val="20"/>
                <w:color w:val="auto"/>
              </w:rPr>
            </w:pPr>
            <w:r>
              <w:rPr>
                <w:rFonts w:ascii="Arial" w:cs="Arial" w:eastAsia="Arial" w:hAnsi="Arial"/>
                <w:sz w:val="14"/>
                <w:szCs w:val="14"/>
                <w:b w:val="1"/>
                <w:bCs w:val="1"/>
                <w:color w:val="F0533D"/>
              </w:rPr>
              <w:t>in CAP</w:t>
            </w:r>
          </w:p>
        </w:tc>
      </w:tr>
      <w:tr>
        <w:trPr>
          <w:trHeight w:val="185"/>
        </w:trPr>
        <w:tc>
          <w:tcPr>
            <w:tcW w:w="1320" w:type="dxa"/>
            <w:vAlign w:val="bottom"/>
            <w:tcBorders>
              <w:bottom w:val="single" w:sz="8" w:color="F0533D"/>
            </w:tcBorders>
          </w:tcPr>
          <w:p>
            <w:pPr>
              <w:spacing w:after="0"/>
              <w:rPr>
                <w:sz w:val="16"/>
                <w:szCs w:val="16"/>
                <w:color w:val="auto"/>
              </w:rPr>
            </w:pPr>
          </w:p>
        </w:tc>
        <w:tc>
          <w:tcPr>
            <w:tcW w:w="9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10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66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9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w w:val="93"/>
              </w:rPr>
              <w:t>($)</w:t>
            </w:r>
          </w:p>
        </w:tc>
        <w:tc>
          <w:tcPr>
            <w:tcW w:w="94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9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14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r>
      <w:tr>
        <w:trPr>
          <w:trHeight w:val="138"/>
        </w:trPr>
        <w:tc>
          <w:tcPr>
            <w:tcW w:w="1320" w:type="dxa"/>
            <w:vAlign w:val="bottom"/>
          </w:tcPr>
          <w:p>
            <w:pPr>
              <w:ind w:left="140"/>
              <w:spacing w:after="0" w:line="138" w:lineRule="exact"/>
              <w:rPr>
                <w:sz w:val="20"/>
                <w:szCs w:val="20"/>
                <w:color w:val="auto"/>
              </w:rPr>
            </w:pPr>
            <w:r>
              <w:rPr>
                <w:rFonts w:ascii="Arial" w:cs="Arial" w:eastAsia="Arial" w:hAnsi="Arial"/>
                <w:sz w:val="15"/>
                <w:szCs w:val="15"/>
                <w:color w:val="auto"/>
              </w:rPr>
              <w:t> </w:t>
            </w:r>
          </w:p>
        </w:tc>
        <w:tc>
          <w:tcPr>
            <w:tcW w:w="920" w:type="dxa"/>
            <w:vAlign w:val="bottom"/>
          </w:tcPr>
          <w:p>
            <w:pPr>
              <w:jc w:val="center"/>
              <w:spacing w:after="0" w:line="138" w:lineRule="exact"/>
              <w:rPr>
                <w:sz w:val="20"/>
                <w:szCs w:val="20"/>
                <w:color w:val="auto"/>
              </w:rPr>
            </w:pPr>
            <w:r>
              <w:rPr>
                <w:rFonts w:ascii="Arial" w:cs="Arial" w:eastAsia="Arial" w:hAnsi="Arial"/>
                <w:sz w:val="15"/>
                <w:szCs w:val="15"/>
                <w:color w:val="auto"/>
              </w:rPr>
              <w:t>(i)</w:t>
            </w:r>
          </w:p>
        </w:tc>
        <w:tc>
          <w:tcPr>
            <w:tcW w:w="1000" w:type="dxa"/>
            <w:vAlign w:val="bottom"/>
          </w:tcPr>
          <w:p>
            <w:pPr>
              <w:jc w:val="center"/>
              <w:spacing w:after="0" w:line="138" w:lineRule="exact"/>
              <w:rPr>
                <w:sz w:val="20"/>
                <w:szCs w:val="20"/>
                <w:color w:val="auto"/>
              </w:rPr>
            </w:pPr>
            <w:r>
              <w:rPr>
                <w:rFonts w:ascii="Arial" w:cs="Arial" w:eastAsia="Arial" w:hAnsi="Arial"/>
                <w:sz w:val="15"/>
                <w:szCs w:val="15"/>
                <w:color w:val="auto"/>
              </w:rPr>
              <w:t>(ii)</w:t>
            </w:r>
          </w:p>
        </w:tc>
        <w:tc>
          <w:tcPr>
            <w:tcW w:w="660" w:type="dxa"/>
            <w:vAlign w:val="bottom"/>
          </w:tcPr>
          <w:p>
            <w:pPr>
              <w:jc w:val="center"/>
              <w:spacing w:after="0" w:line="138" w:lineRule="exact"/>
              <w:rPr>
                <w:sz w:val="20"/>
                <w:szCs w:val="20"/>
                <w:color w:val="auto"/>
              </w:rPr>
            </w:pPr>
            <w:r>
              <w:rPr>
                <w:rFonts w:ascii="Arial" w:cs="Arial" w:eastAsia="Arial" w:hAnsi="Arial"/>
                <w:sz w:val="15"/>
                <w:szCs w:val="15"/>
                <w:color w:val="auto"/>
                <w:w w:val="99"/>
              </w:rPr>
              <w:t>(iii)</w:t>
            </w:r>
          </w:p>
        </w:tc>
        <w:tc>
          <w:tcPr>
            <w:tcW w:w="920" w:type="dxa"/>
            <w:vAlign w:val="bottom"/>
          </w:tcPr>
          <w:p>
            <w:pPr>
              <w:jc w:val="center"/>
              <w:spacing w:after="0" w:line="138" w:lineRule="exact"/>
              <w:rPr>
                <w:sz w:val="20"/>
                <w:szCs w:val="20"/>
                <w:color w:val="auto"/>
              </w:rPr>
            </w:pPr>
            <w:r>
              <w:rPr>
                <w:rFonts w:ascii="Arial" w:cs="Arial" w:eastAsia="Arial" w:hAnsi="Arial"/>
                <w:sz w:val="15"/>
                <w:szCs w:val="15"/>
                <w:color w:val="auto"/>
                <w:w w:val="95"/>
              </w:rPr>
              <w:t>(iv)</w:t>
            </w:r>
          </w:p>
        </w:tc>
        <w:tc>
          <w:tcPr>
            <w:tcW w:w="940" w:type="dxa"/>
            <w:vAlign w:val="bottom"/>
          </w:tcPr>
          <w:p>
            <w:pPr>
              <w:jc w:val="center"/>
              <w:spacing w:after="0" w:line="138" w:lineRule="exact"/>
              <w:rPr>
                <w:sz w:val="20"/>
                <w:szCs w:val="20"/>
                <w:color w:val="auto"/>
              </w:rPr>
            </w:pPr>
            <w:r>
              <w:rPr>
                <w:rFonts w:ascii="Arial" w:cs="Arial" w:eastAsia="Arial" w:hAnsi="Arial"/>
                <w:sz w:val="15"/>
                <w:szCs w:val="15"/>
                <w:color w:val="auto"/>
              </w:rPr>
              <w:t>(v)</w:t>
            </w:r>
          </w:p>
        </w:tc>
        <w:tc>
          <w:tcPr>
            <w:tcW w:w="900" w:type="dxa"/>
            <w:vAlign w:val="bottom"/>
          </w:tcPr>
          <w:p>
            <w:pPr>
              <w:jc w:val="center"/>
              <w:spacing w:after="0" w:line="138" w:lineRule="exact"/>
              <w:rPr>
                <w:sz w:val="20"/>
                <w:szCs w:val="20"/>
                <w:color w:val="auto"/>
              </w:rPr>
            </w:pPr>
            <w:r>
              <w:rPr>
                <w:rFonts w:ascii="Arial" w:cs="Arial" w:eastAsia="Arial" w:hAnsi="Arial"/>
                <w:sz w:val="15"/>
                <w:szCs w:val="15"/>
                <w:color w:val="auto"/>
              </w:rPr>
              <w:t>(vi)</w:t>
            </w:r>
          </w:p>
        </w:tc>
        <w:tc>
          <w:tcPr>
            <w:tcW w:w="1480" w:type="dxa"/>
            <w:vAlign w:val="bottom"/>
          </w:tcPr>
          <w:p>
            <w:pPr>
              <w:jc w:val="center"/>
              <w:ind w:right="6"/>
              <w:spacing w:after="0" w:line="138" w:lineRule="exact"/>
              <w:rPr>
                <w:sz w:val="20"/>
                <w:szCs w:val="20"/>
                <w:color w:val="auto"/>
              </w:rPr>
            </w:pPr>
            <w:r>
              <w:rPr>
                <w:rFonts w:ascii="Arial" w:cs="Arial" w:eastAsia="Arial" w:hAnsi="Arial"/>
                <w:sz w:val="15"/>
                <w:szCs w:val="15"/>
                <w:color w:val="auto"/>
              </w:rPr>
              <w:t>Value = (i) + (ii) +</w:t>
            </w:r>
          </w:p>
        </w:tc>
      </w:tr>
      <w:tr>
        <w:trPr>
          <w:trHeight w:val="179"/>
        </w:trPr>
        <w:tc>
          <w:tcPr>
            <w:tcW w:w="132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spacing w:after="0"/>
              <w:rPr>
                <w:sz w:val="15"/>
                <w:szCs w:val="15"/>
                <w:color w:val="auto"/>
              </w:rPr>
            </w:pPr>
          </w:p>
        </w:tc>
        <w:tc>
          <w:tcPr>
            <w:tcW w:w="1000" w:type="dxa"/>
            <w:vAlign w:val="bottom"/>
            <w:tcBorders>
              <w:bottom w:val="single" w:sz="8" w:color="939598"/>
            </w:tcBorders>
          </w:tcPr>
          <w:p>
            <w:pPr>
              <w:spacing w:after="0"/>
              <w:rPr>
                <w:sz w:val="15"/>
                <w:szCs w:val="15"/>
                <w:color w:val="auto"/>
              </w:rPr>
            </w:pPr>
          </w:p>
        </w:tc>
        <w:tc>
          <w:tcPr>
            <w:tcW w:w="660" w:type="dxa"/>
            <w:vAlign w:val="bottom"/>
            <w:tcBorders>
              <w:bottom w:val="single" w:sz="8" w:color="939598"/>
            </w:tcBorders>
          </w:tcPr>
          <w:p>
            <w:pPr>
              <w:spacing w:after="0"/>
              <w:rPr>
                <w:sz w:val="15"/>
                <w:szCs w:val="15"/>
                <w:color w:val="auto"/>
              </w:rPr>
            </w:pPr>
          </w:p>
        </w:tc>
        <w:tc>
          <w:tcPr>
            <w:tcW w:w="92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spacing w:after="0"/>
              <w:rPr>
                <w:sz w:val="15"/>
                <w:szCs w:val="15"/>
                <w:color w:val="auto"/>
              </w:rPr>
            </w:pPr>
          </w:p>
        </w:tc>
        <w:tc>
          <w:tcPr>
            <w:tcW w:w="900" w:type="dxa"/>
            <w:vAlign w:val="bottom"/>
            <w:tcBorders>
              <w:bottom w:val="single" w:sz="8" w:color="939598"/>
            </w:tcBorders>
          </w:tcPr>
          <w:p>
            <w:pPr>
              <w:spacing w:after="0"/>
              <w:rPr>
                <w:sz w:val="15"/>
                <w:szCs w:val="15"/>
                <w:color w:val="auto"/>
              </w:rPr>
            </w:pPr>
          </w:p>
        </w:tc>
        <w:tc>
          <w:tcPr>
            <w:tcW w:w="1480" w:type="dxa"/>
            <w:vAlign w:val="bottom"/>
            <w:tcBorders>
              <w:bottom w:val="single" w:sz="8" w:color="939598"/>
            </w:tcBorders>
          </w:tcPr>
          <w:p>
            <w:pPr>
              <w:jc w:val="center"/>
              <w:spacing w:after="0"/>
              <w:rPr>
                <w:sz w:val="20"/>
                <w:szCs w:val="20"/>
                <w:color w:val="auto"/>
              </w:rPr>
            </w:pPr>
            <w:r>
              <w:rPr>
                <w:rFonts w:ascii="Arial" w:cs="Arial" w:eastAsia="Arial" w:hAnsi="Arial"/>
                <w:sz w:val="15"/>
                <w:szCs w:val="15"/>
                <w:color w:val="auto"/>
              </w:rPr>
              <w:t>(iii) + (iv) - (v) + (vi)</w:t>
            </w:r>
          </w:p>
        </w:tc>
      </w:tr>
      <w:tr>
        <w:trPr>
          <w:trHeight w:val="156"/>
        </w:trPr>
        <w:tc>
          <w:tcPr>
            <w:tcW w:w="1320" w:type="dxa"/>
            <w:vAlign w:val="bottom"/>
            <w:tcBorders>
              <w:bottom w:val="single" w:sz="8" w:color="939598"/>
            </w:tcBorders>
          </w:tcPr>
          <w:p>
            <w:pPr>
              <w:ind w:left="140"/>
              <w:spacing w:after="0" w:line="156" w:lineRule="exact"/>
              <w:rPr>
                <w:sz w:val="20"/>
                <w:szCs w:val="20"/>
                <w:color w:val="auto"/>
              </w:rPr>
            </w:pPr>
            <w:r>
              <w:rPr>
                <w:rFonts w:ascii="Arial" w:cs="Arial" w:eastAsia="Arial" w:hAnsi="Arial"/>
                <w:sz w:val="15"/>
                <w:szCs w:val="15"/>
                <w:color w:val="auto"/>
              </w:rPr>
              <w:t>PEO</w:t>
            </w:r>
          </w:p>
        </w:tc>
        <w:tc>
          <w:tcPr>
            <w:tcW w:w="920" w:type="dxa"/>
            <w:vAlign w:val="bottom"/>
            <w:tcBorders>
              <w:bottom w:val="single" w:sz="8" w:color="939598"/>
            </w:tcBorders>
          </w:tcPr>
          <w:p>
            <w:pPr>
              <w:jc w:val="center"/>
              <w:spacing w:after="0" w:line="156" w:lineRule="exact"/>
              <w:rPr>
                <w:sz w:val="20"/>
                <w:szCs w:val="20"/>
                <w:color w:val="auto"/>
              </w:rPr>
            </w:pPr>
            <w:r>
              <w:rPr>
                <w:rFonts w:ascii="Arial" w:cs="Arial" w:eastAsia="Arial" w:hAnsi="Arial"/>
                <w:sz w:val="15"/>
                <w:szCs w:val="15"/>
                <w:color w:val="auto"/>
              </w:rPr>
              <w:t>4,285,752</w:t>
            </w:r>
          </w:p>
        </w:tc>
        <w:tc>
          <w:tcPr>
            <w:tcW w:w="1000" w:type="dxa"/>
            <w:vAlign w:val="bottom"/>
            <w:tcBorders>
              <w:bottom w:val="single" w:sz="8" w:color="939598"/>
            </w:tcBorders>
          </w:tcPr>
          <w:p>
            <w:pPr>
              <w:jc w:val="right"/>
              <w:spacing w:after="0" w:line="156" w:lineRule="exact"/>
              <w:rPr>
                <w:sz w:val="20"/>
                <w:szCs w:val="20"/>
                <w:color w:val="auto"/>
              </w:rPr>
            </w:pPr>
            <w:r>
              <w:rPr>
                <w:rFonts w:ascii="Arial" w:cs="Arial" w:eastAsia="Arial" w:hAnsi="Arial"/>
                <w:sz w:val="15"/>
                <w:szCs w:val="15"/>
                <w:color w:val="auto"/>
              </w:rPr>
              <w:t>(27,663,997)</w:t>
            </w:r>
          </w:p>
        </w:tc>
        <w:tc>
          <w:tcPr>
            <w:tcW w:w="660" w:type="dxa"/>
            <w:vAlign w:val="bottom"/>
            <w:tcBorders>
              <w:bottom w:val="single" w:sz="8" w:color="939598"/>
            </w:tcBorders>
          </w:tcPr>
          <w:p>
            <w:pPr>
              <w:jc w:val="center"/>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939598"/>
            </w:tcBorders>
          </w:tcPr>
          <w:p>
            <w:pPr>
              <w:jc w:val="right"/>
              <w:ind w:right="47"/>
              <w:spacing w:after="0" w:line="156" w:lineRule="exact"/>
              <w:rPr>
                <w:sz w:val="20"/>
                <w:szCs w:val="20"/>
                <w:color w:val="auto"/>
              </w:rPr>
            </w:pPr>
            <w:r>
              <w:rPr>
                <w:rFonts w:ascii="Arial" w:cs="Arial" w:eastAsia="Arial" w:hAnsi="Arial"/>
                <w:sz w:val="15"/>
                <w:szCs w:val="15"/>
                <w:color w:val="auto"/>
              </w:rPr>
              <w:t>3,516,109</w:t>
            </w:r>
          </w:p>
        </w:tc>
        <w:tc>
          <w:tcPr>
            <w:tcW w:w="940" w:type="dxa"/>
            <w:vAlign w:val="bottom"/>
            <w:tcBorders>
              <w:bottom w:val="single" w:sz="8" w:color="939598"/>
            </w:tcBorders>
          </w:tcPr>
          <w:p>
            <w:pPr>
              <w:ind w:left="660"/>
              <w:spacing w:after="0" w:line="156"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939598"/>
            </w:tcBorders>
          </w:tcPr>
          <w:p>
            <w:pPr>
              <w:jc w:val="center"/>
              <w:spacing w:after="0" w:line="156" w:lineRule="exact"/>
              <w:rPr>
                <w:sz w:val="20"/>
                <w:szCs w:val="20"/>
                <w:color w:val="auto"/>
              </w:rPr>
            </w:pPr>
            <w:r>
              <w:rPr>
                <w:rFonts w:ascii="Arial" w:cs="Arial" w:eastAsia="Arial" w:hAnsi="Arial"/>
                <w:sz w:val="15"/>
                <w:szCs w:val="15"/>
                <w:color w:val="auto"/>
              </w:rPr>
              <w:t>—</w:t>
            </w:r>
          </w:p>
        </w:tc>
        <w:tc>
          <w:tcPr>
            <w:tcW w:w="1480" w:type="dxa"/>
            <w:vAlign w:val="bottom"/>
            <w:tcBorders>
              <w:bottom w:val="single" w:sz="8" w:color="939598"/>
            </w:tcBorders>
          </w:tcPr>
          <w:p>
            <w:pPr>
              <w:jc w:val="right"/>
              <w:ind w:right="226"/>
              <w:spacing w:after="0" w:line="156" w:lineRule="exact"/>
              <w:rPr>
                <w:sz w:val="20"/>
                <w:szCs w:val="20"/>
                <w:color w:val="auto"/>
              </w:rPr>
            </w:pPr>
            <w:r>
              <w:rPr>
                <w:rFonts w:ascii="Arial" w:cs="Arial" w:eastAsia="Arial" w:hAnsi="Arial"/>
                <w:sz w:val="15"/>
                <w:szCs w:val="15"/>
                <w:color w:val="auto"/>
              </w:rPr>
              <w:t>(19,862,136)</w:t>
            </w:r>
          </w:p>
        </w:tc>
      </w:tr>
      <w:tr>
        <w:trPr>
          <w:trHeight w:val="156"/>
        </w:trPr>
        <w:tc>
          <w:tcPr>
            <w:tcW w:w="1320" w:type="dxa"/>
            <w:vAlign w:val="bottom"/>
            <w:tcBorders>
              <w:bottom w:val="single" w:sz="8" w:color="F0533D"/>
            </w:tcBorders>
          </w:tcPr>
          <w:p>
            <w:pPr>
              <w:ind w:left="140"/>
              <w:spacing w:after="0" w:line="156" w:lineRule="exact"/>
              <w:rPr>
                <w:sz w:val="20"/>
                <w:szCs w:val="20"/>
                <w:color w:val="auto"/>
              </w:rPr>
            </w:pPr>
            <w:r>
              <w:rPr>
                <w:rFonts w:ascii="Arial" w:cs="Arial" w:eastAsia="Arial" w:hAnsi="Arial"/>
                <w:sz w:val="15"/>
                <w:szCs w:val="15"/>
                <w:color w:val="auto"/>
              </w:rPr>
              <w:t>Non-PEO NEOs</w:t>
            </w:r>
          </w:p>
        </w:tc>
        <w:tc>
          <w:tcPr>
            <w:tcW w:w="920" w:type="dxa"/>
            <w:vAlign w:val="bottom"/>
            <w:tcBorders>
              <w:bottom w:val="single" w:sz="8" w:color="F0533D"/>
            </w:tcBorders>
          </w:tcPr>
          <w:p>
            <w:pPr>
              <w:jc w:val="center"/>
              <w:spacing w:after="0" w:line="156" w:lineRule="exact"/>
              <w:rPr>
                <w:sz w:val="20"/>
                <w:szCs w:val="20"/>
                <w:color w:val="auto"/>
              </w:rPr>
            </w:pPr>
            <w:r>
              <w:rPr>
                <w:rFonts w:ascii="Arial" w:cs="Arial" w:eastAsia="Arial" w:hAnsi="Arial"/>
                <w:sz w:val="15"/>
                <w:szCs w:val="15"/>
                <w:color w:val="auto"/>
              </w:rPr>
              <w:t>1,172,098</w:t>
            </w:r>
          </w:p>
        </w:tc>
        <w:tc>
          <w:tcPr>
            <w:tcW w:w="1000" w:type="dxa"/>
            <w:vAlign w:val="bottom"/>
            <w:tcBorders>
              <w:bottom w:val="single" w:sz="8" w:color="F0533D"/>
            </w:tcBorders>
          </w:tcPr>
          <w:p>
            <w:pPr>
              <w:jc w:val="right"/>
              <w:spacing w:after="0" w:line="156" w:lineRule="exact"/>
              <w:rPr>
                <w:sz w:val="20"/>
                <w:szCs w:val="20"/>
                <w:color w:val="auto"/>
              </w:rPr>
            </w:pPr>
            <w:r>
              <w:rPr>
                <w:rFonts w:ascii="Arial" w:cs="Arial" w:eastAsia="Arial" w:hAnsi="Arial"/>
                <w:sz w:val="15"/>
                <w:szCs w:val="15"/>
                <w:color w:val="auto"/>
              </w:rPr>
              <w:t>(4,442,082)</w:t>
            </w:r>
          </w:p>
        </w:tc>
        <w:tc>
          <w:tcPr>
            <w:tcW w:w="660" w:type="dxa"/>
            <w:vAlign w:val="bottom"/>
            <w:tcBorders>
              <w:bottom w:val="single" w:sz="8" w:color="F0533D"/>
            </w:tcBorders>
          </w:tcPr>
          <w:p>
            <w:pPr>
              <w:jc w:val="center"/>
              <w:spacing w:after="0" w:line="156"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F0533D"/>
            </w:tcBorders>
          </w:tcPr>
          <w:p>
            <w:pPr>
              <w:jc w:val="right"/>
              <w:ind w:right="47"/>
              <w:spacing w:after="0" w:line="156" w:lineRule="exact"/>
              <w:rPr>
                <w:sz w:val="20"/>
                <w:szCs w:val="20"/>
                <w:color w:val="auto"/>
              </w:rPr>
            </w:pPr>
            <w:r>
              <w:rPr>
                <w:rFonts w:ascii="Arial" w:cs="Arial" w:eastAsia="Arial" w:hAnsi="Arial"/>
                <w:sz w:val="15"/>
                <w:szCs w:val="15"/>
                <w:color w:val="auto"/>
              </w:rPr>
              <w:t>791,129</w:t>
            </w:r>
          </w:p>
        </w:tc>
        <w:tc>
          <w:tcPr>
            <w:tcW w:w="940" w:type="dxa"/>
            <w:vAlign w:val="bottom"/>
            <w:tcBorders>
              <w:bottom w:val="single" w:sz="8" w:color="F0533D"/>
            </w:tcBorders>
          </w:tcPr>
          <w:p>
            <w:pPr>
              <w:jc w:val="center"/>
              <w:spacing w:after="0" w:line="156" w:lineRule="exact"/>
              <w:rPr>
                <w:sz w:val="20"/>
                <w:szCs w:val="20"/>
                <w:color w:val="auto"/>
              </w:rPr>
            </w:pPr>
            <w:r>
              <w:rPr>
                <w:rFonts w:ascii="Arial" w:cs="Arial" w:eastAsia="Arial" w:hAnsi="Arial"/>
                <w:sz w:val="15"/>
                <w:szCs w:val="15"/>
                <w:color w:val="auto"/>
              </w:rPr>
              <w:t>(2,250,909)</w:t>
            </w:r>
          </w:p>
        </w:tc>
        <w:tc>
          <w:tcPr>
            <w:tcW w:w="900" w:type="dxa"/>
            <w:vAlign w:val="bottom"/>
            <w:tcBorders>
              <w:bottom w:val="single" w:sz="8" w:color="F0533D"/>
            </w:tcBorders>
          </w:tcPr>
          <w:p>
            <w:pPr>
              <w:jc w:val="center"/>
              <w:spacing w:after="0" w:line="156" w:lineRule="exact"/>
              <w:rPr>
                <w:sz w:val="20"/>
                <w:szCs w:val="20"/>
                <w:color w:val="auto"/>
              </w:rPr>
            </w:pPr>
            <w:r>
              <w:rPr>
                <w:rFonts w:ascii="Arial" w:cs="Arial" w:eastAsia="Arial" w:hAnsi="Arial"/>
                <w:sz w:val="15"/>
                <w:szCs w:val="15"/>
                <w:color w:val="auto"/>
              </w:rPr>
              <w:t>—</w:t>
            </w:r>
          </w:p>
        </w:tc>
        <w:tc>
          <w:tcPr>
            <w:tcW w:w="1480" w:type="dxa"/>
            <w:vAlign w:val="bottom"/>
            <w:tcBorders>
              <w:bottom w:val="single" w:sz="8" w:color="F0533D"/>
            </w:tcBorders>
          </w:tcPr>
          <w:p>
            <w:pPr>
              <w:jc w:val="right"/>
              <w:ind w:right="246"/>
              <w:spacing w:after="0" w:line="156" w:lineRule="exact"/>
              <w:rPr>
                <w:sz w:val="20"/>
                <w:szCs w:val="20"/>
                <w:color w:val="auto"/>
              </w:rPr>
            </w:pPr>
            <w:r>
              <w:rPr>
                <w:rFonts w:ascii="Arial" w:cs="Arial" w:eastAsia="Arial" w:hAnsi="Arial"/>
                <w:sz w:val="15"/>
                <w:szCs w:val="15"/>
                <w:color w:val="auto"/>
              </w:rPr>
              <w:t>(4,729,764)</w:t>
            </w:r>
          </w:p>
        </w:tc>
      </w:tr>
    </w:tbl>
    <w:p>
      <w:pPr>
        <w:spacing w:after="0" w:line="307" w:lineRule="exact"/>
        <w:rPr>
          <w:sz w:val="20"/>
          <w:szCs w:val="20"/>
          <w:color w:val="auto"/>
        </w:rPr>
      </w:pPr>
    </w:p>
    <w:p>
      <w:pPr>
        <w:ind w:left="540" w:right="499" w:hanging="356"/>
        <w:spacing w:after="0" w:line="213" w:lineRule="auto"/>
        <w:tabs>
          <w:tab w:leader="none" w:pos="540" w:val="left"/>
        </w:tabs>
        <w:numPr>
          <w:ilvl w:val="0"/>
          <w:numId w:val="101"/>
        </w:numPr>
        <w:rPr>
          <w:rFonts w:ascii="Arial" w:cs="Arial" w:eastAsia="Arial" w:hAnsi="Arial"/>
          <w:sz w:val="23"/>
          <w:szCs w:val="23"/>
          <w:color w:val="auto"/>
          <w:vertAlign w:val="superscript"/>
        </w:rPr>
      </w:pPr>
      <w:r>
        <w:rPr>
          <w:rFonts w:ascii="Arial" w:cs="Arial" w:eastAsia="Arial" w:hAnsi="Arial"/>
          <w:sz w:val="15"/>
          <w:szCs w:val="15"/>
          <w:color w:val="auto"/>
        </w:rPr>
        <w:t>Cumulative TSR is calculated by dividing the sum of the cumulative amount of dividends (if any) for the measurement period, assuming dividend reinvestment, and the difference between the Company’s share price at the end and the beginning of the measurement period by the Company’s share price at the beginning of the measurement period. The beginning of the measurement period is November 4, 2021, the date our stock commenced regular-way trading on the NYSE.</w:t>
      </w:r>
    </w:p>
    <w:p>
      <w:pPr>
        <w:spacing w:after="0" w:line="70" w:lineRule="exact"/>
        <w:rPr>
          <w:rFonts w:ascii="Arial" w:cs="Arial" w:eastAsia="Arial" w:hAnsi="Arial"/>
          <w:sz w:val="23"/>
          <w:szCs w:val="23"/>
          <w:color w:val="auto"/>
          <w:vertAlign w:val="superscript"/>
        </w:rPr>
      </w:pPr>
    </w:p>
    <w:p>
      <w:pPr>
        <w:ind w:left="540" w:right="139" w:hanging="356"/>
        <w:spacing w:after="0" w:line="210" w:lineRule="auto"/>
        <w:tabs>
          <w:tab w:leader="none" w:pos="540" w:val="left"/>
        </w:tabs>
        <w:numPr>
          <w:ilvl w:val="0"/>
          <w:numId w:val="101"/>
        </w:numPr>
        <w:rPr>
          <w:rFonts w:ascii="Arial" w:cs="Arial" w:eastAsia="Arial" w:hAnsi="Arial"/>
          <w:sz w:val="23"/>
          <w:szCs w:val="23"/>
          <w:color w:val="auto"/>
          <w:vertAlign w:val="superscript"/>
        </w:rPr>
      </w:pPr>
      <w:r>
        <w:rPr>
          <w:rFonts w:ascii="Arial" w:cs="Arial" w:eastAsia="Arial" w:hAnsi="Arial"/>
          <w:sz w:val="15"/>
          <w:szCs w:val="15"/>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the S&amp;P 400 IT Sector GICS Level 1 Index, which we also utilize in the stock performance graph required by Item 201(e) of Regulation S-K, included in our Fiscal 2026 Form 10-K.</w:t>
      </w:r>
    </w:p>
    <w:p>
      <w:pPr>
        <w:spacing w:after="0" w:line="71" w:lineRule="exact"/>
        <w:rPr>
          <w:rFonts w:ascii="Arial" w:cs="Arial" w:eastAsia="Arial" w:hAnsi="Arial"/>
          <w:sz w:val="23"/>
          <w:szCs w:val="23"/>
          <w:color w:val="auto"/>
          <w:vertAlign w:val="superscript"/>
        </w:rPr>
      </w:pPr>
    </w:p>
    <w:p>
      <w:pPr>
        <w:ind w:left="540" w:right="699" w:hanging="356"/>
        <w:spacing w:after="0" w:line="199" w:lineRule="auto"/>
        <w:tabs>
          <w:tab w:leader="none" w:pos="540" w:val="left"/>
        </w:tabs>
        <w:numPr>
          <w:ilvl w:val="0"/>
          <w:numId w:val="101"/>
        </w:numPr>
        <w:rPr>
          <w:rFonts w:ascii="Arial" w:cs="Arial" w:eastAsia="Arial" w:hAnsi="Arial"/>
          <w:sz w:val="23"/>
          <w:szCs w:val="23"/>
          <w:color w:val="auto"/>
          <w:vertAlign w:val="superscript"/>
        </w:rPr>
      </w:pPr>
      <w:r>
        <w:rPr>
          <w:rFonts w:ascii="Arial" w:cs="Arial" w:eastAsia="Arial" w:hAnsi="Arial"/>
          <w:sz w:val="15"/>
          <w:szCs w:val="15"/>
          <w:color w:val="auto"/>
        </w:rPr>
        <w:t>The dollar amounts reported represent the amount of net income (loss) reflected in the Company’s audited financial statements for the applicable fiscal year or period.</w:t>
      </w:r>
    </w:p>
    <w:p>
      <w:pPr>
        <w:spacing w:after="0" w:line="69" w:lineRule="exact"/>
        <w:rPr>
          <w:rFonts w:ascii="Arial" w:cs="Arial" w:eastAsia="Arial" w:hAnsi="Arial"/>
          <w:sz w:val="23"/>
          <w:szCs w:val="23"/>
          <w:color w:val="auto"/>
          <w:vertAlign w:val="superscript"/>
        </w:rPr>
      </w:pPr>
    </w:p>
    <w:p>
      <w:pPr>
        <w:ind w:left="540" w:right="699" w:hanging="356"/>
        <w:spacing w:after="0" w:line="199" w:lineRule="auto"/>
        <w:tabs>
          <w:tab w:leader="none" w:pos="540" w:val="left"/>
        </w:tabs>
        <w:numPr>
          <w:ilvl w:val="0"/>
          <w:numId w:val="101"/>
        </w:numPr>
        <w:rPr>
          <w:rFonts w:ascii="Arial" w:cs="Arial" w:eastAsia="Arial" w:hAnsi="Arial"/>
          <w:sz w:val="23"/>
          <w:szCs w:val="23"/>
          <w:color w:val="auto"/>
          <w:vertAlign w:val="superscript"/>
        </w:rPr>
      </w:pPr>
      <w:r>
        <w:rPr>
          <w:rFonts w:ascii="Arial" w:cs="Arial" w:eastAsia="Arial" w:hAnsi="Arial"/>
          <w:sz w:val="15"/>
          <w:szCs w:val="15"/>
          <w:color w:val="auto"/>
        </w:rPr>
        <w:t>Adjusted EBITDA is defined in “Executive Compensation — Compensation Discussion and Analysis — Elements of Compensation and Compensation Decisions — Annual Cash Bonus.”</w:t>
      </w:r>
    </w:p>
    <w:p>
      <w:pPr>
        <w:spacing w:after="0" w:line="21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Financial Performance Measures</w:t>
      </w:r>
    </w:p>
    <w:p>
      <w:pPr>
        <w:spacing w:after="0" w:line="154"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color w:val="auto"/>
        </w:rPr>
        <w:t>As described in greater detail in “Executive Compensation — Compensation Discussion and Analysis,” the Company’s executive compensation program is designed to be consistent with our compensation philosophy to pay for performance, align our executives’ interests with those of our stockholders and pay competitively. Most of the executive compensation opportunities for our NEOs are performance-based and are tied to the Company’s business results and individual performance. The metrics that the Company uses for both our long-term and short-term incentive awards are selected based on the goals of balancing risk while rewarding our NEOs for delivering financial, operating and strategic performance that aligns the Company’s business strategy and stockholder interests. The most important financial performance measures used by the Company to link CAP to the Company’s NEOs, for fiscal 2026, to the Company’s performance are as follows:</w:t>
      </w:r>
    </w:p>
    <w:p>
      <w:pPr>
        <w:spacing w:after="0" w:line="79" w:lineRule="exact"/>
        <w:rPr>
          <w:sz w:val="20"/>
          <w:szCs w:val="20"/>
          <w:color w:val="auto"/>
        </w:rPr>
      </w:pPr>
    </w:p>
    <w:p>
      <w:pPr>
        <w:ind w:left="900" w:right="259" w:hanging="356"/>
        <w:spacing w:after="0" w:line="267" w:lineRule="auto"/>
        <w:tabs>
          <w:tab w:leader="none" w:pos="900" w:val="left"/>
        </w:tabs>
        <w:numPr>
          <w:ilvl w:val="0"/>
          <w:numId w:val="102"/>
        </w:numPr>
        <w:rPr>
          <w:rFonts w:ascii="Arial" w:cs="Arial" w:eastAsia="Arial" w:hAnsi="Arial"/>
          <w:sz w:val="17"/>
          <w:szCs w:val="17"/>
          <w:color w:val="F0533D"/>
        </w:rPr>
      </w:pPr>
      <w:r>
        <w:rPr>
          <w:rFonts w:ascii="Arial" w:cs="Arial" w:eastAsia="Arial" w:hAnsi="Arial"/>
          <w:sz w:val="17"/>
          <w:szCs w:val="17"/>
          <w:color w:val="auto"/>
        </w:rPr>
        <w:t>Adjusted EBITDA (as defined in “Executive Compensation — Compensation Discussion and Analysis — Elements of Compensation and Compensation Decisions — Annual Cash Bonus”)</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102"/>
        </w:numPr>
        <w:rPr>
          <w:rFonts w:ascii="Arial" w:cs="Arial" w:eastAsia="Arial" w:hAnsi="Arial"/>
          <w:sz w:val="17"/>
          <w:szCs w:val="17"/>
          <w:color w:val="F0533D"/>
        </w:rPr>
      </w:pPr>
      <w:r>
        <w:rPr>
          <w:rFonts w:ascii="Arial" w:cs="Arial" w:eastAsia="Arial" w:hAnsi="Arial"/>
          <w:sz w:val="17"/>
          <w:szCs w:val="17"/>
          <w:color w:val="auto"/>
        </w:rPr>
        <w:t>Revenue</w:t>
      </w:r>
    </w:p>
    <w:p>
      <w:pPr>
        <w:spacing w:after="0" w:line="101" w:lineRule="exact"/>
        <w:rPr>
          <w:rFonts w:ascii="Arial" w:cs="Arial" w:eastAsia="Arial" w:hAnsi="Arial"/>
          <w:sz w:val="17"/>
          <w:szCs w:val="17"/>
          <w:color w:val="F0533D"/>
        </w:rPr>
      </w:pPr>
    </w:p>
    <w:p>
      <w:pPr>
        <w:ind w:left="900" w:right="159" w:hanging="356"/>
        <w:spacing w:after="0" w:line="267" w:lineRule="auto"/>
        <w:tabs>
          <w:tab w:leader="none" w:pos="900" w:val="left"/>
        </w:tabs>
        <w:numPr>
          <w:ilvl w:val="0"/>
          <w:numId w:val="102"/>
        </w:numPr>
        <w:rPr>
          <w:rFonts w:ascii="Arial" w:cs="Arial" w:eastAsia="Arial" w:hAnsi="Arial"/>
          <w:sz w:val="17"/>
          <w:szCs w:val="17"/>
          <w:color w:val="F0533D"/>
        </w:rPr>
      </w:pPr>
      <w:r>
        <w:rPr>
          <w:rFonts w:ascii="Arial" w:cs="Arial" w:eastAsia="Arial" w:hAnsi="Arial"/>
          <w:sz w:val="17"/>
          <w:szCs w:val="17"/>
          <w:color w:val="auto"/>
        </w:rPr>
        <w:t>Adjusted Operating Cash Flow (as defined in “Executive Compensation — Compensation Discussion and Analysis — Elements of Compensation and Compensation Decisions — Long-Term Equity Incentives”)</w:t>
      </w:r>
    </w:p>
    <w:p>
      <w:pPr>
        <w:spacing w:after="0" w:line="51" w:lineRule="exact"/>
        <w:rPr>
          <w:rFonts w:ascii="Arial" w:cs="Arial" w:eastAsia="Arial" w:hAnsi="Arial"/>
          <w:sz w:val="17"/>
          <w:szCs w:val="17"/>
          <w:color w:val="F0533D"/>
        </w:rPr>
      </w:pPr>
    </w:p>
    <w:p>
      <w:pPr>
        <w:ind w:left="900" w:right="519" w:hanging="356"/>
        <w:spacing w:after="0" w:line="267" w:lineRule="auto"/>
        <w:tabs>
          <w:tab w:leader="none" w:pos="900" w:val="left"/>
        </w:tabs>
        <w:numPr>
          <w:ilvl w:val="0"/>
          <w:numId w:val="102"/>
        </w:numPr>
        <w:rPr>
          <w:rFonts w:ascii="Arial" w:cs="Arial" w:eastAsia="Arial" w:hAnsi="Arial"/>
          <w:sz w:val="17"/>
          <w:szCs w:val="17"/>
          <w:color w:val="F0533D"/>
        </w:rPr>
      </w:pPr>
      <w:r>
        <w:rPr>
          <w:rFonts w:ascii="Arial" w:cs="Arial" w:eastAsia="Arial" w:hAnsi="Arial"/>
          <w:sz w:val="17"/>
          <w:szCs w:val="17"/>
          <w:color w:val="auto"/>
        </w:rPr>
        <w:t>Total Signings (as defined in “Executive Compensation — Compensation Discussion and Analysis — Elements of Compensation and Compensation Decisions — Long-Term Equity Incentives”)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80 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00" w:right="239" w:hanging="356"/>
        <w:spacing w:after="0" w:line="249" w:lineRule="auto"/>
        <w:tabs>
          <w:tab w:leader="none" w:pos="900" w:val="left"/>
        </w:tabs>
        <w:numPr>
          <w:ilvl w:val="0"/>
          <w:numId w:val="103"/>
        </w:numPr>
        <w:rPr>
          <w:rFonts w:ascii="Arial" w:cs="Arial" w:eastAsia="Arial" w:hAnsi="Arial"/>
          <w:sz w:val="17"/>
          <w:szCs w:val="17"/>
          <w:color w:val="F0533D"/>
        </w:rPr>
      </w:pPr>
      <w:r>
        <w:rPr>
          <w:rFonts w:ascii="Arial" w:cs="Arial" w:eastAsia="Arial" w:hAnsi="Arial"/>
          <w:sz w:val="17"/>
          <w:szCs w:val="17"/>
          <w:color w:val="auto"/>
        </w:rPr>
        <w:t>Relative TSR (the Company’s TSR as compared to the companies in the S&amp;P 400 Mid Cap Index, as described further in “Executive Compensation — Compensation Discussion and Analysis — Elements of Compensation and Compensation Decisions — Long-Term Equity Incentives”)</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Relationships Between CAP and Cumulative TSR, Adjusted EBITDA and Net Income</w:t>
      </w:r>
    </w:p>
    <w:p>
      <w:pPr>
        <w:spacing w:after="0" w:line="154" w:lineRule="exact"/>
        <w:rPr>
          <w:sz w:val="20"/>
          <w:szCs w:val="20"/>
          <w:color w:val="auto"/>
        </w:rPr>
      </w:pPr>
    </w:p>
    <w:p>
      <w:pPr>
        <w:ind w:left="80" w:right="179"/>
        <w:spacing w:after="0" w:line="239" w:lineRule="auto"/>
        <w:rPr>
          <w:sz w:val="20"/>
          <w:szCs w:val="20"/>
          <w:color w:val="auto"/>
        </w:rPr>
      </w:pPr>
      <w:r>
        <w:rPr>
          <w:rFonts w:ascii="Arial" w:cs="Arial" w:eastAsia="Arial" w:hAnsi="Arial"/>
          <w:sz w:val="17"/>
          <w:szCs w:val="17"/>
          <w:color w:val="auto"/>
        </w:rPr>
        <w:t>In furtherance of the Company’s pay for performance philosophy, the CHC Committee uses several performance measures to align executive compensation with Company performance, not all of which are presented in the Pay vs. Performance table above. Additionally, the CHC Committee does not specifically align such performance measures with CAP (as computed in accordance with Item 402(v) of Regulation S-K) for a particular year. In accordance with Item 402(v) of Regulation S-K, the following charts show graphically the relationships between CAP and Cumulative TSR, Adjusted EBITDA and Net Income.</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CAP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214630</wp:posOffset>
            </wp:positionV>
            <wp:extent cx="3437255" cy="25031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43725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CAP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214630</wp:posOffset>
            </wp:positionV>
            <wp:extent cx="3402965" cy="236601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340296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80"/>
        <w:spacing w:after="0"/>
        <w:rPr>
          <w:sz w:val="20"/>
          <w:szCs w:val="20"/>
          <w:color w:val="auto"/>
        </w:rPr>
      </w:pPr>
      <w:r>
        <w:rPr>
          <w:rFonts w:ascii="Arial" w:cs="Arial" w:eastAsia="Arial" w:hAnsi="Arial"/>
          <w:sz w:val="17"/>
          <w:szCs w:val="17"/>
          <w:i w:val="1"/>
          <w:iCs w:val="1"/>
          <w:color w:val="auto"/>
        </w:rPr>
        <w:t>CAP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205740</wp:posOffset>
            </wp:positionV>
            <wp:extent cx="3420110" cy="235712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342011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7"/>
          <w:szCs w:val="17"/>
          <w:color w:val="auto"/>
        </w:rPr>
        <w:t xml:space="preserve">  </w:t>
      </w:r>
    </w:p>
    <w:p>
      <w:pPr>
        <w:spacing w:after="0" w:line="156" w:lineRule="exact"/>
        <w:rPr>
          <w:sz w:val="20"/>
          <w:szCs w:val="20"/>
          <w:color w:val="auto"/>
        </w:rPr>
      </w:pPr>
    </w:p>
    <w:p>
      <w:pPr>
        <w:ind w:left="80" w:right="99"/>
        <w:spacing w:after="0" w:line="249" w:lineRule="auto"/>
        <w:rPr>
          <w:sz w:val="20"/>
          <w:szCs w:val="20"/>
          <w:color w:val="auto"/>
        </w:rPr>
      </w:pPr>
      <w:r>
        <w:rPr>
          <w:rFonts w:ascii="Arial" w:cs="Arial" w:eastAsia="Arial" w:hAnsi="Arial"/>
          <w:sz w:val="17"/>
          <w:szCs w:val="17"/>
          <w:color w:val="auto"/>
        </w:rPr>
        <w:t>Due to our change in fiscal year-end, the Pay vs. Performance Table and preceding charts include a three-month transition period from January 1, 2022 through March 31, 2022. CAP and Company performance during the transition period is not comparable to Fiscal 2021 or Fiscal 2023 through 2026 because it represents a shorter time period.</w:t>
      </w:r>
    </w:p>
    <w:p>
      <w:pPr>
        <w:spacing w:after="0" w:line="121" w:lineRule="exact"/>
        <w:rPr>
          <w:sz w:val="20"/>
          <w:szCs w:val="20"/>
          <w:color w:val="auto"/>
        </w:rPr>
      </w:pPr>
    </w:p>
    <w:p>
      <w:pPr>
        <w:ind w:left="80" w:right="259"/>
        <w:spacing w:after="0" w:line="249" w:lineRule="auto"/>
        <w:rPr>
          <w:sz w:val="20"/>
          <w:szCs w:val="20"/>
          <w:color w:val="auto"/>
        </w:rPr>
      </w:pPr>
      <w:r>
        <w:rPr>
          <w:rFonts w:ascii="Arial" w:cs="Arial" w:eastAsia="Arial" w:hAnsi="Arial"/>
          <w:sz w:val="17"/>
          <w:szCs w:val="17"/>
          <w:color w:val="auto"/>
        </w:rPr>
        <w:t>The change in PEO and non-PEO CAP in each period reflected in the preceding charts is directionally correlated to our TSR and stock price because a significant majority of NEO compensation is granted in the form of equity compensation.</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Equity Compensation Plan Information</w:t>
      </w:r>
    </w:p>
    <w:p>
      <w:pPr>
        <w:spacing w:after="0" w:line="173" w:lineRule="exact"/>
        <w:rPr>
          <w:sz w:val="20"/>
          <w:szCs w:val="20"/>
          <w:color w:val="auto"/>
        </w:rPr>
      </w:pPr>
    </w:p>
    <w:p>
      <w:pPr>
        <w:jc w:val="both"/>
        <w:ind w:left="80" w:right="359"/>
        <w:spacing w:after="0" w:line="249" w:lineRule="auto"/>
        <w:rPr>
          <w:sz w:val="20"/>
          <w:szCs w:val="20"/>
          <w:color w:val="auto"/>
        </w:rPr>
      </w:pPr>
      <w:r>
        <w:rPr>
          <w:rFonts w:ascii="Arial" w:cs="Arial" w:eastAsia="Arial" w:hAnsi="Arial"/>
          <w:sz w:val="17"/>
          <w:szCs w:val="17"/>
          <w:color w:val="auto"/>
        </w:rPr>
        <w:t>The following table sets forth, as of March 31, 2026, certain information regarding our equity compensation plans. The only plan pursuant to which we may currently make equity grants is the Amended and Restated Kyndryl 2021 Long-Term Performance Plan.</w:t>
      </w: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4460" w:type="dxa"/>
            <w:vAlign w:val="bottom"/>
          </w:tcPr>
          <w:p>
            <w:pPr>
              <w:spacing w:after="0"/>
              <w:rPr>
                <w:sz w:val="17"/>
                <w:szCs w:val="17"/>
                <w:color w:val="auto"/>
              </w:rPr>
            </w:pPr>
          </w:p>
        </w:tc>
        <w:tc>
          <w:tcPr>
            <w:tcW w:w="12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(a)</w:t>
            </w:r>
          </w:p>
        </w:tc>
        <w:tc>
          <w:tcPr>
            <w:tcW w:w="80" w:type="dxa"/>
            <w:vAlign w:val="bottom"/>
          </w:tcPr>
          <w:p>
            <w:pPr>
              <w:spacing w:after="0"/>
              <w:rPr>
                <w:sz w:val="17"/>
                <w:szCs w:val="17"/>
                <w:color w:val="auto"/>
              </w:rPr>
            </w:pPr>
          </w:p>
        </w:tc>
        <w:tc>
          <w:tcPr>
            <w:tcW w:w="12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(b)</w:t>
            </w:r>
          </w:p>
        </w:tc>
        <w:tc>
          <w:tcPr>
            <w:tcW w:w="80" w:type="dxa"/>
            <w:vAlign w:val="bottom"/>
          </w:tcPr>
          <w:p>
            <w:pPr>
              <w:spacing w:after="0"/>
              <w:rPr>
                <w:sz w:val="17"/>
                <w:szCs w:val="17"/>
                <w:color w:val="auto"/>
              </w:rPr>
            </w:pPr>
          </w:p>
        </w:tc>
        <w:tc>
          <w:tcPr>
            <w:tcW w:w="16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(c)</w:t>
            </w:r>
          </w:p>
        </w:tc>
        <w:tc>
          <w:tcPr>
            <w:tcW w:w="80" w:type="dxa"/>
            <w:vAlign w:val="bottom"/>
          </w:tcPr>
          <w:p>
            <w:pPr>
              <w:spacing w:after="0"/>
              <w:rPr>
                <w:sz w:val="17"/>
                <w:szCs w:val="17"/>
                <w:color w:val="auto"/>
              </w:rPr>
            </w:pPr>
          </w:p>
        </w:tc>
      </w:tr>
      <w:tr>
        <w:trPr>
          <w:trHeight w:val="180"/>
        </w:trPr>
        <w:tc>
          <w:tcPr>
            <w:tcW w:w="44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0533D"/>
              </w:rPr>
              <w:t>Number of</w:t>
            </w:r>
          </w:p>
        </w:tc>
        <w:tc>
          <w:tcPr>
            <w:tcW w:w="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0533D"/>
              </w:rPr>
              <w:t>Weighted-</w:t>
            </w:r>
          </w:p>
        </w:tc>
        <w:tc>
          <w:tcPr>
            <w:tcW w:w="80" w:type="dxa"/>
            <w:vAlign w:val="bottom"/>
          </w:tcPr>
          <w:p>
            <w:pPr>
              <w:spacing w:after="0"/>
              <w:rPr>
                <w:sz w:val="15"/>
                <w:szCs w:val="15"/>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F0533D"/>
              </w:rPr>
              <w:t>Number of Securities</w:t>
            </w:r>
          </w:p>
        </w:tc>
      </w:tr>
      <w:tr>
        <w:trPr>
          <w:trHeight w:val="162"/>
        </w:trPr>
        <w:tc>
          <w:tcPr>
            <w:tcW w:w="44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0533D"/>
              </w:rPr>
              <w:t>Securities to be</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0533D"/>
              </w:rPr>
              <w:t>average</w:t>
            </w:r>
          </w:p>
        </w:tc>
        <w:tc>
          <w:tcPr>
            <w:tcW w:w="8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F0533D"/>
              </w:rPr>
              <w:t>Remaining Available for</w:t>
            </w:r>
          </w:p>
        </w:tc>
      </w:tr>
      <w:tr>
        <w:trPr>
          <w:trHeight w:val="162"/>
        </w:trPr>
        <w:tc>
          <w:tcPr>
            <w:tcW w:w="44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0533D"/>
              </w:rPr>
              <w:t>Issued Upon</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0533D"/>
              </w:rPr>
              <w:t>Exercise Price of</w:t>
            </w:r>
          </w:p>
        </w:tc>
        <w:tc>
          <w:tcPr>
            <w:tcW w:w="8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F0533D"/>
              </w:rPr>
              <w:t>Future Issuance Under</w:t>
            </w:r>
          </w:p>
        </w:tc>
      </w:tr>
      <w:tr>
        <w:trPr>
          <w:trHeight w:val="162"/>
        </w:trPr>
        <w:tc>
          <w:tcPr>
            <w:tcW w:w="44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0533D"/>
              </w:rPr>
              <w:t>Exercise of</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0533D"/>
              </w:rPr>
              <w:t>Outstanding</w:t>
            </w:r>
          </w:p>
        </w:tc>
        <w:tc>
          <w:tcPr>
            <w:tcW w:w="8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F0533D"/>
              </w:rPr>
              <w:t>Equity Compensation</w:t>
            </w:r>
          </w:p>
        </w:tc>
      </w:tr>
      <w:tr>
        <w:trPr>
          <w:trHeight w:val="162"/>
        </w:trPr>
        <w:tc>
          <w:tcPr>
            <w:tcW w:w="44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0533D"/>
              </w:rPr>
              <w:t>Outstanding</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0533D"/>
              </w:rPr>
              <w:t>Options,</w:t>
            </w:r>
          </w:p>
        </w:tc>
        <w:tc>
          <w:tcPr>
            <w:tcW w:w="8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F0533D"/>
              </w:rPr>
              <w:t>Plans (Excluding</w:t>
            </w:r>
          </w:p>
        </w:tc>
      </w:tr>
      <w:tr>
        <w:trPr>
          <w:trHeight w:val="162"/>
        </w:trPr>
        <w:tc>
          <w:tcPr>
            <w:tcW w:w="44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0533D"/>
              </w:rPr>
              <w:t>Options, Warrants</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0533D"/>
              </w:rPr>
              <w:t>Warrants and</w:t>
            </w:r>
          </w:p>
        </w:tc>
        <w:tc>
          <w:tcPr>
            <w:tcW w:w="8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F0533D"/>
              </w:rPr>
              <w:t>Securities Reflected in</w:t>
            </w:r>
          </w:p>
        </w:tc>
      </w:tr>
      <w:tr>
        <w:trPr>
          <w:trHeight w:val="162"/>
        </w:trPr>
        <w:tc>
          <w:tcPr>
            <w:tcW w:w="44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F0533D"/>
              </w:rPr>
              <w:t>and Rights</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F0533D"/>
              </w:rPr>
              <w:t>Rights</w:t>
            </w:r>
          </w:p>
        </w:tc>
        <w:tc>
          <w:tcPr>
            <w:tcW w:w="8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F0533D"/>
              </w:rPr>
              <w:t>Column (a))</w:t>
            </w:r>
          </w:p>
        </w:tc>
      </w:tr>
      <w:tr>
        <w:trPr>
          <w:trHeight w:val="205"/>
        </w:trPr>
        <w:tc>
          <w:tcPr>
            <w:tcW w:w="4460" w:type="dxa"/>
            <w:vAlign w:val="bottom"/>
            <w:tcBorders>
              <w:bottom w:val="single" w:sz="8" w:color="F0533D"/>
            </w:tcBorders>
          </w:tcPr>
          <w:p>
            <w:pPr>
              <w:ind w:left="100"/>
              <w:spacing w:after="0"/>
              <w:rPr>
                <w:sz w:val="20"/>
                <w:szCs w:val="20"/>
                <w:color w:val="auto"/>
              </w:rPr>
            </w:pPr>
            <w:r>
              <w:rPr>
                <w:rFonts w:ascii="Arial" w:cs="Arial" w:eastAsia="Arial" w:hAnsi="Arial"/>
                <w:sz w:val="14"/>
                <w:szCs w:val="14"/>
                <w:b w:val="1"/>
                <w:bCs w:val="1"/>
                <w:color w:val="F0533D"/>
              </w:rPr>
              <w:t>Plan Category</w:t>
            </w:r>
          </w:p>
        </w:tc>
        <w:tc>
          <w:tcPr>
            <w:tcW w:w="12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w:t>
            </w:r>
          </w:p>
        </w:tc>
        <w:tc>
          <w:tcPr>
            <w:tcW w:w="80" w:type="dxa"/>
            <w:vAlign w:val="bottom"/>
            <w:tcBorders>
              <w:bottom w:val="single" w:sz="8" w:color="F0533D"/>
            </w:tcBorders>
          </w:tcPr>
          <w:p>
            <w:pPr>
              <w:spacing w:after="0"/>
              <w:rPr>
                <w:sz w:val="17"/>
                <w:szCs w:val="17"/>
                <w:color w:val="auto"/>
              </w:rPr>
            </w:pPr>
          </w:p>
        </w:tc>
        <w:tc>
          <w:tcPr>
            <w:tcW w:w="120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($/Sh)</w:t>
            </w:r>
          </w:p>
        </w:tc>
        <w:tc>
          <w:tcPr>
            <w:tcW w:w="1760" w:type="dxa"/>
            <w:vAlign w:val="bottom"/>
            <w:tcBorders>
              <w:bottom w:val="single" w:sz="8" w:color="F0533D"/>
            </w:tcBorders>
            <w:gridSpan w:val="2"/>
          </w:tcPr>
          <w:p>
            <w:pPr>
              <w:jc w:val="center"/>
              <w:spacing w:after="0"/>
              <w:rPr>
                <w:sz w:val="20"/>
                <w:szCs w:val="20"/>
                <w:color w:val="auto"/>
              </w:rPr>
            </w:pPr>
            <w:r>
              <w:rPr>
                <w:rFonts w:ascii="Arial" w:cs="Arial" w:eastAsia="Arial" w:hAnsi="Arial"/>
                <w:sz w:val="14"/>
                <w:szCs w:val="14"/>
                <w:b w:val="1"/>
                <w:bCs w:val="1"/>
                <w:color w:val="F0533D"/>
              </w:rPr>
              <w:t>(#)</w:t>
            </w:r>
          </w:p>
        </w:tc>
        <w:tc>
          <w:tcPr>
            <w:tcW w:w="80" w:type="dxa"/>
            <w:vAlign w:val="bottom"/>
            <w:tcBorders>
              <w:bottom w:val="single" w:sz="8" w:color="F0533D"/>
            </w:tcBorders>
          </w:tcPr>
          <w:p>
            <w:pPr>
              <w:spacing w:after="0"/>
              <w:rPr>
                <w:sz w:val="17"/>
                <w:szCs w:val="17"/>
                <w:color w:val="auto"/>
              </w:rPr>
            </w:pPr>
          </w:p>
        </w:tc>
      </w:tr>
      <w:tr>
        <w:trPr>
          <w:trHeight w:val="270"/>
        </w:trPr>
        <w:tc>
          <w:tcPr>
            <w:tcW w:w="4460" w:type="dxa"/>
            <w:vAlign w:val="bottom"/>
            <w:tcBorders>
              <w:bottom w:val="single" w:sz="8" w:color="F0533D"/>
            </w:tcBorders>
          </w:tcPr>
          <w:p>
            <w:pPr>
              <w:ind w:left="100"/>
              <w:spacing w:after="0"/>
              <w:rPr>
                <w:sz w:val="20"/>
                <w:szCs w:val="20"/>
                <w:color w:val="auto"/>
              </w:rPr>
            </w:pPr>
            <w:r>
              <w:rPr>
                <w:rFonts w:ascii="Arial" w:cs="Arial" w:eastAsia="Arial" w:hAnsi="Arial"/>
                <w:sz w:val="17"/>
                <w:szCs w:val="17"/>
                <w:color w:val="auto"/>
              </w:rPr>
              <w:t>Equity compensation plans approved by security holders</w:t>
            </w:r>
          </w:p>
        </w:tc>
        <w:tc>
          <w:tcPr>
            <w:tcW w:w="1280" w:type="dxa"/>
            <w:vAlign w:val="bottom"/>
            <w:tcBorders>
              <w:bottom w:val="single" w:sz="8" w:color="F0533D"/>
            </w:tcBorders>
          </w:tcPr>
          <w:p>
            <w:pPr>
              <w:jc w:val="right"/>
              <w:spacing w:after="0" w:line="270" w:lineRule="exact"/>
              <w:rPr>
                <w:sz w:val="20"/>
                <w:szCs w:val="20"/>
                <w:color w:val="auto"/>
              </w:rPr>
            </w:pPr>
            <w:r>
              <w:rPr>
                <w:rFonts w:ascii="Arial" w:cs="Arial" w:eastAsia="Arial" w:hAnsi="Arial"/>
                <w:sz w:val="17"/>
                <w:szCs w:val="17"/>
                <w:color w:val="auto"/>
              </w:rPr>
              <w:t>13,807,101</w:t>
            </w:r>
            <w:r>
              <w:rPr>
                <w:rFonts w:ascii="Arial" w:cs="Arial" w:eastAsia="Arial" w:hAnsi="Arial"/>
                <w:sz w:val="28"/>
                <w:szCs w:val="28"/>
                <w:color w:val="auto"/>
                <w:vertAlign w:val="superscript"/>
              </w:rPr>
              <w:t>(1)</w:t>
            </w:r>
          </w:p>
        </w:tc>
        <w:tc>
          <w:tcPr>
            <w:tcW w:w="1280" w:type="dxa"/>
            <w:vAlign w:val="bottom"/>
            <w:tcBorders>
              <w:bottom w:val="single" w:sz="8" w:color="F0533D"/>
            </w:tcBorders>
            <w:gridSpan w:val="2"/>
          </w:tcPr>
          <w:p>
            <w:pPr>
              <w:jc w:val="right"/>
              <w:ind w:right="108"/>
              <w:spacing w:after="0" w:line="270" w:lineRule="exact"/>
              <w:rPr>
                <w:sz w:val="20"/>
                <w:szCs w:val="20"/>
                <w:color w:val="auto"/>
              </w:rPr>
            </w:pPr>
            <w:r>
              <w:rPr>
                <w:rFonts w:ascii="Arial" w:cs="Arial" w:eastAsia="Arial" w:hAnsi="Arial"/>
                <w:sz w:val="17"/>
                <w:szCs w:val="17"/>
                <w:color w:val="auto"/>
              </w:rPr>
              <w:t>$17.78</w:t>
            </w:r>
            <w:r>
              <w:rPr>
                <w:rFonts w:ascii="Arial" w:cs="Arial" w:eastAsia="Arial" w:hAnsi="Arial"/>
                <w:sz w:val="28"/>
                <w:szCs w:val="28"/>
                <w:color w:val="auto"/>
                <w:vertAlign w:val="superscript"/>
              </w:rPr>
              <w:t>(2)</w:t>
            </w:r>
          </w:p>
        </w:tc>
        <w:tc>
          <w:tcPr>
            <w:tcW w:w="1760" w:type="dxa"/>
            <w:vAlign w:val="bottom"/>
            <w:tcBorders>
              <w:bottom w:val="single" w:sz="8" w:color="F0533D"/>
            </w:tcBorders>
            <w:gridSpan w:val="2"/>
          </w:tcPr>
          <w:p>
            <w:pPr>
              <w:jc w:val="right"/>
              <w:ind w:right="188"/>
              <w:spacing w:after="0" w:line="270" w:lineRule="exact"/>
              <w:rPr>
                <w:sz w:val="20"/>
                <w:szCs w:val="20"/>
                <w:color w:val="auto"/>
              </w:rPr>
            </w:pPr>
            <w:r>
              <w:rPr>
                <w:rFonts w:ascii="Arial" w:cs="Arial" w:eastAsia="Arial" w:hAnsi="Arial"/>
                <w:sz w:val="17"/>
                <w:szCs w:val="17"/>
                <w:color w:val="auto"/>
              </w:rPr>
              <w:t>14,034,864</w:t>
            </w:r>
            <w:r>
              <w:rPr>
                <w:rFonts w:ascii="Arial" w:cs="Arial" w:eastAsia="Arial" w:hAnsi="Arial"/>
                <w:sz w:val="28"/>
                <w:szCs w:val="28"/>
                <w:color w:val="auto"/>
                <w:vertAlign w:val="superscript"/>
              </w:rPr>
              <w:t>(3)</w:t>
            </w:r>
          </w:p>
        </w:tc>
        <w:tc>
          <w:tcPr>
            <w:tcW w:w="80" w:type="dxa"/>
            <w:vAlign w:val="bottom"/>
            <w:tcBorders>
              <w:bottom w:val="single" w:sz="8" w:color="F0533D"/>
            </w:tcBorders>
          </w:tcPr>
          <w:p>
            <w:pPr>
              <w:spacing w:after="0"/>
              <w:rPr>
                <w:sz w:val="23"/>
                <w:szCs w:val="23"/>
                <w:color w:val="auto"/>
              </w:rPr>
            </w:pPr>
          </w:p>
        </w:tc>
      </w:tr>
    </w:tbl>
    <w:p>
      <w:pPr>
        <w:spacing w:after="0" w:line="307" w:lineRule="exact"/>
        <w:rPr>
          <w:sz w:val="20"/>
          <w:szCs w:val="20"/>
          <w:color w:val="auto"/>
        </w:rPr>
      </w:pPr>
    </w:p>
    <w:p>
      <w:pPr>
        <w:ind w:left="540" w:right="119" w:hanging="356"/>
        <w:spacing w:after="0" w:line="210" w:lineRule="auto"/>
        <w:tabs>
          <w:tab w:leader="none" w:pos="540" w:val="left"/>
        </w:tabs>
        <w:numPr>
          <w:ilvl w:val="0"/>
          <w:numId w:val="104"/>
        </w:numPr>
        <w:rPr>
          <w:rFonts w:ascii="Arial" w:cs="Arial" w:eastAsia="Arial" w:hAnsi="Arial"/>
          <w:sz w:val="23"/>
          <w:szCs w:val="23"/>
          <w:color w:val="auto"/>
          <w:vertAlign w:val="superscript"/>
        </w:rPr>
      </w:pPr>
      <w:r>
        <w:rPr>
          <w:rFonts w:ascii="Arial" w:cs="Arial" w:eastAsia="Arial" w:hAnsi="Arial"/>
          <w:sz w:val="15"/>
          <w:szCs w:val="15"/>
          <w:color w:val="auto"/>
        </w:rPr>
        <w:t>Total includes (i) 2,726,319 stock options, (ii) 4,646,857 performance share units (assuming target performance with respect to each of the performance measures) and (iii) 6,433,925 restricted stock units. If maximum performance levels are assumed for performance share units, the total number of shares of Kyndryl Common Stock to be issued upon settlement of outstanding awards as of March 31, 2026 is 7,294,258.</w:t>
      </w:r>
    </w:p>
    <w:p>
      <w:pPr>
        <w:spacing w:after="0" w:line="71" w:lineRule="exact"/>
        <w:rPr>
          <w:rFonts w:ascii="Arial" w:cs="Arial" w:eastAsia="Arial" w:hAnsi="Arial"/>
          <w:sz w:val="23"/>
          <w:szCs w:val="23"/>
          <w:color w:val="auto"/>
          <w:vertAlign w:val="superscript"/>
        </w:rPr>
      </w:pPr>
    </w:p>
    <w:p>
      <w:pPr>
        <w:ind w:left="540" w:right="259" w:hanging="356"/>
        <w:spacing w:after="0" w:line="199" w:lineRule="auto"/>
        <w:tabs>
          <w:tab w:leader="none" w:pos="540" w:val="left"/>
        </w:tabs>
        <w:numPr>
          <w:ilvl w:val="0"/>
          <w:numId w:val="104"/>
        </w:numPr>
        <w:rPr>
          <w:rFonts w:ascii="Arial" w:cs="Arial" w:eastAsia="Arial" w:hAnsi="Arial"/>
          <w:sz w:val="23"/>
          <w:szCs w:val="23"/>
          <w:color w:val="auto"/>
          <w:vertAlign w:val="superscript"/>
        </w:rPr>
      </w:pPr>
      <w:r>
        <w:rPr>
          <w:rFonts w:ascii="Arial" w:cs="Arial" w:eastAsia="Arial" w:hAnsi="Arial"/>
          <w:sz w:val="15"/>
          <w:szCs w:val="15"/>
          <w:color w:val="auto"/>
        </w:rPr>
        <w:t>The weighted-average exercise price relates only to stock options. The calculation of the weighted-average exercise price does not include outstanding equity awards that are received or exercised for no consideration.</w:t>
      </w:r>
    </w:p>
    <w:p>
      <w:pPr>
        <w:spacing w:after="0" w:line="69" w:lineRule="exact"/>
        <w:rPr>
          <w:rFonts w:ascii="Arial" w:cs="Arial" w:eastAsia="Arial" w:hAnsi="Arial"/>
          <w:sz w:val="23"/>
          <w:szCs w:val="23"/>
          <w:color w:val="auto"/>
          <w:vertAlign w:val="superscript"/>
        </w:rPr>
      </w:pPr>
    </w:p>
    <w:p>
      <w:pPr>
        <w:ind w:left="540" w:right="119" w:hanging="356"/>
        <w:spacing w:after="0" w:line="210" w:lineRule="auto"/>
        <w:tabs>
          <w:tab w:leader="none" w:pos="540" w:val="left"/>
        </w:tabs>
        <w:numPr>
          <w:ilvl w:val="0"/>
          <w:numId w:val="104"/>
        </w:numPr>
        <w:rPr>
          <w:rFonts w:ascii="Arial" w:cs="Arial" w:eastAsia="Arial" w:hAnsi="Arial"/>
          <w:sz w:val="23"/>
          <w:szCs w:val="23"/>
          <w:color w:val="auto"/>
          <w:vertAlign w:val="superscript"/>
        </w:rPr>
      </w:pPr>
      <w:r>
        <w:rPr>
          <w:rFonts w:ascii="Arial" w:cs="Arial" w:eastAsia="Arial" w:hAnsi="Arial"/>
          <w:sz w:val="15"/>
          <w:szCs w:val="15"/>
          <w:color w:val="auto"/>
        </w:rPr>
        <w:t>These shares are available for grant as of March 31, 2026, under the Amended and Restated Kyndryl 2021 Long-Term Performance Plan pursuant to which the CHC Committee of the Board of Directors may make various stock-based awards, including stock options, stock appreciation rights, restricted stock, restricted stock units and other awards based, in whole or in part, on the value of our common stock.</w:t>
      </w:r>
    </w:p>
    <w:p>
      <w:pPr>
        <w:spacing w:after="0" w:line="197"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8" w:name="page89"/>
    <w:bookmarkEnd w:id="8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right="499"/>
        <w:spacing w:after="0" w:line="290" w:lineRule="auto"/>
        <w:rPr>
          <w:sz w:val="20"/>
          <w:szCs w:val="20"/>
          <w:color w:val="auto"/>
        </w:rPr>
      </w:pPr>
      <w:r>
        <w:rPr>
          <w:rFonts w:ascii="Arial" w:cs="Arial" w:eastAsia="Arial" w:hAnsi="Arial"/>
          <w:sz w:val="31"/>
          <w:szCs w:val="31"/>
          <w:b w:val="1"/>
          <w:bCs w:val="1"/>
          <w:color w:val="F0533D"/>
        </w:rPr>
        <w:t>Proposal 3 — Approval of Amended and Restated Kyndryl 2021 Long-Term Performance Plan</w:t>
      </w:r>
    </w:p>
    <w:p>
      <w:pPr>
        <w:spacing w:after="0" w:line="33" w:lineRule="exact"/>
        <w:rPr>
          <w:sz w:val="20"/>
          <w:szCs w:val="20"/>
          <w:color w:val="auto"/>
        </w:rPr>
      </w:pPr>
    </w:p>
    <w:p>
      <w:pPr>
        <w:ind w:left="80" w:right="339"/>
        <w:spacing w:after="0" w:line="249" w:lineRule="auto"/>
        <w:rPr>
          <w:sz w:val="20"/>
          <w:szCs w:val="20"/>
          <w:color w:val="auto"/>
        </w:rPr>
      </w:pPr>
      <w:r>
        <w:rPr>
          <w:rFonts w:ascii="Arial" w:cs="Arial" w:eastAsia="Arial" w:hAnsi="Arial"/>
          <w:sz w:val="17"/>
          <w:szCs w:val="17"/>
          <w:color w:val="auto"/>
        </w:rPr>
        <w:t>On May 28, 2026, upon the recommendation of our CHC Committee, our Board approved the Amended and Restated Kyndryl 2021 Long-Term Performance Plan (as proposed to be further amended and restated, the Plan), subject to approval by our stockholders at this 2026 Annual Meeting and effective upon such approval.</w:t>
      </w:r>
    </w:p>
    <w:p>
      <w:pPr>
        <w:spacing w:after="0" w:line="121"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The Board is requesting that stockholders vote in favor of adopting the Plan. If approved by stockholders, the number of shares authorized for issuance under the Plan will increase by 7,600,000 shares. The affirmative vote of a majority of the shares present and entitled to vote at the annual meeting are required for the approval of the Plan. We intend to file a registration statement on Form S-8 with the SEC covering the shares reserved for issuance under the Plan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27370" cy="18643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627370" cy="186436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IMPORTANCE OF APPROVING THE PLAN</w:t>
      </w:r>
    </w:p>
    <w:p>
      <w:pPr>
        <w:spacing w:after="0" w:line="183" w:lineRule="exact"/>
        <w:rPr>
          <w:sz w:val="20"/>
          <w:szCs w:val="20"/>
          <w:color w:val="auto"/>
        </w:rPr>
      </w:pPr>
    </w:p>
    <w:p>
      <w:pPr>
        <w:ind w:left="240" w:right="239"/>
        <w:spacing w:after="0" w:line="249" w:lineRule="auto"/>
        <w:rPr>
          <w:sz w:val="20"/>
          <w:szCs w:val="20"/>
          <w:color w:val="auto"/>
        </w:rPr>
      </w:pPr>
      <w:r>
        <w:rPr>
          <w:rFonts w:ascii="Arial" w:cs="Arial" w:eastAsia="Arial" w:hAnsi="Arial"/>
          <w:sz w:val="17"/>
          <w:szCs w:val="17"/>
          <w:color w:val="auto"/>
        </w:rPr>
        <w:t>If stockholders do not approve the Plan, the shares available for future awards under the Plan will be exhausted and we will be unable to issue stock-settled equity awards and will be reliant on cash awards. An inability to grant equity awards would have significant negative consequences to us and our stockholders, including the following:</w:t>
      </w:r>
    </w:p>
    <w:p>
      <w:pPr>
        <w:spacing w:after="0" w:line="67" w:lineRule="exact"/>
        <w:rPr>
          <w:sz w:val="20"/>
          <w:szCs w:val="20"/>
          <w:color w:val="auto"/>
        </w:rPr>
      </w:pPr>
    </w:p>
    <w:p>
      <w:pPr>
        <w:ind w:left="900" w:right="159" w:hanging="356"/>
        <w:spacing w:after="0" w:line="241" w:lineRule="auto"/>
        <w:tabs>
          <w:tab w:leader="none" w:pos="900" w:val="left"/>
        </w:tabs>
        <w:numPr>
          <w:ilvl w:val="0"/>
          <w:numId w:val="105"/>
        </w:numPr>
        <w:rPr>
          <w:rFonts w:ascii="Arial" w:cs="Arial" w:eastAsia="Arial" w:hAnsi="Arial"/>
          <w:sz w:val="17"/>
          <w:szCs w:val="17"/>
          <w:color w:val="F0533D"/>
        </w:rPr>
      </w:pPr>
      <w:r>
        <w:rPr>
          <w:rFonts w:ascii="Arial" w:cs="Arial" w:eastAsia="Arial" w:hAnsi="Arial"/>
          <w:sz w:val="17"/>
          <w:szCs w:val="17"/>
          <w:b w:val="1"/>
          <w:bCs w:val="1"/>
          <w:color w:val="auto"/>
        </w:rPr>
        <w:t>Loss of a key stockholder alignment tool</w:t>
      </w:r>
      <w:r>
        <w:rPr>
          <w:rFonts w:ascii="Arial" w:cs="Arial" w:eastAsia="Arial" w:hAnsi="Arial"/>
          <w:sz w:val="17"/>
          <w:szCs w:val="17"/>
          <w:color w:val="auto"/>
        </w:rPr>
        <w:t>. As described in our “Compensation Discussion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Analysis,” a key element of our CHC Committee’s compensation philosophy is to align the interests of our executive officers with that of our stockholders. Our CHC Committee fulfills this philosophy in part by paying a meaningful portion of the variable compensation of our executives and certain other selected employees in the form of stock-based awards.</w:t>
      </w:r>
    </w:p>
    <w:p>
      <w:pPr>
        <w:spacing w:after="0" w:line="71" w:lineRule="exact"/>
        <w:rPr>
          <w:rFonts w:ascii="Arial" w:cs="Arial" w:eastAsia="Arial" w:hAnsi="Arial"/>
          <w:sz w:val="17"/>
          <w:szCs w:val="17"/>
          <w:color w:val="F0533D"/>
        </w:rPr>
      </w:pPr>
    </w:p>
    <w:p>
      <w:pPr>
        <w:ind w:left="900" w:right="219" w:hanging="356"/>
        <w:spacing w:after="0" w:line="249" w:lineRule="auto"/>
        <w:tabs>
          <w:tab w:leader="none" w:pos="900" w:val="left"/>
        </w:tabs>
        <w:numPr>
          <w:ilvl w:val="0"/>
          <w:numId w:val="105"/>
        </w:numPr>
        <w:rPr>
          <w:rFonts w:ascii="Arial" w:cs="Arial" w:eastAsia="Arial" w:hAnsi="Arial"/>
          <w:sz w:val="17"/>
          <w:szCs w:val="17"/>
          <w:color w:val="F0533D"/>
        </w:rPr>
      </w:pPr>
      <w:r>
        <w:rPr>
          <w:rFonts w:ascii="Arial" w:cs="Arial" w:eastAsia="Arial" w:hAnsi="Arial"/>
          <w:sz w:val="17"/>
          <w:szCs w:val="17"/>
          <w:b w:val="1"/>
          <w:bCs w:val="1"/>
          <w:color w:val="auto"/>
        </w:rPr>
        <w:t>Increase in cash expenditures</w:t>
      </w:r>
      <w:r>
        <w:rPr>
          <w:rFonts w:ascii="Arial" w:cs="Arial" w:eastAsia="Arial" w:hAnsi="Arial"/>
          <w:sz w:val="17"/>
          <w:szCs w:val="17"/>
          <w:color w:val="auto"/>
        </w:rPr>
        <w:t>. In order to attract and retain qualified personnel, we would likely be</w:t>
      </w:r>
      <w:r>
        <w:rPr>
          <w:rFonts w:ascii="Arial" w:cs="Arial" w:eastAsia="Arial" w:hAnsi="Arial"/>
          <w:sz w:val="17"/>
          <w:szCs w:val="17"/>
          <w:b w:val="1"/>
          <w:bCs w:val="1"/>
          <w:color w:val="auto"/>
        </w:rPr>
        <w:t xml:space="preserve"> </w:t>
      </w:r>
      <w:r>
        <w:rPr>
          <w:rFonts w:ascii="Arial" w:cs="Arial" w:eastAsia="Arial" w:hAnsi="Arial"/>
          <w:sz w:val="17"/>
          <w:szCs w:val="17"/>
          <w:color w:val="auto"/>
        </w:rPr>
        <w:t>compelled to alter our compensation programs to increase the cash-based components, which would not provide the same benefits as equity awards and would limit cash available for other purposes.</w:t>
      </w:r>
    </w:p>
    <w:p>
      <w:pPr>
        <w:spacing w:after="0" w:line="192"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FEATURES OF THE PLAN DESIGNED TO PROTECT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900" w:right="339" w:hanging="356"/>
        <w:spacing w:after="0" w:line="267"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Independent Committee Administration</w:t>
      </w:r>
      <w:r>
        <w:rPr>
          <w:rFonts w:ascii="Arial" w:cs="Arial" w:eastAsia="Arial" w:hAnsi="Arial"/>
          <w:sz w:val="17"/>
          <w:szCs w:val="17"/>
          <w:color w:val="auto"/>
        </w:rPr>
        <w:t>. The Plan is generally administered by our CHC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composed entirely of independent directors.</w:t>
      </w:r>
    </w:p>
    <w:p>
      <w:pPr>
        <w:spacing w:after="0" w:line="51" w:lineRule="exact"/>
        <w:rPr>
          <w:rFonts w:ascii="Arial" w:cs="Arial" w:eastAsia="Arial" w:hAnsi="Arial"/>
          <w:sz w:val="17"/>
          <w:szCs w:val="17"/>
          <w:color w:val="F0533D"/>
        </w:rPr>
      </w:pPr>
    </w:p>
    <w:p>
      <w:pPr>
        <w:ind w:left="900" w:right="379" w:hanging="356"/>
        <w:spacing w:after="0" w:line="267"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Minimum Vesting Requirement</w:t>
      </w:r>
      <w:r>
        <w:rPr>
          <w:rFonts w:ascii="Arial" w:cs="Arial" w:eastAsia="Arial" w:hAnsi="Arial"/>
          <w:sz w:val="17"/>
          <w:szCs w:val="17"/>
          <w:color w:val="auto"/>
        </w:rPr>
        <w:t>. Awards will not vest prior to the first anniversary of the date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limited exceptions (including up to 5% of the share capacity).</w:t>
      </w:r>
    </w:p>
    <w:p>
      <w:pPr>
        <w:spacing w:after="0" w:line="51" w:lineRule="exact"/>
        <w:rPr>
          <w:rFonts w:ascii="Arial" w:cs="Arial" w:eastAsia="Arial" w:hAnsi="Arial"/>
          <w:sz w:val="17"/>
          <w:szCs w:val="17"/>
          <w:color w:val="F0533D"/>
        </w:rPr>
      </w:pPr>
    </w:p>
    <w:p>
      <w:pPr>
        <w:ind w:left="900" w:right="339" w:hanging="356"/>
        <w:spacing w:after="0" w:line="267"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Dividends Only on Vested Full Value Awards</w:t>
      </w:r>
      <w:r>
        <w:rPr>
          <w:rFonts w:ascii="Arial" w:cs="Arial" w:eastAsia="Arial" w:hAnsi="Arial"/>
          <w:sz w:val="17"/>
          <w:szCs w:val="17"/>
          <w:color w:val="auto"/>
        </w:rPr>
        <w:t>. Dividends or dividend equivalents are only payable on</w:t>
      </w:r>
      <w:r>
        <w:rPr>
          <w:rFonts w:ascii="Arial" w:cs="Arial" w:eastAsia="Arial" w:hAnsi="Arial"/>
          <w:sz w:val="17"/>
          <w:szCs w:val="17"/>
          <w:b w:val="1"/>
          <w:bCs w:val="1"/>
          <w:color w:val="auto"/>
        </w:rPr>
        <w:t xml:space="preserve"> </w:t>
      </w:r>
      <w:r>
        <w:rPr>
          <w:rFonts w:ascii="Arial" w:cs="Arial" w:eastAsia="Arial" w:hAnsi="Arial"/>
          <w:sz w:val="17"/>
          <w:szCs w:val="17"/>
          <w:color w:val="auto"/>
        </w:rPr>
        <w:t>full value awards, and only if the underlying award vests.</w:t>
      </w:r>
    </w:p>
    <w:p>
      <w:pPr>
        <w:spacing w:after="0" w:line="51" w:lineRule="exact"/>
        <w:rPr>
          <w:rFonts w:ascii="Arial" w:cs="Arial" w:eastAsia="Arial" w:hAnsi="Arial"/>
          <w:sz w:val="17"/>
          <w:szCs w:val="17"/>
          <w:color w:val="F0533D"/>
        </w:rPr>
      </w:pPr>
    </w:p>
    <w:p>
      <w:pPr>
        <w:ind w:left="900" w:right="159" w:hanging="356"/>
        <w:spacing w:after="0" w:line="267"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Clawback Requirements</w:t>
      </w:r>
      <w:r>
        <w:rPr>
          <w:rFonts w:ascii="Arial" w:cs="Arial" w:eastAsia="Arial" w:hAnsi="Arial"/>
          <w:sz w:val="17"/>
          <w:szCs w:val="17"/>
          <w:color w:val="auto"/>
        </w:rPr>
        <w:t>. Time- and performance-based awards are subject to the Company’s clawback</w:t>
      </w:r>
      <w:r>
        <w:rPr>
          <w:rFonts w:ascii="Arial" w:cs="Arial" w:eastAsia="Arial" w:hAnsi="Arial"/>
          <w:sz w:val="17"/>
          <w:szCs w:val="17"/>
          <w:b w:val="1"/>
          <w:bCs w:val="1"/>
          <w:color w:val="auto"/>
        </w:rPr>
        <w:t xml:space="preserve"> </w:t>
      </w:r>
      <w:r>
        <w:rPr>
          <w:rFonts w:ascii="Arial" w:cs="Arial" w:eastAsia="Arial" w:hAnsi="Arial"/>
          <w:sz w:val="17"/>
          <w:szCs w:val="17"/>
          <w:color w:val="auto"/>
        </w:rPr>
        <w:t>policies and awards are subject to applicable law.</w:t>
      </w:r>
    </w:p>
    <w:p>
      <w:pPr>
        <w:spacing w:after="0" w:line="51" w:lineRule="exact"/>
        <w:rPr>
          <w:rFonts w:ascii="Arial" w:cs="Arial" w:eastAsia="Arial" w:hAnsi="Arial"/>
          <w:sz w:val="17"/>
          <w:szCs w:val="17"/>
          <w:color w:val="F0533D"/>
        </w:rPr>
      </w:pPr>
    </w:p>
    <w:p>
      <w:pPr>
        <w:ind w:left="900" w:right="939" w:hanging="356"/>
        <w:spacing w:after="0" w:line="267"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Meaningful Director Compensation Limit</w:t>
      </w:r>
      <w:r>
        <w:rPr>
          <w:rFonts w:ascii="Arial" w:cs="Arial" w:eastAsia="Arial" w:hAnsi="Arial"/>
          <w:sz w:val="17"/>
          <w:szCs w:val="17"/>
          <w:color w:val="auto"/>
        </w:rPr>
        <w:t>. The maximum aggregate value of equity and cash</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granted to a non-employee director in a fiscal year is limited to $750,000.</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No Evergreen Feature</w:t>
      </w:r>
      <w:r>
        <w:rPr>
          <w:rFonts w:ascii="Arial" w:cs="Arial" w:eastAsia="Arial" w:hAnsi="Arial"/>
          <w:sz w:val="17"/>
          <w:szCs w:val="17"/>
          <w:color w:val="auto"/>
        </w:rPr>
        <w:t>. No automatic increases in the share capacity.</w:t>
      </w:r>
    </w:p>
    <w:p>
      <w:pPr>
        <w:spacing w:after="0" w:line="101" w:lineRule="exact"/>
        <w:rPr>
          <w:rFonts w:ascii="Arial" w:cs="Arial" w:eastAsia="Arial" w:hAnsi="Arial"/>
          <w:sz w:val="17"/>
          <w:szCs w:val="17"/>
          <w:color w:val="F0533D"/>
        </w:rPr>
      </w:pPr>
    </w:p>
    <w:p>
      <w:pPr>
        <w:ind w:left="900" w:right="459" w:hanging="356"/>
        <w:spacing w:after="0" w:line="249"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No Liberal Share Recycling</w:t>
      </w:r>
      <w:r>
        <w:rPr>
          <w:rFonts w:ascii="Arial" w:cs="Arial" w:eastAsia="Arial" w:hAnsi="Arial"/>
          <w:sz w:val="17"/>
          <w:szCs w:val="17"/>
          <w:color w:val="auto"/>
        </w:rPr>
        <w:t>. Shares tendered or withheld in connection with the exercise of stock</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or stock appreciation rights (SARs) or to satisfy tax withholding obligations with respect to any type of award will not be available for future issuance under the Plan.</w:t>
      </w:r>
    </w:p>
    <w:p>
      <w:pPr>
        <w:spacing w:after="0" w:line="66" w:lineRule="exact"/>
        <w:rPr>
          <w:rFonts w:ascii="Arial" w:cs="Arial" w:eastAsia="Arial" w:hAnsi="Arial"/>
          <w:sz w:val="17"/>
          <w:szCs w:val="17"/>
          <w:color w:val="F0533D"/>
        </w:rPr>
      </w:pPr>
    </w:p>
    <w:p>
      <w:pPr>
        <w:ind w:left="900" w:hanging="356"/>
        <w:spacing w:after="0"/>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No Gross-Ups</w:t>
      </w:r>
      <w:r>
        <w:rPr>
          <w:rFonts w:ascii="Arial" w:cs="Arial" w:eastAsia="Arial" w:hAnsi="Arial"/>
          <w:sz w:val="17"/>
          <w:szCs w:val="17"/>
          <w:color w:val="auto"/>
        </w:rPr>
        <w:t>. The Plan does not provide for tax gross-ups. </w:t>
      </w:r>
    </w:p>
    <w:p>
      <w:pPr>
        <w:spacing w:after="0" w:line="101" w:lineRule="exact"/>
        <w:rPr>
          <w:rFonts w:ascii="Arial" w:cs="Arial" w:eastAsia="Arial" w:hAnsi="Arial"/>
          <w:sz w:val="17"/>
          <w:szCs w:val="17"/>
          <w:color w:val="F0533D"/>
        </w:rPr>
      </w:pPr>
    </w:p>
    <w:p>
      <w:pPr>
        <w:ind w:left="900" w:right="199" w:hanging="356"/>
        <w:spacing w:after="0" w:line="267"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No Repricing without Stockholder Approval</w:t>
      </w:r>
      <w:r>
        <w:rPr>
          <w:rFonts w:ascii="Arial" w:cs="Arial" w:eastAsia="Arial" w:hAnsi="Arial"/>
          <w:sz w:val="17"/>
          <w:szCs w:val="17"/>
          <w:color w:val="auto"/>
        </w:rPr>
        <w:t>. The Plan prohibits the repricing of stock options or SARs</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stockholder approval.</w:t>
      </w:r>
    </w:p>
    <w:p>
      <w:pPr>
        <w:spacing w:after="0" w:line="51" w:lineRule="exact"/>
        <w:rPr>
          <w:rFonts w:ascii="Arial" w:cs="Arial" w:eastAsia="Arial" w:hAnsi="Arial"/>
          <w:sz w:val="17"/>
          <w:szCs w:val="17"/>
          <w:color w:val="F0533D"/>
        </w:rPr>
      </w:pPr>
    </w:p>
    <w:p>
      <w:pPr>
        <w:ind w:left="900" w:right="99" w:hanging="356"/>
        <w:spacing w:after="0" w:line="267"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No Discounted Options or SARs</w:t>
      </w:r>
      <w:r>
        <w:rPr>
          <w:rFonts w:ascii="Arial" w:cs="Arial" w:eastAsia="Arial" w:hAnsi="Arial"/>
          <w:sz w:val="17"/>
          <w:szCs w:val="17"/>
          <w:color w:val="auto"/>
        </w:rPr>
        <w:t>. Stock options and SARs may not be granted with exercise price below</w:t>
      </w:r>
      <w:r>
        <w:rPr>
          <w:rFonts w:ascii="Arial" w:cs="Arial" w:eastAsia="Arial" w:hAnsi="Arial"/>
          <w:sz w:val="17"/>
          <w:szCs w:val="17"/>
          <w:b w:val="1"/>
          <w:bCs w:val="1"/>
          <w:color w:val="auto"/>
        </w:rPr>
        <w:t xml:space="preserve"> </w:t>
      </w:r>
      <w:r>
        <w:rPr>
          <w:rFonts w:ascii="Arial" w:cs="Arial" w:eastAsia="Arial" w:hAnsi="Arial"/>
          <w:sz w:val="17"/>
          <w:szCs w:val="17"/>
          <w:color w:val="auto"/>
        </w:rPr>
        <w:t>fair market value.</w:t>
      </w:r>
    </w:p>
    <w:p>
      <w:pPr>
        <w:spacing w:after="0" w:line="51" w:lineRule="exact"/>
        <w:rPr>
          <w:rFonts w:ascii="Arial" w:cs="Arial" w:eastAsia="Arial" w:hAnsi="Arial"/>
          <w:sz w:val="17"/>
          <w:szCs w:val="17"/>
          <w:color w:val="F0533D"/>
        </w:rPr>
      </w:pPr>
    </w:p>
    <w:p>
      <w:pPr>
        <w:ind w:left="900" w:right="639" w:hanging="356"/>
        <w:spacing w:after="0" w:line="249" w:lineRule="auto"/>
        <w:tabs>
          <w:tab w:leader="none" w:pos="900" w:val="left"/>
        </w:tabs>
        <w:numPr>
          <w:ilvl w:val="0"/>
          <w:numId w:val="106"/>
        </w:numPr>
        <w:rPr>
          <w:rFonts w:ascii="Arial" w:cs="Arial" w:eastAsia="Arial" w:hAnsi="Arial"/>
          <w:sz w:val="17"/>
          <w:szCs w:val="17"/>
          <w:color w:val="F0533D"/>
        </w:rPr>
      </w:pPr>
      <w:r>
        <w:rPr>
          <w:rFonts w:ascii="Arial" w:cs="Arial" w:eastAsia="Arial" w:hAnsi="Arial"/>
          <w:sz w:val="17"/>
          <w:szCs w:val="17"/>
          <w:b w:val="1"/>
          <w:bCs w:val="1"/>
          <w:color w:val="auto"/>
        </w:rPr>
        <w:t>Clear Change in Control Disclosure</w:t>
      </w:r>
      <w:r>
        <w:rPr>
          <w:rFonts w:ascii="Arial" w:cs="Arial" w:eastAsia="Arial" w:hAnsi="Arial"/>
          <w:sz w:val="17"/>
          <w:szCs w:val="17"/>
          <w:color w:val="auto"/>
        </w:rPr>
        <w:t>. Under the plan’s default terms, employee awards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assumed or replaced in a change in control of the Company service vest if there is a subsequent qualifying involuntary termination of employment (frequently referred to as “double-trigger” vesting).</w:t>
      </w:r>
    </w:p>
    <w:p>
      <w:pPr>
        <w:spacing w:after="0" w:line="19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9" w:name="page90"/>
    <w:bookmarkEnd w:id="8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EQUITY PLAN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679"/>
        <w:spacing w:after="0" w:line="249" w:lineRule="auto"/>
        <w:rPr>
          <w:sz w:val="20"/>
          <w:szCs w:val="20"/>
          <w:color w:val="auto"/>
        </w:rPr>
      </w:pPr>
      <w:r>
        <w:rPr>
          <w:rFonts w:ascii="Arial" w:cs="Arial" w:eastAsia="Arial" w:hAnsi="Arial"/>
          <w:sz w:val="17"/>
          <w:szCs w:val="17"/>
          <w:color w:val="auto"/>
        </w:rPr>
        <w:t>The CHC Committee considers dilution and overhang in evaluating equity plan usage and determining the recommended share capacity of the Plan. The information provided in this Equity Plan Metrics section is as of June 3, 2026, the record date for the annual meeting, except where noted otherwise.</w:t>
      </w:r>
    </w:p>
    <w:p>
      <w:pPr>
        <w:spacing w:after="0" w:line="121" w:lineRule="exact"/>
        <w:rPr>
          <w:sz w:val="20"/>
          <w:szCs w:val="20"/>
          <w:color w:val="auto"/>
        </w:rPr>
      </w:pPr>
    </w:p>
    <w:p>
      <w:pPr>
        <w:jc w:val="both"/>
        <w:ind w:left="80" w:right="199"/>
        <w:spacing w:after="0" w:line="256" w:lineRule="auto"/>
        <w:rPr>
          <w:sz w:val="20"/>
          <w:szCs w:val="20"/>
          <w:color w:val="auto"/>
        </w:rPr>
      </w:pPr>
      <w:r>
        <w:rPr>
          <w:rFonts w:ascii="Arial" w:cs="Arial" w:eastAsia="Arial" w:hAnsi="Arial"/>
          <w:sz w:val="17"/>
          <w:szCs w:val="17"/>
          <w:b w:val="1"/>
          <w:bCs w:val="1"/>
          <w:i w:val="1"/>
          <w:iCs w:val="1"/>
          <w:color w:val="auto"/>
        </w:rPr>
        <w:t>Dilution</w:t>
      </w:r>
      <w:r>
        <w:rPr>
          <w:rFonts w:ascii="Arial" w:cs="Arial" w:eastAsia="Arial" w:hAnsi="Arial"/>
          <w:sz w:val="17"/>
          <w:szCs w:val="17"/>
          <w:color w:val="auto"/>
        </w:rPr>
        <w:t>. The potential dilution</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(calculated as defined below)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from issuing all of the 7,600,000 additional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shares authorized under the Plan, plus the 6,548,473 shares that remain available for grant, and taking into account outstanding awards, </w:t>
      </w:r>
      <w:r>
        <w:rPr>
          <w:rFonts w:ascii="Arial" w:cs="Arial" w:eastAsia="Arial" w:hAnsi="Arial"/>
          <w:sz w:val="17"/>
          <w:szCs w:val="17"/>
          <w:b w:val="1"/>
          <w:bCs w:val="1"/>
          <w:color w:val="auto"/>
        </w:rPr>
        <w:t>would be 12.8%</w:t>
      </w:r>
      <w:r>
        <w:rPr>
          <w:rFonts w:ascii="Arial" w:cs="Arial" w:eastAsia="Arial" w:hAnsi="Arial"/>
          <w:sz w:val="17"/>
          <w:szCs w:val="17"/>
          <w:color w:val="auto"/>
        </w:rPr>
        <w:t>.</w:t>
      </w:r>
    </w:p>
    <w:p>
      <w:pPr>
        <w:spacing w:after="0" w:line="157"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following table provides detail regarding the potential dilution resulting from the Plan:</w:t>
      </w:r>
    </w:p>
    <w:p>
      <w:pPr>
        <w:spacing w:after="0" w:line="24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840" w:type="dxa"/>
            <w:vAlign w:val="bottom"/>
          </w:tcPr>
          <w:p>
            <w:pPr>
              <w:jc w:val="center"/>
              <w:ind w:left="6"/>
              <w:spacing w:after="0"/>
              <w:rPr>
                <w:sz w:val="20"/>
                <w:szCs w:val="20"/>
                <w:color w:val="auto"/>
              </w:rPr>
            </w:pPr>
            <w:r>
              <w:rPr>
                <w:rFonts w:ascii="Arial" w:cs="Arial" w:eastAsia="Arial" w:hAnsi="Arial"/>
                <w:sz w:val="14"/>
                <w:szCs w:val="14"/>
                <w:b w:val="1"/>
                <w:bCs w:val="1"/>
                <w:color w:val="F0533D"/>
              </w:rPr>
              <w:t>Number of</w:t>
            </w:r>
          </w:p>
        </w:tc>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2"/>
        </w:trPr>
        <w:tc>
          <w:tcPr>
            <w:tcW w:w="1680" w:type="dxa"/>
            <w:vAlign w:val="bottom"/>
          </w:tcPr>
          <w:p>
            <w:pPr>
              <w:spacing w:after="0"/>
              <w:rPr>
                <w:sz w:val="14"/>
                <w:szCs w:val="14"/>
                <w:color w:val="auto"/>
              </w:rPr>
            </w:pPr>
          </w:p>
        </w:tc>
        <w:tc>
          <w:tcPr>
            <w:tcW w:w="1840" w:type="dxa"/>
            <w:vAlign w:val="bottom"/>
          </w:tcPr>
          <w:p>
            <w:pPr>
              <w:jc w:val="center"/>
              <w:ind w:left="6"/>
              <w:spacing w:after="0"/>
              <w:rPr>
                <w:sz w:val="20"/>
                <w:szCs w:val="20"/>
                <w:color w:val="auto"/>
              </w:rPr>
            </w:pPr>
            <w:r>
              <w:rPr>
                <w:rFonts w:ascii="Arial" w:cs="Arial" w:eastAsia="Arial" w:hAnsi="Arial"/>
                <w:sz w:val="14"/>
                <w:szCs w:val="14"/>
                <w:b w:val="1"/>
                <w:bCs w:val="1"/>
                <w:color w:val="F0533D"/>
              </w:rPr>
              <w:t>Shares</w:t>
            </w:r>
          </w:p>
        </w:tc>
        <w:tc>
          <w:tcPr>
            <w:tcW w:w="1760" w:type="dxa"/>
            <w:vAlign w:val="bottom"/>
          </w:tcPr>
          <w:p>
            <w:pPr>
              <w:spacing w:after="0"/>
              <w:rPr>
                <w:sz w:val="14"/>
                <w:szCs w:val="14"/>
                <w:color w:val="auto"/>
              </w:rPr>
            </w:pPr>
          </w:p>
        </w:tc>
        <w:tc>
          <w:tcPr>
            <w:tcW w:w="1880" w:type="dxa"/>
            <w:vAlign w:val="bottom"/>
          </w:tcPr>
          <w:p>
            <w:pPr>
              <w:jc w:val="center"/>
              <w:ind w:right="105"/>
              <w:spacing w:after="0"/>
              <w:rPr>
                <w:sz w:val="20"/>
                <w:szCs w:val="20"/>
                <w:color w:val="auto"/>
              </w:rPr>
            </w:pPr>
            <w:r>
              <w:rPr>
                <w:rFonts w:ascii="Arial" w:cs="Arial" w:eastAsia="Arial" w:hAnsi="Arial"/>
                <w:sz w:val="14"/>
                <w:szCs w:val="14"/>
                <w:b w:val="1"/>
                <w:bCs w:val="1"/>
                <w:color w:val="F0533D"/>
              </w:rPr>
              <w:t>Shares of</w:t>
            </w:r>
          </w:p>
        </w:tc>
        <w:tc>
          <w:tcPr>
            <w:tcW w:w="1700" w:type="dxa"/>
            <w:vAlign w:val="bottom"/>
          </w:tcPr>
          <w:p>
            <w:pPr>
              <w:spacing w:after="0"/>
              <w:rPr>
                <w:sz w:val="14"/>
                <w:szCs w:val="14"/>
                <w:color w:val="auto"/>
              </w:rPr>
            </w:pPr>
          </w:p>
        </w:tc>
      </w:tr>
      <w:tr>
        <w:trPr>
          <w:trHeight w:val="162"/>
        </w:trPr>
        <w:tc>
          <w:tcPr>
            <w:tcW w:w="1680" w:type="dxa"/>
            <w:vAlign w:val="bottom"/>
          </w:tcPr>
          <w:p>
            <w:pPr>
              <w:ind w:left="160"/>
              <w:spacing w:after="0"/>
              <w:rPr>
                <w:sz w:val="20"/>
                <w:szCs w:val="20"/>
                <w:color w:val="auto"/>
              </w:rPr>
            </w:pPr>
            <w:r>
              <w:rPr>
                <w:rFonts w:ascii="Arial" w:cs="Arial" w:eastAsia="Arial" w:hAnsi="Arial"/>
                <w:sz w:val="14"/>
                <w:szCs w:val="14"/>
                <w:b w:val="1"/>
                <w:bCs w:val="1"/>
                <w:color w:val="F0533D"/>
              </w:rPr>
              <w:t>Number of</w:t>
            </w:r>
          </w:p>
        </w:tc>
        <w:tc>
          <w:tcPr>
            <w:tcW w:w="1840" w:type="dxa"/>
            <w:vAlign w:val="bottom"/>
          </w:tcPr>
          <w:p>
            <w:pPr>
              <w:jc w:val="center"/>
              <w:ind w:left="26"/>
              <w:spacing w:after="0"/>
              <w:rPr>
                <w:sz w:val="20"/>
                <w:szCs w:val="20"/>
                <w:color w:val="auto"/>
              </w:rPr>
            </w:pPr>
            <w:r>
              <w:rPr>
                <w:rFonts w:ascii="Arial" w:cs="Arial" w:eastAsia="Arial" w:hAnsi="Arial"/>
                <w:sz w:val="14"/>
                <w:szCs w:val="14"/>
                <w:b w:val="1"/>
                <w:bCs w:val="1"/>
                <w:color w:val="F0533D"/>
              </w:rPr>
              <w:t>Remaining</w:t>
            </w:r>
          </w:p>
        </w:tc>
        <w:tc>
          <w:tcPr>
            <w:tcW w:w="1760" w:type="dxa"/>
            <w:vAlign w:val="bottom"/>
          </w:tcPr>
          <w:p>
            <w:pPr>
              <w:spacing w:after="0"/>
              <w:rPr>
                <w:sz w:val="14"/>
                <w:szCs w:val="14"/>
                <w:color w:val="auto"/>
              </w:rPr>
            </w:pPr>
          </w:p>
        </w:tc>
        <w:tc>
          <w:tcPr>
            <w:tcW w:w="1880" w:type="dxa"/>
            <w:vAlign w:val="bottom"/>
          </w:tcPr>
          <w:p>
            <w:pPr>
              <w:jc w:val="center"/>
              <w:ind w:right="105"/>
              <w:spacing w:after="0"/>
              <w:rPr>
                <w:sz w:val="20"/>
                <w:szCs w:val="20"/>
                <w:color w:val="auto"/>
              </w:rPr>
            </w:pPr>
            <w:r>
              <w:rPr>
                <w:rFonts w:ascii="Arial" w:cs="Arial" w:eastAsia="Arial" w:hAnsi="Arial"/>
                <w:sz w:val="14"/>
                <w:szCs w:val="14"/>
                <w:b w:val="1"/>
                <w:bCs w:val="1"/>
                <w:color w:val="F0533D"/>
              </w:rPr>
              <w:t>Common Stock</w:t>
            </w:r>
          </w:p>
        </w:tc>
        <w:tc>
          <w:tcPr>
            <w:tcW w:w="1700" w:type="dxa"/>
            <w:vAlign w:val="bottom"/>
          </w:tcPr>
          <w:p>
            <w:pPr>
              <w:spacing w:after="0"/>
              <w:rPr>
                <w:sz w:val="14"/>
                <w:szCs w:val="14"/>
                <w:color w:val="auto"/>
              </w:rPr>
            </w:pPr>
          </w:p>
        </w:tc>
      </w:tr>
      <w:tr>
        <w:trPr>
          <w:trHeight w:val="162"/>
        </w:trPr>
        <w:tc>
          <w:tcPr>
            <w:tcW w:w="1680" w:type="dxa"/>
            <w:vAlign w:val="bottom"/>
          </w:tcPr>
          <w:p>
            <w:pPr>
              <w:ind w:left="160"/>
              <w:spacing w:after="0"/>
              <w:rPr>
                <w:sz w:val="20"/>
                <w:szCs w:val="20"/>
                <w:color w:val="auto"/>
              </w:rPr>
            </w:pPr>
            <w:r>
              <w:rPr>
                <w:rFonts w:ascii="Arial" w:cs="Arial" w:eastAsia="Arial" w:hAnsi="Arial"/>
                <w:sz w:val="14"/>
                <w:szCs w:val="14"/>
                <w:b w:val="1"/>
                <w:bCs w:val="1"/>
                <w:color w:val="F0533D"/>
              </w:rPr>
              <w:t>Outstanding</w:t>
            </w:r>
          </w:p>
        </w:tc>
        <w:tc>
          <w:tcPr>
            <w:tcW w:w="1840" w:type="dxa"/>
            <w:vAlign w:val="bottom"/>
          </w:tcPr>
          <w:p>
            <w:pPr>
              <w:jc w:val="center"/>
              <w:ind w:left="26"/>
              <w:spacing w:after="0"/>
              <w:rPr>
                <w:sz w:val="20"/>
                <w:szCs w:val="20"/>
                <w:color w:val="auto"/>
              </w:rPr>
            </w:pPr>
            <w:r>
              <w:rPr>
                <w:rFonts w:ascii="Arial" w:cs="Arial" w:eastAsia="Arial" w:hAnsi="Arial"/>
                <w:sz w:val="14"/>
                <w:szCs w:val="14"/>
                <w:b w:val="1"/>
                <w:bCs w:val="1"/>
                <w:color w:val="F0533D"/>
              </w:rPr>
              <w:t>Available for</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F0533D"/>
              </w:rPr>
              <w:t>Proposed Share</w:t>
            </w:r>
          </w:p>
        </w:tc>
        <w:tc>
          <w:tcPr>
            <w:tcW w:w="1880" w:type="dxa"/>
            <w:vAlign w:val="bottom"/>
          </w:tcPr>
          <w:p>
            <w:pPr>
              <w:jc w:val="center"/>
              <w:ind w:right="105"/>
              <w:spacing w:after="0"/>
              <w:rPr>
                <w:sz w:val="20"/>
                <w:szCs w:val="20"/>
                <w:color w:val="auto"/>
              </w:rPr>
            </w:pPr>
            <w:r>
              <w:rPr>
                <w:rFonts w:ascii="Arial" w:cs="Arial" w:eastAsia="Arial" w:hAnsi="Arial"/>
                <w:sz w:val="14"/>
                <w:szCs w:val="14"/>
                <w:b w:val="1"/>
                <w:bCs w:val="1"/>
                <w:color w:val="F0533D"/>
              </w:rPr>
              <w:t>Outstanding as</w:t>
            </w:r>
          </w:p>
        </w:tc>
        <w:tc>
          <w:tcPr>
            <w:tcW w:w="1700" w:type="dxa"/>
            <w:vAlign w:val="bottom"/>
          </w:tcPr>
          <w:p>
            <w:pPr>
              <w:spacing w:after="0"/>
              <w:rPr>
                <w:sz w:val="14"/>
                <w:szCs w:val="14"/>
                <w:color w:val="auto"/>
              </w:rPr>
            </w:pPr>
          </w:p>
        </w:tc>
      </w:tr>
      <w:tr>
        <w:trPr>
          <w:trHeight w:val="205"/>
        </w:trPr>
        <w:tc>
          <w:tcPr>
            <w:tcW w:w="168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Equity Awards</w:t>
            </w:r>
          </w:p>
        </w:tc>
        <w:tc>
          <w:tcPr>
            <w:tcW w:w="1840" w:type="dxa"/>
            <w:vAlign w:val="bottom"/>
            <w:tcBorders>
              <w:bottom w:val="single" w:sz="8" w:color="F0533D"/>
            </w:tcBorders>
          </w:tcPr>
          <w:p>
            <w:pPr>
              <w:jc w:val="center"/>
              <w:ind w:left="46"/>
              <w:spacing w:after="0"/>
              <w:rPr>
                <w:sz w:val="20"/>
                <w:szCs w:val="20"/>
                <w:color w:val="auto"/>
              </w:rPr>
            </w:pPr>
            <w:r>
              <w:rPr>
                <w:rFonts w:ascii="Arial" w:cs="Arial" w:eastAsia="Arial" w:hAnsi="Arial"/>
                <w:sz w:val="14"/>
                <w:szCs w:val="14"/>
                <w:b w:val="1"/>
                <w:bCs w:val="1"/>
                <w:color w:val="F0533D"/>
              </w:rPr>
              <w:t>Future Grants</w:t>
            </w:r>
          </w:p>
        </w:tc>
        <w:tc>
          <w:tcPr>
            <w:tcW w:w="176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Increase</w:t>
            </w:r>
          </w:p>
        </w:tc>
        <w:tc>
          <w:tcPr>
            <w:tcW w:w="1880" w:type="dxa"/>
            <w:vAlign w:val="bottom"/>
            <w:tcBorders>
              <w:bottom w:val="single" w:sz="8" w:color="F0533D"/>
            </w:tcBorders>
          </w:tcPr>
          <w:p>
            <w:pPr>
              <w:jc w:val="center"/>
              <w:ind w:right="65"/>
              <w:spacing w:after="0"/>
              <w:rPr>
                <w:sz w:val="20"/>
                <w:szCs w:val="20"/>
                <w:color w:val="auto"/>
              </w:rPr>
            </w:pPr>
            <w:r>
              <w:rPr>
                <w:rFonts w:ascii="Arial" w:cs="Arial" w:eastAsia="Arial" w:hAnsi="Arial"/>
                <w:sz w:val="14"/>
                <w:szCs w:val="14"/>
                <w:b w:val="1"/>
                <w:bCs w:val="1"/>
                <w:color w:val="F0533D"/>
              </w:rPr>
              <w:t>of June 3, 2026</w:t>
            </w:r>
          </w:p>
        </w:tc>
        <w:tc>
          <w:tcPr>
            <w:tcW w:w="1700" w:type="dxa"/>
            <w:vAlign w:val="bottom"/>
            <w:tcBorders>
              <w:bottom w:val="single" w:sz="8" w:color="F0533D"/>
            </w:tcBorders>
          </w:tcPr>
          <w:p>
            <w:pPr>
              <w:jc w:val="right"/>
              <w:ind w:right="601"/>
              <w:spacing w:after="0"/>
              <w:rPr>
                <w:sz w:val="20"/>
                <w:szCs w:val="20"/>
                <w:color w:val="auto"/>
              </w:rPr>
            </w:pPr>
            <w:r>
              <w:rPr>
                <w:rFonts w:ascii="Arial" w:cs="Arial" w:eastAsia="Arial" w:hAnsi="Arial"/>
                <w:sz w:val="14"/>
                <w:szCs w:val="14"/>
                <w:b w:val="1"/>
                <w:bCs w:val="1"/>
                <w:color w:val="F0533D"/>
              </w:rPr>
              <w:t>Dilution</w:t>
            </w:r>
          </w:p>
        </w:tc>
      </w:tr>
      <w:tr>
        <w:trPr>
          <w:trHeight w:val="270"/>
        </w:trPr>
        <w:tc>
          <w:tcPr>
            <w:tcW w:w="1680" w:type="dxa"/>
            <w:vAlign w:val="bottom"/>
            <w:tcBorders>
              <w:bottom w:val="single" w:sz="8" w:color="F0533D"/>
            </w:tcBorders>
          </w:tcPr>
          <w:p>
            <w:pPr>
              <w:ind w:left="160"/>
              <w:spacing w:after="0" w:line="270" w:lineRule="exact"/>
              <w:rPr>
                <w:sz w:val="20"/>
                <w:szCs w:val="20"/>
                <w:color w:val="auto"/>
              </w:rPr>
            </w:pPr>
            <w:r>
              <w:rPr>
                <w:rFonts w:ascii="Arial" w:cs="Arial" w:eastAsia="Arial" w:hAnsi="Arial"/>
                <w:sz w:val="17"/>
                <w:szCs w:val="17"/>
                <w:color w:val="auto"/>
              </w:rPr>
              <w:t>18,186,012</w:t>
            </w:r>
            <w:r>
              <w:rPr>
                <w:rFonts w:ascii="Arial" w:cs="Arial" w:eastAsia="Arial" w:hAnsi="Arial"/>
                <w:sz w:val="28"/>
                <w:szCs w:val="28"/>
                <w:color w:val="auto"/>
                <w:vertAlign w:val="superscript"/>
              </w:rPr>
              <w:t>(1)</w:t>
            </w:r>
          </w:p>
        </w:tc>
        <w:tc>
          <w:tcPr>
            <w:tcW w:w="1840" w:type="dxa"/>
            <w:vAlign w:val="bottom"/>
            <w:tcBorders>
              <w:bottom w:val="single" w:sz="8" w:color="F0533D"/>
            </w:tcBorders>
          </w:tcPr>
          <w:p>
            <w:pPr>
              <w:jc w:val="right"/>
              <w:ind w:right="226"/>
              <w:spacing w:after="0" w:line="270" w:lineRule="exact"/>
              <w:rPr>
                <w:sz w:val="20"/>
                <w:szCs w:val="20"/>
                <w:color w:val="auto"/>
              </w:rPr>
            </w:pPr>
            <w:r>
              <w:rPr>
                <w:rFonts w:ascii="Arial" w:cs="Arial" w:eastAsia="Arial" w:hAnsi="Arial"/>
                <w:sz w:val="17"/>
                <w:szCs w:val="17"/>
                <w:color w:val="auto"/>
              </w:rPr>
              <w:t>6,548,473</w:t>
            </w:r>
            <w:r>
              <w:rPr>
                <w:rFonts w:ascii="Arial" w:cs="Arial" w:eastAsia="Arial" w:hAnsi="Arial"/>
                <w:sz w:val="28"/>
                <w:szCs w:val="28"/>
                <w:color w:val="auto"/>
                <w:vertAlign w:val="superscript"/>
              </w:rPr>
              <w:t>(2)</w:t>
            </w:r>
          </w:p>
        </w:tc>
        <w:tc>
          <w:tcPr>
            <w:tcW w:w="1760" w:type="dxa"/>
            <w:vAlign w:val="bottom"/>
            <w:tcBorders>
              <w:bottom w:val="single" w:sz="8" w:color="F0533D"/>
            </w:tcBorders>
          </w:tcPr>
          <w:p>
            <w:pPr>
              <w:jc w:val="right"/>
              <w:ind w:right="244"/>
              <w:spacing w:after="0" w:line="270" w:lineRule="exact"/>
              <w:rPr>
                <w:sz w:val="20"/>
                <w:szCs w:val="20"/>
                <w:color w:val="auto"/>
              </w:rPr>
            </w:pPr>
            <w:r>
              <w:rPr>
                <w:rFonts w:ascii="Arial" w:cs="Arial" w:eastAsia="Arial" w:hAnsi="Arial"/>
                <w:sz w:val="17"/>
                <w:szCs w:val="17"/>
                <w:color w:val="auto"/>
              </w:rPr>
              <w:t>7,600,000</w:t>
            </w:r>
            <w:r>
              <w:rPr>
                <w:rFonts w:ascii="Arial" w:cs="Arial" w:eastAsia="Arial" w:hAnsi="Arial"/>
                <w:sz w:val="28"/>
                <w:szCs w:val="28"/>
                <w:color w:val="auto"/>
                <w:vertAlign w:val="superscript"/>
              </w:rPr>
              <w:t>(3)</w:t>
            </w:r>
          </w:p>
        </w:tc>
        <w:tc>
          <w:tcPr>
            <w:tcW w:w="1880" w:type="dxa"/>
            <w:vAlign w:val="bottom"/>
            <w:tcBorders>
              <w:bottom w:val="single" w:sz="8" w:color="F0533D"/>
            </w:tcBorders>
          </w:tcPr>
          <w:p>
            <w:pPr>
              <w:jc w:val="center"/>
              <w:ind w:right="65"/>
              <w:spacing w:after="0"/>
              <w:rPr>
                <w:sz w:val="20"/>
                <w:szCs w:val="20"/>
                <w:color w:val="auto"/>
              </w:rPr>
            </w:pPr>
            <w:r>
              <w:rPr>
                <w:rFonts w:ascii="Arial" w:cs="Arial" w:eastAsia="Arial" w:hAnsi="Arial"/>
                <w:sz w:val="17"/>
                <w:szCs w:val="17"/>
                <w:color w:val="auto"/>
                <w:w w:val="99"/>
              </w:rPr>
              <w:t>220,517,208</w:t>
            </w:r>
          </w:p>
        </w:tc>
        <w:tc>
          <w:tcPr>
            <w:tcW w:w="1700" w:type="dxa"/>
            <w:vAlign w:val="bottom"/>
            <w:tcBorders>
              <w:bottom w:val="single" w:sz="8" w:color="F0533D"/>
            </w:tcBorders>
          </w:tcPr>
          <w:p>
            <w:pPr>
              <w:jc w:val="right"/>
              <w:ind w:right="381"/>
              <w:spacing w:after="0" w:line="270" w:lineRule="exact"/>
              <w:rPr>
                <w:sz w:val="20"/>
                <w:szCs w:val="20"/>
                <w:color w:val="auto"/>
              </w:rPr>
            </w:pPr>
            <w:r>
              <w:rPr>
                <w:rFonts w:ascii="Arial" w:cs="Arial" w:eastAsia="Arial" w:hAnsi="Arial"/>
                <w:sz w:val="17"/>
                <w:szCs w:val="17"/>
                <w:color w:val="auto"/>
              </w:rPr>
              <w:t>12.8%</w:t>
            </w:r>
            <w:r>
              <w:rPr>
                <w:rFonts w:ascii="Arial" w:cs="Arial" w:eastAsia="Arial" w:hAnsi="Arial"/>
                <w:sz w:val="28"/>
                <w:szCs w:val="28"/>
                <w:color w:val="auto"/>
                <w:vertAlign w:val="superscript"/>
              </w:rPr>
              <w:t>(4)</w:t>
            </w:r>
          </w:p>
        </w:tc>
      </w:tr>
    </w:tbl>
    <w:p>
      <w:pPr>
        <w:spacing w:after="0" w:line="307" w:lineRule="exact"/>
        <w:rPr>
          <w:sz w:val="20"/>
          <w:szCs w:val="20"/>
          <w:color w:val="auto"/>
        </w:rPr>
      </w:pPr>
    </w:p>
    <w:p>
      <w:pPr>
        <w:ind w:left="540" w:right="119" w:hanging="356"/>
        <w:spacing w:after="0" w:line="215" w:lineRule="auto"/>
        <w:tabs>
          <w:tab w:leader="none" w:pos="54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Consists of the following awards outstanding under the existing Amended and Restated Kyndryl 2021 Long Term Performance Plan, effective July 27, 2023 (the Existing Plan): (a) 2,477,448 stock options, (b) 6,408,440 performance share units (assuming maximum performance with respect to each of the performance measures) and (c) 9,300,124 restricted stock units. The weighted average exercise price of the 2,477,448 stock options outstanding was $17.78 and the weighted average remaining term was 5.34 years based on a simplified method due to the Company’s limited history of option exercise and forfeiture activity.</w:t>
      </w:r>
    </w:p>
    <w:p>
      <w:pPr>
        <w:spacing w:after="0" w:line="6"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Represents shares that are available for grant under the Existing Plan.</w:t>
      </w:r>
    </w:p>
    <w:p>
      <w:pPr>
        <w:spacing w:after="0" w:line="65" w:lineRule="exact"/>
        <w:rPr>
          <w:rFonts w:ascii="Arial" w:cs="Arial" w:eastAsia="Arial" w:hAnsi="Arial"/>
          <w:sz w:val="23"/>
          <w:szCs w:val="23"/>
          <w:color w:val="auto"/>
          <w:vertAlign w:val="superscript"/>
        </w:rPr>
      </w:pPr>
    </w:p>
    <w:p>
      <w:pPr>
        <w:ind w:left="540" w:hanging="356"/>
        <w:spacing w:after="0" w:line="185" w:lineRule="auto"/>
        <w:tabs>
          <w:tab w:leader="none" w:pos="54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Represents the proposed share increase if the Plan is approved by stockholders.</w:t>
      </w:r>
    </w:p>
    <w:p>
      <w:pPr>
        <w:spacing w:after="0" w:line="70" w:lineRule="exact"/>
        <w:rPr>
          <w:rFonts w:ascii="Arial" w:cs="Arial" w:eastAsia="Arial" w:hAnsi="Arial"/>
          <w:sz w:val="23"/>
          <w:szCs w:val="23"/>
          <w:color w:val="auto"/>
          <w:vertAlign w:val="superscript"/>
        </w:rPr>
      </w:pPr>
    </w:p>
    <w:p>
      <w:pPr>
        <w:ind w:left="540" w:right="179" w:hanging="356"/>
        <w:spacing w:after="0" w:line="210" w:lineRule="auto"/>
        <w:tabs>
          <w:tab w:leader="none" w:pos="540" w:val="left"/>
        </w:tabs>
        <w:numPr>
          <w:ilvl w:val="0"/>
          <w:numId w:val="107"/>
        </w:numPr>
        <w:rPr>
          <w:rFonts w:ascii="Arial" w:cs="Arial" w:eastAsia="Arial" w:hAnsi="Arial"/>
          <w:sz w:val="23"/>
          <w:szCs w:val="23"/>
          <w:color w:val="auto"/>
          <w:vertAlign w:val="superscript"/>
        </w:rPr>
      </w:pPr>
      <w:r>
        <w:rPr>
          <w:rFonts w:ascii="Arial" w:cs="Arial" w:eastAsia="Arial" w:hAnsi="Arial"/>
          <w:sz w:val="15"/>
          <w:szCs w:val="15"/>
          <w:color w:val="auto"/>
        </w:rPr>
        <w:t>Dilution is calculated by dividing (a) the sum of (1) the 18,186,012 outstanding equity awards, (2) the 6,548,473 shares remaining available for future grants under the Existing Plan and (3) the 7,600,000 additional shares requested to be made available for grant if this proposal is approved by stockholders by (b) the sum of (1), (2) and (3) above and the 220,517,208 shares of common stock outstanding.</w:t>
      </w:r>
    </w:p>
    <w:p>
      <w:pPr>
        <w:spacing w:after="0" w:line="121"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Assuming approval of the Plan, as of the Effective Date, and subject to changes in capitalization as well as the Plan’s share counting rules, a total of 14,148,473 shares (representing 6,548,473 shares that were available for future grants under the Existing Plan and 7,600,000 newly added shares) will be authorized and available for awards granted under the Plan, less one share for every one share that was subject to an award granted under the Existing Plan after June 3, 2026 and prior to the Effective Date.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SUMMARY OF MATERIAL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659"/>
        <w:spacing w:after="0" w:line="267" w:lineRule="auto"/>
        <w:rPr>
          <w:sz w:val="20"/>
          <w:szCs w:val="20"/>
          <w:color w:val="auto"/>
        </w:rPr>
      </w:pPr>
      <w:r>
        <w:rPr>
          <w:rFonts w:ascii="Arial" w:cs="Arial" w:eastAsia="Arial" w:hAnsi="Arial"/>
          <w:sz w:val="17"/>
          <w:szCs w:val="17"/>
          <w:color w:val="auto"/>
        </w:rPr>
        <w:t>The following summary of the material provisions of the Plan, as proposed to be amended and restated, is not intended to be exhaustive. A copy of the Plan is set forth as Annex A hereto.</w:t>
      </w:r>
    </w:p>
    <w:p>
      <w:pPr>
        <w:spacing w:after="0" w:line="105" w:lineRule="exact"/>
        <w:rPr>
          <w:sz w:val="20"/>
          <w:szCs w:val="20"/>
          <w:color w:val="auto"/>
        </w:rPr>
      </w:pPr>
    </w:p>
    <w:p>
      <w:pPr>
        <w:ind w:left="80" w:right="119"/>
        <w:spacing w:after="0" w:line="267" w:lineRule="auto"/>
        <w:rPr>
          <w:sz w:val="20"/>
          <w:szCs w:val="20"/>
          <w:color w:val="auto"/>
        </w:rPr>
      </w:pPr>
      <w:r>
        <w:rPr>
          <w:rFonts w:ascii="Arial" w:cs="Arial" w:eastAsia="Arial" w:hAnsi="Arial"/>
          <w:sz w:val="17"/>
          <w:szCs w:val="17"/>
          <w:b w:val="1"/>
          <w:bCs w:val="1"/>
          <w:i w:val="1"/>
          <w:iCs w:val="1"/>
          <w:color w:val="auto"/>
        </w:rPr>
        <w:t>Purpose of the Plan</w:t>
      </w:r>
      <w:r>
        <w:rPr>
          <w:rFonts w:ascii="Arial" w:cs="Arial" w:eastAsia="Arial" w:hAnsi="Arial"/>
          <w:sz w:val="17"/>
          <w:szCs w:val="17"/>
          <w:color w:val="auto"/>
        </w:rPr>
        <w:t>. The Plan is designed to attract, motivate and retain our employees and other service providers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to align their interests with those of our stockholders by providing long-term equity-based incentives.</w:t>
      </w:r>
    </w:p>
    <w:p>
      <w:pPr>
        <w:spacing w:after="0" w:line="105" w:lineRule="exact"/>
        <w:rPr>
          <w:sz w:val="20"/>
          <w:szCs w:val="20"/>
          <w:color w:val="auto"/>
        </w:rPr>
      </w:pPr>
    </w:p>
    <w:p>
      <w:pPr>
        <w:ind w:left="80" w:right="99"/>
        <w:spacing w:after="0" w:line="244" w:lineRule="auto"/>
        <w:rPr>
          <w:sz w:val="20"/>
          <w:szCs w:val="20"/>
          <w:color w:val="auto"/>
        </w:rPr>
      </w:pPr>
      <w:r>
        <w:rPr>
          <w:rFonts w:ascii="Arial" w:cs="Arial" w:eastAsia="Arial" w:hAnsi="Arial"/>
          <w:sz w:val="17"/>
          <w:szCs w:val="17"/>
          <w:b w:val="1"/>
          <w:bCs w:val="1"/>
          <w:i w:val="1"/>
          <w:iCs w:val="1"/>
          <w:color w:val="auto"/>
        </w:rPr>
        <w:t>Term of Plan</w:t>
      </w:r>
      <w:r>
        <w:rPr>
          <w:rFonts w:ascii="Arial" w:cs="Arial" w:eastAsia="Arial" w:hAnsi="Arial"/>
          <w:sz w:val="17"/>
          <w:szCs w:val="17"/>
          <w:color w:val="auto"/>
        </w:rPr>
        <w:t>. The Plan will remain in effect for a term of 10 years from its effective date, unless earlier terminated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in accordance with its terms. After the Plan is terminated, no awards may be granted under the Plan, but awards previously granted shall remain outstanding in accordance with their applicable terms and conditions and the Plan’s terms and conditions applicable to such awards.</w:t>
      </w:r>
    </w:p>
    <w:p>
      <w:pPr>
        <w:spacing w:after="0" w:line="123" w:lineRule="exact"/>
        <w:rPr>
          <w:sz w:val="20"/>
          <w:szCs w:val="20"/>
          <w:color w:val="auto"/>
        </w:rPr>
      </w:pPr>
    </w:p>
    <w:p>
      <w:pPr>
        <w:ind w:left="80" w:right="139"/>
        <w:spacing w:after="0" w:line="244" w:lineRule="auto"/>
        <w:rPr>
          <w:sz w:val="20"/>
          <w:szCs w:val="20"/>
          <w:color w:val="auto"/>
        </w:rPr>
      </w:pP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The CHC Committee administers the Plan and has broad authority to select participants, determine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type, size and terms of awards and interpret and apply the provisions of the Plan and applicable award agreements. The CHC Committee may also adopt rules and procedures for the administration of the Plan and, to the extent permitted, delegate its authority.</w:t>
      </w:r>
    </w:p>
    <w:p>
      <w:pPr>
        <w:spacing w:after="0" w:line="123" w:lineRule="exact"/>
        <w:rPr>
          <w:sz w:val="20"/>
          <w:szCs w:val="20"/>
          <w:color w:val="auto"/>
        </w:rPr>
      </w:pPr>
    </w:p>
    <w:p>
      <w:pPr>
        <w:ind w:left="80" w:right="179"/>
        <w:spacing w:after="0" w:line="267" w:lineRule="auto"/>
        <w:rPr>
          <w:sz w:val="20"/>
          <w:szCs w:val="20"/>
          <w:color w:val="auto"/>
        </w:rPr>
      </w:pPr>
      <w:r>
        <w:rPr>
          <w:rFonts w:ascii="Arial" w:cs="Arial" w:eastAsia="Arial" w:hAnsi="Arial"/>
          <w:sz w:val="17"/>
          <w:szCs w:val="17"/>
          <w:b w:val="1"/>
          <w:bCs w:val="1"/>
          <w:i w:val="1"/>
          <w:iCs w:val="1"/>
          <w:color w:val="auto"/>
        </w:rPr>
        <w:t>Eligibility</w:t>
      </w:r>
      <w:r>
        <w:rPr>
          <w:rFonts w:ascii="Arial" w:cs="Arial" w:eastAsia="Arial" w:hAnsi="Arial"/>
          <w:sz w:val="17"/>
          <w:szCs w:val="17"/>
          <w:color w:val="auto"/>
        </w:rPr>
        <w:t>. Our non-employee directors, employees and service providers (including those that have accepted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of employment or service from us) or those of our subsidiaries are eligible to receive awards under the Plan, as</w:t>
      </w:r>
    </w:p>
    <w:p>
      <w:pPr>
        <w:spacing w:after="0" w:line="18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0" w:name="page91"/>
    <w:bookmarkEnd w:id="9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379"/>
        <w:spacing w:after="0" w:line="249" w:lineRule="auto"/>
        <w:rPr>
          <w:sz w:val="20"/>
          <w:szCs w:val="20"/>
          <w:color w:val="auto"/>
        </w:rPr>
      </w:pPr>
      <w:r>
        <w:rPr>
          <w:rFonts w:ascii="Arial" w:cs="Arial" w:eastAsia="Arial" w:hAnsi="Arial"/>
          <w:sz w:val="17"/>
          <w:szCs w:val="17"/>
          <w:color w:val="auto"/>
        </w:rPr>
        <w:t>determined by the CHC Committee (or its delegates, as applicable) in its sole discretion. As of March 31, 2026, approximately 766 employees (including our executive officers) and the 9 non-employee members of our board of directors are eligible to participate in the Plan.</w:t>
      </w:r>
    </w:p>
    <w:p>
      <w:pPr>
        <w:spacing w:after="0" w:line="121"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b w:val="1"/>
          <w:bCs w:val="1"/>
          <w:i w:val="1"/>
          <w:iCs w:val="1"/>
          <w:color w:val="auto"/>
        </w:rPr>
        <w:t>Shares Available for Awards</w:t>
      </w:r>
      <w:r>
        <w:rPr>
          <w:rFonts w:ascii="Arial" w:cs="Arial" w:eastAsia="Arial" w:hAnsi="Arial"/>
          <w:sz w:val="17"/>
          <w:szCs w:val="17"/>
          <w:color w:val="auto"/>
        </w:rPr>
        <w:t>. Assuming approval of the Plan, as of its effectiveness, the number of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authorized and available for awards granted under the Plan would be 14,148,473, subject to adjustment as provided in the Plan (the share capacity of the Plan, including shares no longer available for the grant of new awards would be 55,500,000). Shares covered by awards that are not earned, or that expire or are forfeited, terminated, canceled or settled in cash, will be available for future issuance under awards. However, shares tendered to or withheld by us in connection with the exercise of stock options or SARs, or the payment of tax withholding on any award, will not be available for future issuance under awards. Substitute awards and awards assumed in connection with corporate transactions will not reduce the shares authorized for issuance under the Plan. The number of shares of common stock available for grant in the form of ISOs under the Plan is limited to the total initial share capacity of the Plan (which would be 55,500,000).</w:t>
      </w:r>
    </w:p>
    <w:p>
      <w:pPr>
        <w:spacing w:after="0" w:line="130" w:lineRule="exact"/>
        <w:rPr>
          <w:sz w:val="20"/>
          <w:szCs w:val="20"/>
          <w:color w:val="auto"/>
        </w:rPr>
      </w:pPr>
    </w:p>
    <w:p>
      <w:pPr>
        <w:ind w:left="80" w:right="159"/>
        <w:spacing w:after="0" w:line="241" w:lineRule="auto"/>
        <w:rPr>
          <w:sz w:val="20"/>
          <w:szCs w:val="20"/>
          <w:color w:val="auto"/>
        </w:rPr>
      </w:pPr>
      <w:r>
        <w:rPr>
          <w:rFonts w:ascii="Arial" w:cs="Arial" w:eastAsia="Arial" w:hAnsi="Arial"/>
          <w:sz w:val="17"/>
          <w:szCs w:val="17"/>
          <w:b w:val="1"/>
          <w:bCs w:val="1"/>
          <w:i w:val="1"/>
          <w:iCs w:val="1"/>
          <w:color w:val="auto"/>
        </w:rPr>
        <w:t>Types of Awards</w:t>
      </w:r>
      <w:r>
        <w:rPr>
          <w:rFonts w:ascii="Arial" w:cs="Arial" w:eastAsia="Arial" w:hAnsi="Arial"/>
          <w:sz w:val="17"/>
          <w:szCs w:val="17"/>
          <w:color w:val="auto"/>
        </w:rPr>
        <w:t>. Under the Plan, we have the flexibility to grant stock options (including ISOs), SARs,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restricted stock units, cash-based awards and other awards based, in whole or in part, on the value of our common stock, in each case, subject to the terms and conditions established by the CHC Committee and set forth in the applicable award agreement. Awards may be subject to time-based or performance-based vesting criteria as established by the CHC Committee.</w:t>
      </w:r>
    </w:p>
    <w:p>
      <w:pPr>
        <w:spacing w:after="0" w:line="72" w:lineRule="exact"/>
        <w:rPr>
          <w:sz w:val="20"/>
          <w:szCs w:val="20"/>
          <w:color w:val="auto"/>
        </w:rPr>
      </w:pPr>
    </w:p>
    <w:p>
      <w:pPr>
        <w:ind w:left="900" w:right="199" w:hanging="356"/>
        <w:spacing w:after="0" w:line="244" w:lineRule="auto"/>
        <w:tabs>
          <w:tab w:leader="none" w:pos="900" w:val="left"/>
        </w:tabs>
        <w:numPr>
          <w:ilvl w:val="0"/>
          <w:numId w:val="108"/>
        </w:numPr>
        <w:rPr>
          <w:rFonts w:ascii="Arial" w:cs="Arial" w:eastAsia="Arial" w:hAnsi="Arial"/>
          <w:sz w:val="17"/>
          <w:szCs w:val="17"/>
          <w:color w:val="F0533D"/>
        </w:rPr>
      </w:pPr>
      <w:r>
        <w:rPr>
          <w:rFonts w:ascii="Arial" w:cs="Arial" w:eastAsia="Arial" w:hAnsi="Arial"/>
          <w:sz w:val="17"/>
          <w:szCs w:val="17"/>
          <w:color w:val="auto"/>
        </w:rPr>
        <w:t xml:space="preserve">A </w:t>
      </w:r>
      <w:r>
        <w:rPr>
          <w:rFonts w:ascii="Arial" w:cs="Arial" w:eastAsia="Arial" w:hAnsi="Arial"/>
          <w:sz w:val="17"/>
          <w:szCs w:val="17"/>
          <w:b w:val="1"/>
          <w:bCs w:val="1"/>
          <w:color w:val="auto"/>
        </w:rPr>
        <w:t>Stock Option</w:t>
      </w:r>
      <w:r>
        <w:rPr>
          <w:rFonts w:ascii="Arial" w:cs="Arial" w:eastAsia="Arial" w:hAnsi="Arial"/>
          <w:sz w:val="17"/>
          <w:szCs w:val="17"/>
          <w:color w:val="auto"/>
        </w:rPr>
        <w:t xml:space="preserve"> is a grant of a right to purchase a specified number of shares of common stock at an exercise price determined by the CHC Committee, which shall be not less than 100% of fair market value of a share of common stock on the date of grant (other than in the case of substitute awards). A stock option may be qualified (an ISO) or nonqualified.</w:t>
      </w:r>
    </w:p>
    <w:p>
      <w:pPr>
        <w:spacing w:after="0" w:line="69" w:lineRule="exact"/>
        <w:rPr>
          <w:rFonts w:ascii="Arial" w:cs="Arial" w:eastAsia="Arial" w:hAnsi="Arial"/>
          <w:sz w:val="17"/>
          <w:szCs w:val="17"/>
          <w:color w:val="F0533D"/>
        </w:rPr>
      </w:pPr>
    </w:p>
    <w:p>
      <w:pPr>
        <w:ind w:left="900" w:right="139" w:hanging="356"/>
        <w:spacing w:after="0" w:line="244" w:lineRule="auto"/>
        <w:tabs>
          <w:tab w:leader="none" w:pos="900" w:val="left"/>
        </w:tabs>
        <w:numPr>
          <w:ilvl w:val="0"/>
          <w:numId w:val="108"/>
        </w:numPr>
        <w:rPr>
          <w:rFonts w:ascii="Arial" w:cs="Arial" w:eastAsia="Arial" w:hAnsi="Arial"/>
          <w:sz w:val="17"/>
          <w:szCs w:val="17"/>
          <w:color w:val="F0533D"/>
        </w:rPr>
      </w:pPr>
      <w:r>
        <w:rPr>
          <w:rFonts w:ascii="Arial" w:cs="Arial" w:eastAsia="Arial" w:hAnsi="Arial"/>
          <w:sz w:val="17"/>
          <w:szCs w:val="17"/>
          <w:color w:val="auto"/>
        </w:rPr>
        <w:t xml:space="preserve">A </w:t>
      </w:r>
      <w:r>
        <w:rPr>
          <w:rFonts w:ascii="Arial" w:cs="Arial" w:eastAsia="Arial" w:hAnsi="Arial"/>
          <w:sz w:val="17"/>
          <w:szCs w:val="17"/>
          <w:b w:val="1"/>
          <w:bCs w:val="1"/>
          <w:color w:val="auto"/>
        </w:rPr>
        <w:t>Stock Appreciation Right (SAR)</w:t>
      </w:r>
      <w:r>
        <w:rPr>
          <w:rFonts w:ascii="Arial" w:cs="Arial" w:eastAsia="Arial" w:hAnsi="Arial"/>
          <w:sz w:val="17"/>
          <w:szCs w:val="17"/>
          <w:color w:val="auto"/>
        </w:rPr>
        <w:t xml:space="preserve"> is a right to receive a payment, in cash and/or shares of common stock, equal to the excess of the fair market value of a specified number of shares of common stock on the date of exercise over the grant price, which shall not be less than 100% of the fair market value on the date of grant (other than in the case of substitute awards).</w:t>
      </w:r>
    </w:p>
    <w:p>
      <w:pPr>
        <w:spacing w:after="0" w:line="69" w:lineRule="exact"/>
        <w:rPr>
          <w:rFonts w:ascii="Arial" w:cs="Arial" w:eastAsia="Arial" w:hAnsi="Arial"/>
          <w:sz w:val="17"/>
          <w:szCs w:val="17"/>
          <w:color w:val="F0533D"/>
        </w:rPr>
      </w:pPr>
    </w:p>
    <w:p>
      <w:pPr>
        <w:ind w:left="900" w:right="219" w:hanging="356"/>
        <w:spacing w:after="0" w:line="249" w:lineRule="auto"/>
        <w:tabs>
          <w:tab w:leader="none" w:pos="900" w:val="left"/>
        </w:tabs>
        <w:numPr>
          <w:ilvl w:val="0"/>
          <w:numId w:val="108"/>
        </w:numPr>
        <w:rPr>
          <w:rFonts w:ascii="Arial" w:cs="Arial" w:eastAsia="Arial" w:hAnsi="Arial"/>
          <w:sz w:val="17"/>
          <w:szCs w:val="17"/>
          <w:color w:val="F0533D"/>
        </w:rPr>
      </w:pPr>
      <w:r>
        <w:rPr>
          <w:rFonts w:ascii="Arial" w:cs="Arial" w:eastAsia="Arial" w:hAnsi="Arial"/>
          <w:sz w:val="17"/>
          <w:szCs w:val="17"/>
          <w:color w:val="auto"/>
        </w:rPr>
        <w:t xml:space="preserve">A </w:t>
      </w:r>
      <w:r>
        <w:rPr>
          <w:rFonts w:ascii="Arial" w:cs="Arial" w:eastAsia="Arial" w:hAnsi="Arial"/>
          <w:sz w:val="17"/>
          <w:szCs w:val="17"/>
          <w:b w:val="1"/>
          <w:bCs w:val="1"/>
          <w:color w:val="auto"/>
        </w:rPr>
        <w:t>Stock Award</w:t>
      </w:r>
      <w:r>
        <w:rPr>
          <w:rFonts w:ascii="Arial" w:cs="Arial" w:eastAsia="Arial" w:hAnsi="Arial"/>
          <w:sz w:val="17"/>
          <w:szCs w:val="17"/>
          <w:color w:val="auto"/>
        </w:rPr>
        <w:t xml:space="preserve"> is an award in the form of “Restricted Stock” or “Restricted Stock Units,” which represent shares or the right to receive shares of common stock, subject to such vesting, forfeiture and other conditions as determined by the CHC Committee and set forth in the applicable award agreement.</w:t>
      </w:r>
    </w:p>
    <w:p>
      <w:pPr>
        <w:spacing w:after="0" w:line="66" w:lineRule="exact"/>
        <w:rPr>
          <w:rFonts w:ascii="Arial" w:cs="Arial" w:eastAsia="Arial" w:hAnsi="Arial"/>
          <w:sz w:val="17"/>
          <w:szCs w:val="17"/>
          <w:color w:val="F0533D"/>
        </w:rPr>
      </w:pPr>
    </w:p>
    <w:p>
      <w:pPr>
        <w:jc w:val="both"/>
        <w:ind w:left="900" w:right="159" w:hanging="356"/>
        <w:spacing w:after="0" w:line="249" w:lineRule="auto"/>
        <w:tabs>
          <w:tab w:leader="none" w:pos="900" w:val="left"/>
        </w:tabs>
        <w:numPr>
          <w:ilvl w:val="0"/>
          <w:numId w:val="108"/>
        </w:numPr>
        <w:rPr>
          <w:rFonts w:ascii="Arial" w:cs="Arial" w:eastAsia="Arial" w:hAnsi="Arial"/>
          <w:sz w:val="17"/>
          <w:szCs w:val="17"/>
          <w:color w:val="F0533D"/>
        </w:rPr>
      </w:pPr>
      <w:r>
        <w:rPr>
          <w:rFonts w:ascii="Arial" w:cs="Arial" w:eastAsia="Arial" w:hAnsi="Arial"/>
          <w:sz w:val="17"/>
          <w:szCs w:val="17"/>
          <w:color w:val="auto"/>
        </w:rPr>
        <w:t xml:space="preserve">A </w:t>
      </w:r>
      <w:r>
        <w:rPr>
          <w:rFonts w:ascii="Arial" w:cs="Arial" w:eastAsia="Arial" w:hAnsi="Arial"/>
          <w:sz w:val="17"/>
          <w:szCs w:val="17"/>
          <w:b w:val="1"/>
          <w:bCs w:val="1"/>
          <w:color w:val="auto"/>
        </w:rPr>
        <w:t>Cash Award</w:t>
      </w:r>
      <w:r>
        <w:rPr>
          <w:rFonts w:ascii="Arial" w:cs="Arial" w:eastAsia="Arial" w:hAnsi="Arial"/>
          <w:sz w:val="17"/>
          <w:szCs w:val="17"/>
          <w:color w:val="auto"/>
        </w:rPr>
        <w:t xml:space="preserve"> is an award denominated in cash, with the eventual payment amount and terms subject to such conditions, including future service and other restrictions and conditions, as established by the CHC Committee.</w:t>
      </w:r>
    </w:p>
    <w:p>
      <w:pPr>
        <w:spacing w:after="0" w:line="66" w:lineRule="exact"/>
        <w:rPr>
          <w:rFonts w:ascii="Arial" w:cs="Arial" w:eastAsia="Arial" w:hAnsi="Arial"/>
          <w:sz w:val="17"/>
          <w:szCs w:val="17"/>
          <w:color w:val="F0533D"/>
        </w:rPr>
      </w:pPr>
    </w:p>
    <w:p>
      <w:pPr>
        <w:ind w:left="900" w:right="419" w:hanging="356"/>
        <w:spacing w:after="0" w:line="249" w:lineRule="auto"/>
        <w:tabs>
          <w:tab w:leader="none" w:pos="900" w:val="left"/>
        </w:tabs>
        <w:numPr>
          <w:ilvl w:val="0"/>
          <w:numId w:val="108"/>
        </w:numPr>
        <w:rPr>
          <w:rFonts w:ascii="Arial" w:cs="Arial" w:eastAsia="Arial" w:hAnsi="Arial"/>
          <w:sz w:val="17"/>
          <w:szCs w:val="17"/>
          <w:color w:val="F0533D"/>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or</w:t>
      </w:r>
      <w:r>
        <w:rPr>
          <w:rFonts w:ascii="Arial" w:cs="Arial" w:eastAsia="Arial" w:hAnsi="Arial"/>
          <w:sz w:val="17"/>
          <w:szCs w:val="17"/>
          <w:b w:val="1"/>
          <w:bCs w:val="1"/>
          <w:color w:val="auto"/>
        </w:rPr>
        <w:t xml:space="preserve"> dividend equivalent rights </w:t>
      </w:r>
      <w:r>
        <w:rPr>
          <w:rFonts w:ascii="Arial" w:cs="Arial" w:eastAsia="Arial" w:hAnsi="Arial"/>
          <w:sz w:val="17"/>
          <w:szCs w:val="17"/>
          <w:color w:val="auto"/>
        </w:rPr>
        <w:t>may be granted with respect to awards, subject to terms</w:t>
      </w:r>
      <w:r>
        <w:rPr>
          <w:rFonts w:ascii="Arial" w:cs="Arial" w:eastAsia="Arial" w:hAnsi="Arial"/>
          <w:sz w:val="17"/>
          <w:szCs w:val="17"/>
          <w:b w:val="1"/>
          <w:bCs w:val="1"/>
          <w:color w:val="auto"/>
        </w:rPr>
        <w:t xml:space="preserve"> </w:t>
      </w:r>
      <w:r>
        <w:rPr>
          <w:rFonts w:ascii="Arial" w:cs="Arial" w:eastAsia="Arial" w:hAnsi="Arial"/>
          <w:sz w:val="17"/>
          <w:szCs w:val="17"/>
          <w:color w:val="auto"/>
        </w:rPr>
        <w:t>established by the CHC Committee; provided that any such amounts will be paid only to the extent the underlying award vests.</w:t>
      </w:r>
    </w:p>
    <w:p>
      <w:pPr>
        <w:spacing w:after="0" w:line="121" w:lineRule="exact"/>
        <w:rPr>
          <w:sz w:val="20"/>
          <w:szCs w:val="20"/>
          <w:color w:val="auto"/>
        </w:rPr>
      </w:pPr>
    </w:p>
    <w:p>
      <w:pPr>
        <w:ind w:left="80" w:right="119"/>
        <w:spacing w:after="0" w:line="235" w:lineRule="auto"/>
        <w:rPr>
          <w:sz w:val="20"/>
          <w:szCs w:val="20"/>
          <w:color w:val="auto"/>
        </w:rPr>
      </w:pPr>
      <w:r>
        <w:rPr>
          <w:rFonts w:ascii="Arial" w:cs="Arial" w:eastAsia="Arial" w:hAnsi="Arial"/>
          <w:sz w:val="17"/>
          <w:szCs w:val="17"/>
          <w:b w:val="1"/>
          <w:bCs w:val="1"/>
          <w:i w:val="1"/>
          <w:iCs w:val="1"/>
          <w:color w:val="auto"/>
        </w:rPr>
        <w:t>Adjustments</w:t>
      </w:r>
      <w:r>
        <w:rPr>
          <w:rFonts w:ascii="Arial" w:cs="Arial" w:eastAsia="Arial" w:hAnsi="Arial"/>
          <w:sz w:val="17"/>
          <w:szCs w:val="17"/>
          <w:color w:val="auto"/>
        </w:rPr>
        <w:t>. In the event of certain changes in the Company’s capitalization, including stock splits, stock dividends,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combinations, recapitalizations, mergers, reorganizations or similar transactions, the CHC Committee shall make equitable adjustment to: (1) the number and type of shares available under the Plan; (2) the number and type of shares subject to outstanding awards; (3) the exercise or grant prices of such awards; and (4) other terms and conditions of such awards, including, as applicable, performance goals, in each case as it determines appropriate to prevent dilution or enlargement of benefits. In connection with a corporate transaction, the CHC Committee may also provide for the continuation, assumption, substitution, conversion into cash, securities or other property, cancellation or cash settlement of outstanding awards, in each case on such terms as it determines appropriate. The CHC Committee may, upon at least 10 days’ advance notice to the affected participants, cancel any outstanding award and pay to the holders thereof, in cash, securities or other property (including of the acquiring or successor company), or any combination thereof, an amount based on the price per share received or to be received by stockholders in the transaction (it being understood that stock options or SARs with an exercise or hurdle price at or above fair market value may be canceled without payment). Treatment is subject to compliance with Section 409A of the Code.</w:t>
      </w:r>
    </w:p>
    <w:p>
      <w:pPr>
        <w:spacing w:after="0" w:line="128" w:lineRule="exact"/>
        <w:rPr>
          <w:sz w:val="20"/>
          <w:szCs w:val="20"/>
          <w:color w:val="auto"/>
        </w:rPr>
      </w:pPr>
    </w:p>
    <w:p>
      <w:pPr>
        <w:ind w:left="80" w:right="139"/>
        <w:spacing w:after="0" w:line="267" w:lineRule="auto"/>
        <w:rPr>
          <w:sz w:val="20"/>
          <w:szCs w:val="20"/>
          <w:color w:val="auto"/>
        </w:rPr>
      </w:pPr>
      <w:r>
        <w:rPr>
          <w:rFonts w:ascii="Arial" w:cs="Arial" w:eastAsia="Arial" w:hAnsi="Arial"/>
          <w:sz w:val="17"/>
          <w:szCs w:val="17"/>
          <w:b w:val="1"/>
          <w:bCs w:val="1"/>
          <w:i w:val="1"/>
          <w:iCs w:val="1"/>
          <w:color w:val="auto"/>
        </w:rPr>
        <w:t>Non-Employee Director Compensation Limit</w:t>
      </w:r>
      <w:r>
        <w:rPr>
          <w:rFonts w:ascii="Arial" w:cs="Arial" w:eastAsia="Arial" w:hAnsi="Arial"/>
          <w:sz w:val="17"/>
          <w:szCs w:val="17"/>
          <w:color w:val="auto"/>
        </w:rPr>
        <w:t>. Non-employee directors may not receive awards for service as non-employee directors in any fiscal year with a fair market value (together with any cash fees) in excess of $750,000.</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86 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1" w:name="page92"/>
    <w:bookmarkEnd w:id="9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39"/>
        <w:spacing w:after="0" w:line="236" w:lineRule="auto"/>
        <w:rPr>
          <w:sz w:val="20"/>
          <w:szCs w:val="20"/>
          <w:color w:val="auto"/>
        </w:rPr>
      </w:pPr>
      <w:r>
        <w:rPr>
          <w:rFonts w:ascii="Arial" w:cs="Arial" w:eastAsia="Arial" w:hAnsi="Arial"/>
          <w:sz w:val="17"/>
          <w:szCs w:val="17"/>
          <w:b w:val="1"/>
          <w:bCs w:val="1"/>
          <w:i w:val="1"/>
          <w:iCs w:val="1"/>
          <w:color w:val="auto"/>
        </w:rPr>
        <w:t>Minimum Vesting Condition</w:t>
      </w:r>
      <w:r>
        <w:rPr>
          <w:rFonts w:ascii="Arial" w:cs="Arial" w:eastAsia="Arial" w:hAnsi="Arial"/>
          <w:sz w:val="17"/>
          <w:szCs w:val="17"/>
          <w:color w:val="auto"/>
        </w:rPr>
        <w:t>. Awards generally vest no earlier than the first anniversary of the date of grant,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limited exceptions: (1) awards covering up to 5% of the share capacity; (2) awards granted to non-employee directors in connection with annual meetings of stockholders (which may vest on the earlier of the one-year anniversary of the date of grant or the date of our next annual meeting of stockholders which is at least 50 weeks after the preceding year’s annual meeting); and (3) awards granted in substitution for awards of an acquired company that were scheduled to vest within such one-year period, as may be determined by the CHC Committee; provided that the foregoing restriction does not apply to the CHC Committee’s discretion to provide for accelerated exercisability or vesting of any award, including in cases of a termination of employment or service (including as a result of retirement, death or disability) or a change in control in the terms of the awards or otherwise.</w:t>
      </w:r>
    </w:p>
    <w:p>
      <w:pPr>
        <w:spacing w:after="0" w:line="133" w:lineRule="exact"/>
        <w:rPr>
          <w:sz w:val="20"/>
          <w:szCs w:val="20"/>
          <w:color w:val="auto"/>
        </w:rPr>
      </w:pPr>
    </w:p>
    <w:p>
      <w:pPr>
        <w:ind w:left="80" w:right="119"/>
        <w:spacing w:after="0" w:line="244" w:lineRule="auto"/>
        <w:rPr>
          <w:sz w:val="20"/>
          <w:szCs w:val="20"/>
          <w:color w:val="auto"/>
        </w:rPr>
      </w:pPr>
      <w:r>
        <w:rPr>
          <w:rFonts w:ascii="Arial" w:cs="Arial" w:eastAsia="Arial" w:hAnsi="Arial"/>
          <w:sz w:val="17"/>
          <w:szCs w:val="17"/>
          <w:b w:val="1"/>
          <w:bCs w:val="1"/>
          <w:i w:val="1"/>
          <w:iCs w:val="1"/>
          <w:color w:val="auto"/>
        </w:rPr>
        <w:t>Repricing Prohibited</w:t>
      </w:r>
      <w:r>
        <w:rPr>
          <w:rFonts w:ascii="Arial" w:cs="Arial" w:eastAsia="Arial" w:hAnsi="Arial"/>
          <w:sz w:val="17"/>
          <w:szCs w:val="17"/>
          <w:color w:val="auto"/>
        </w:rPr>
        <w:t>. The CHC Committee may not, without stockholder approval, amend outstanding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or SARs to reduce the exercise or grant price, cancel such awards in exchange for cash or other awards with a lower price, or take any other action that would be reportable in the Company’s proxy statement as repricing, result in repricing for financial statement purposes or otherwise be treated as a repricing under the rules of the NYSE.</w:t>
      </w:r>
    </w:p>
    <w:p>
      <w:pPr>
        <w:spacing w:after="0" w:line="123" w:lineRule="exact"/>
        <w:rPr>
          <w:sz w:val="20"/>
          <w:szCs w:val="20"/>
          <w:color w:val="auto"/>
        </w:rPr>
      </w:pPr>
    </w:p>
    <w:p>
      <w:pPr>
        <w:ind w:left="80" w:right="199"/>
        <w:spacing w:after="0" w:line="238" w:lineRule="auto"/>
        <w:rPr>
          <w:sz w:val="20"/>
          <w:szCs w:val="20"/>
          <w:color w:val="auto"/>
        </w:rPr>
      </w:pPr>
      <w:r>
        <w:rPr>
          <w:rFonts w:ascii="Arial" w:cs="Arial" w:eastAsia="Arial" w:hAnsi="Arial"/>
          <w:sz w:val="17"/>
          <w:szCs w:val="17"/>
          <w:b w:val="1"/>
          <w:bCs w:val="1"/>
          <w:i w:val="1"/>
          <w:iCs w:val="1"/>
          <w:color w:val="auto"/>
        </w:rPr>
        <w:t>Forfeiture/Clawback</w:t>
      </w:r>
      <w:r>
        <w:rPr>
          <w:rFonts w:ascii="Arial" w:cs="Arial" w:eastAsia="Arial" w:hAnsi="Arial"/>
          <w:sz w:val="17"/>
          <w:szCs w:val="17"/>
          <w:color w:val="auto"/>
        </w:rPr>
        <w:t>. All awards (including time- and performance-based awards) are subject to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clawback policy as described under “Compensation Discussion and Analysis — Additional Compensation Information — Clawback Policy” and applicable law, including any policies adopted to comply with stock exchange listing standards. In addition, except to the extent otherwise provided in an applicable award, the CHC Committee may cancel, rescind, suspend, withhold or otherwise limit or restrict any unexpired, unpaid or deferred awards, if a participant fails to comply with the applicable terms of the Plan or such award agreement, in each case to the extent permitted by applicable law.</w:t>
      </w:r>
    </w:p>
    <w:p>
      <w:pPr>
        <w:spacing w:after="0" w:line="128" w:lineRule="exact"/>
        <w:rPr>
          <w:sz w:val="20"/>
          <w:szCs w:val="20"/>
          <w:color w:val="auto"/>
        </w:rPr>
      </w:pPr>
    </w:p>
    <w:p>
      <w:pPr>
        <w:ind w:left="80" w:right="99"/>
        <w:spacing w:after="0" w:line="234" w:lineRule="auto"/>
        <w:rPr>
          <w:sz w:val="20"/>
          <w:szCs w:val="20"/>
          <w:color w:val="auto"/>
        </w:rPr>
      </w:pPr>
      <w:r>
        <w:rPr>
          <w:rFonts w:ascii="Arial" w:cs="Arial" w:eastAsia="Arial" w:hAnsi="Arial"/>
          <w:sz w:val="17"/>
          <w:szCs w:val="17"/>
          <w:b w:val="1"/>
          <w:bCs w:val="1"/>
          <w:i w:val="1"/>
          <w:iCs w:val="1"/>
          <w:color w:val="auto"/>
        </w:rPr>
        <w:t>Effect of a Change in Control on Awards</w:t>
      </w:r>
      <w:r>
        <w:rPr>
          <w:rFonts w:ascii="Arial" w:cs="Arial" w:eastAsia="Arial" w:hAnsi="Arial"/>
          <w:sz w:val="17"/>
          <w:szCs w:val="17"/>
          <w:color w:val="auto"/>
        </w:rPr>
        <w:t>. The Plan provides that in the event of a change in control,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of award agreements, if the acquirer or successor company in such change in control has agreed to provide for the substitution, assumption, exchange or other continuation of awards granted pursuant to the Plan, then, if a participant’s employment with or service to the Company or an affiliate is terminated by the Company or affiliate without cause (and other than due to death or disability) on or within 24 months following a change in control, then, all outstanding stock options and SARs will become fully exercisable, all time-based vesting conditions applicable to awards will fully vest, and any performance-based vesting conditions applicable to any award outstanding as of the change in control will be deemed achieved at the greater of target achievement level or actual performance achieved, as determined by the CHC Committee through the date of consummation of the change in control; or if the acquirer or successor company in such change in control has not agreed to provide for the substitution, assumption, exchange or other continuation of awards granted pursuant to the Plan, then all outstanding stock options and SARs will become fully exercisable, all time-based vesting conditions applicable to awards will fully vest, and any performance-based vesting conditions applicable to any award outstanding as of the change in control will be deemed achieved at the greater of target achievement level or actual performance achieved, as determined by the CHC Committee through the date of consummation of the change in control. With respect to all outstanding awards held by non-employee directors as of the consummation of the change in control, all outstanding stock options and SARs will become fully exercisable, and all time-based vesting conditions applicable to awards will fully vest.</w:t>
      </w:r>
    </w:p>
    <w:p>
      <w:pPr>
        <w:spacing w:after="0" w:line="135" w:lineRule="exact"/>
        <w:rPr>
          <w:sz w:val="20"/>
          <w:szCs w:val="20"/>
          <w:color w:val="auto"/>
        </w:rPr>
      </w:pPr>
    </w:p>
    <w:p>
      <w:pPr>
        <w:ind w:left="80" w:right="459"/>
        <w:spacing w:after="0" w:line="244" w:lineRule="auto"/>
        <w:rPr>
          <w:sz w:val="20"/>
          <w:szCs w:val="20"/>
          <w:color w:val="auto"/>
        </w:rPr>
      </w:pPr>
      <w:r>
        <w:rPr>
          <w:rFonts w:ascii="Arial" w:cs="Arial" w:eastAsia="Arial" w:hAnsi="Arial"/>
          <w:sz w:val="17"/>
          <w:szCs w:val="17"/>
          <w:b w:val="1"/>
          <w:bCs w:val="1"/>
          <w:i w:val="1"/>
          <w:iCs w:val="1"/>
          <w:color w:val="auto"/>
        </w:rPr>
        <w:t>Deferral</w:t>
      </w:r>
      <w:r>
        <w:rPr>
          <w:rFonts w:ascii="Arial" w:cs="Arial" w:eastAsia="Arial" w:hAnsi="Arial"/>
          <w:sz w:val="17"/>
          <w:szCs w:val="17"/>
          <w:color w:val="auto"/>
        </w:rPr>
        <w:t>. With CHC Committee approval, payments may be deferred, in installments or as a future lump sum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in accordance with procedures or a separate plan as may be established from time to time by the CHC Committee. Any deferred payment, whether elected by the participant or specified by the applicable award agreement or the CHC Committee, may be subject to forfeiture as described in “Forfeiture/Clawback” above.</w:t>
      </w:r>
    </w:p>
    <w:p>
      <w:pPr>
        <w:spacing w:after="0" w:line="123" w:lineRule="exact"/>
        <w:rPr>
          <w:sz w:val="20"/>
          <w:szCs w:val="20"/>
          <w:color w:val="auto"/>
        </w:rPr>
      </w:pPr>
    </w:p>
    <w:p>
      <w:pPr>
        <w:ind w:left="80" w:right="239"/>
        <w:spacing w:after="0" w:line="237" w:lineRule="auto"/>
        <w:rPr>
          <w:sz w:val="20"/>
          <w:szCs w:val="20"/>
          <w:color w:val="auto"/>
        </w:rPr>
      </w:pPr>
      <w:r>
        <w:rPr>
          <w:rFonts w:ascii="Arial" w:cs="Arial" w:eastAsia="Arial" w:hAnsi="Arial"/>
          <w:sz w:val="17"/>
          <w:szCs w:val="17"/>
          <w:b w:val="1"/>
          <w:bCs w:val="1"/>
          <w:i w:val="1"/>
          <w:iCs w:val="1"/>
          <w:color w:val="auto"/>
        </w:rPr>
        <w:t>Prohibition on Transfer</w:t>
      </w:r>
      <w:r>
        <w:rPr>
          <w:rFonts w:ascii="Arial" w:cs="Arial" w:eastAsia="Arial" w:hAnsi="Arial"/>
          <w:sz w:val="17"/>
          <w:szCs w:val="17"/>
          <w:color w:val="auto"/>
        </w:rPr>
        <w:t>. No award granted under the Plan will be transferable or assignable, or payable to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exercisable by, anyone other than the participant to whom it was granted, except (1) by law, will or the laws of descent and distribution, (2) as a result of the disability of a participant or (3) to the extent that the CHC Committee (in the form of an award agreement or otherwise) permits transfers of awards by gift or otherwise to a member of a participant’s immediate family and/or trusts the beneficiaries of which are members of the participant’s immediate family, or to such other persons or entities as may be approved by the CHC Committee. Notwithstanding the foregoing, in no event will an award be transferred for value or ISOs be transferable or assignable other than by will or by the laws of descent and distribution.</w:t>
      </w:r>
    </w:p>
    <w:p>
      <w:pPr>
        <w:spacing w:after="0" w:line="130"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b w:val="1"/>
          <w:bCs w:val="1"/>
          <w:i w:val="1"/>
          <w:iCs w:val="1"/>
          <w:color w:val="auto"/>
        </w:rPr>
        <w:t>Amendment and Termination</w:t>
      </w:r>
      <w:r>
        <w:rPr>
          <w:rFonts w:ascii="Arial" w:cs="Arial" w:eastAsia="Arial" w:hAnsi="Arial"/>
          <w:sz w:val="17"/>
          <w:szCs w:val="17"/>
          <w:color w:val="auto"/>
        </w:rPr>
        <w:t>. The Board may amend, modify, suspend or terminate the Plan at any time, subject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applicable law; provided, that the Plan may not be amended without stockholder consent to (1) increase the aggregate number of shares of common stock that may be issued under the Plan, except pursuant to the adjustment</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2" w:name="page93"/>
    <w:bookmarkEnd w:id="9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color w:val="auto"/>
        </w:rPr>
        <w:t>provisions of the Plan, (2) permit the granting of stock options or SARs with exercise or grant prices lower than those specified under “Types of Awards” above or (3) take any action with respect to stock options or SARs described under “Repricing Prohibited” above.</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U.S. FEDERAL INCOME TAX TREATMENT OF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299"/>
        <w:spacing w:after="0" w:line="249" w:lineRule="auto"/>
        <w:rPr>
          <w:sz w:val="20"/>
          <w:szCs w:val="20"/>
          <w:color w:val="auto"/>
        </w:rPr>
      </w:pPr>
      <w:r>
        <w:rPr>
          <w:rFonts w:ascii="Arial" w:cs="Arial" w:eastAsia="Arial" w:hAnsi="Arial"/>
          <w:sz w:val="17"/>
          <w:szCs w:val="17"/>
          <w:color w:val="auto"/>
        </w:rPr>
        <w:t>The following is a summary of the principal U.S. federal income tax consequences of transactions under the Plan based on current U.S. federal income tax laws. This summary is not intended to be exhaustive, does not constitute tax advice and, among other things, does not describe state, local or foreign tax consequences.</w:t>
      </w:r>
    </w:p>
    <w:p>
      <w:pPr>
        <w:spacing w:after="0" w:line="121"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b w:val="1"/>
          <w:bCs w:val="1"/>
          <w:i w:val="1"/>
          <w:iCs w:val="1"/>
          <w:color w:val="auto"/>
        </w:rPr>
        <w:t>Nonqualified Stock Options</w:t>
      </w:r>
      <w:r>
        <w:rPr>
          <w:rFonts w:ascii="Arial" w:cs="Arial" w:eastAsia="Arial" w:hAnsi="Arial"/>
          <w:sz w:val="17"/>
          <w:szCs w:val="17"/>
          <w:color w:val="auto"/>
        </w:rPr>
        <w:t>. No taxable income is realized by a participant upon the grant of a stock option. Upon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exercise of a nonqualified stock option, the participant will recognize ordinary compensation income in an amount equal to the excess, if any, of the fair market value of the shares of common stock on the date of exercise over the aggregate option exercise price. The amount recognized as income by the participant is generally deductible by the participant’s employer for federal income tax purposes. The participant’s tax basis in shares of common stock acquired by exercise of a stock option will be equal to the exercise price plus the amount taxable as ordinary income to the participant. Upon a sale of the shares of common stock received by the participant upon exercise of the stock option, any gain or loss will generally be treated for federal income tax purposes as long-term or short-term capital gain or loss, depending upon the holding period of that stock. The participant’s holding period for shares acquired upon the exercise of a stock option begins on the date of exercise of that stock option.</w:t>
      </w:r>
    </w:p>
    <w:p>
      <w:pPr>
        <w:spacing w:after="0" w:line="130" w:lineRule="exact"/>
        <w:rPr>
          <w:sz w:val="20"/>
          <w:szCs w:val="20"/>
          <w:color w:val="auto"/>
        </w:rPr>
      </w:pPr>
    </w:p>
    <w:p>
      <w:pPr>
        <w:ind w:left="80" w:right="99"/>
        <w:spacing w:after="0" w:line="234" w:lineRule="auto"/>
        <w:rPr>
          <w:sz w:val="20"/>
          <w:szCs w:val="20"/>
          <w:color w:val="auto"/>
        </w:rPr>
      </w:pPr>
      <w:r>
        <w:rPr>
          <w:rFonts w:ascii="Arial" w:cs="Arial" w:eastAsia="Arial" w:hAnsi="Arial"/>
          <w:sz w:val="17"/>
          <w:szCs w:val="17"/>
          <w:b w:val="1"/>
          <w:bCs w:val="1"/>
          <w:i w:val="1"/>
          <w:iCs w:val="1"/>
          <w:color w:val="auto"/>
        </w:rPr>
        <w:t>Incentive Stock Options</w:t>
      </w:r>
      <w:r>
        <w:rPr>
          <w:rFonts w:ascii="Arial" w:cs="Arial" w:eastAsia="Arial" w:hAnsi="Arial"/>
          <w:sz w:val="17"/>
          <w:szCs w:val="17"/>
          <w:color w:val="auto"/>
        </w:rPr>
        <w:t>. No taxable income is realized by a participant upon the grant or exercise of an ISO;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however, the exercise of an ISO will give rise to an item of tax preference that may result in alternative minimum tax liability for the participant. If shares of common stock are issued to a participant after the exercise of an ISO and if no disqualifying disposition of those shares is made by that participant within a holding period of two years after the date of grant or within one year after the receipt of those shares by that participant, then: upon the sale of those shares, any amount realized in excess of the option exercise price will be taxed to that participant as a long-term capital gain; and the Company will not be entitled to a deduction. If shares of common stock acquired upon the exercise of an ISO are disposed of prior to the expiration of either holding period described above, that disposition would be a “disqualifying disposition,” and generally: the participant will realize ordinary income in the year of disposition in an amount equal to the excess, if any, of the fair market value of the shares on the date of exercise, or, if less, the amount realized on the disposition of the shares, over the option exercise price, and the Company will be entitled to a corresponding deduction. Any other gain realized by the participant on that disposition will be taxed as short-term or long-term capital gain and will not result in any deduction to us. If an ISO is exercised at a time when it no longer qualifies as an ISO, the option will be treated as a nonqualified option. An ISO generally will not be eligible for the federal income tax treatment described above if it is exercised more than three months following a termination of employment.</w:t>
      </w:r>
    </w:p>
    <w:p>
      <w:pPr>
        <w:spacing w:after="0" w:line="137" w:lineRule="exact"/>
        <w:rPr>
          <w:sz w:val="20"/>
          <w:szCs w:val="20"/>
          <w:color w:val="auto"/>
        </w:rPr>
      </w:pPr>
    </w:p>
    <w:p>
      <w:pPr>
        <w:ind w:left="80" w:right="239"/>
        <w:spacing w:after="0" w:line="241" w:lineRule="auto"/>
        <w:rPr>
          <w:sz w:val="20"/>
          <w:szCs w:val="20"/>
          <w:color w:val="auto"/>
        </w:rPr>
      </w:pPr>
      <w:r>
        <w:rPr>
          <w:rFonts w:ascii="Arial" w:cs="Arial" w:eastAsia="Arial" w:hAnsi="Arial"/>
          <w:sz w:val="17"/>
          <w:szCs w:val="17"/>
          <w:b w:val="1"/>
          <w:bCs w:val="1"/>
          <w:i w:val="1"/>
          <w:iCs w:val="1"/>
          <w:color w:val="auto"/>
        </w:rPr>
        <w:t>Stock Appreciation Rights</w:t>
      </w:r>
      <w:r>
        <w:rPr>
          <w:rFonts w:ascii="Arial" w:cs="Arial" w:eastAsia="Arial" w:hAnsi="Arial"/>
          <w:sz w:val="17"/>
          <w:szCs w:val="17"/>
          <w:color w:val="auto"/>
        </w:rPr>
        <w:t>. Upon the exercise of a SAR, the participant will recognize compensation income in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equal to the cash received plus the fair market value of any common stock received from the exercise. The participant’s tax basis in the shares of common stock received on exercise of the SAR will be equal to the compensation income recognized with respect to the common stock. The participant’s holding period for shares acquired after the exercise of a SAR begins on the exercise date.</w:t>
      </w:r>
    </w:p>
    <w:p>
      <w:pPr>
        <w:spacing w:after="0" w:line="126" w:lineRule="exact"/>
        <w:rPr>
          <w:sz w:val="20"/>
          <w:szCs w:val="20"/>
          <w:color w:val="auto"/>
        </w:rPr>
      </w:pPr>
    </w:p>
    <w:p>
      <w:pPr>
        <w:ind w:left="80" w:right="99"/>
        <w:spacing w:after="0" w:line="237" w:lineRule="auto"/>
        <w:rPr>
          <w:sz w:val="20"/>
          <w:szCs w:val="20"/>
          <w:color w:val="auto"/>
        </w:rPr>
      </w:pPr>
      <w:r>
        <w:rPr>
          <w:rFonts w:ascii="Arial" w:cs="Arial" w:eastAsia="Arial" w:hAnsi="Arial"/>
          <w:sz w:val="17"/>
          <w:szCs w:val="17"/>
          <w:b w:val="1"/>
          <w:bCs w:val="1"/>
          <w:i w:val="1"/>
          <w:iCs w:val="1"/>
          <w:color w:val="auto"/>
        </w:rPr>
        <w:t>Restricted Stock, Restricted Stock Units and Other Stock-Based Awards</w:t>
      </w:r>
      <w:r>
        <w:rPr>
          <w:rFonts w:ascii="Arial" w:cs="Arial" w:eastAsia="Arial" w:hAnsi="Arial"/>
          <w:sz w:val="17"/>
          <w:szCs w:val="17"/>
          <w:color w:val="auto"/>
        </w:rPr>
        <w:t>. Restricted stock that is subject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substantial risk of forfeiture generally results in income recognition by the participant in an amount equal to the excess of the fair market value of the shares of stock over the purchase price, if any, of the restricted stock at the time the restrictions lapse. A participant who has been granted shares of common stock that are not subject to a substantial risk of forfeiture for federal income tax purposes will realize ordinary income in an amount equal to the fair market value of the shares at the time of grant. A recipient of restricted stock units (RSUs), performance awards or other stock-based awards (other than restricted stock) will generally recognize ordinary income at the time that the award is settled in an amount equal to the cash and/or fair market value of the shares received at settlement.</w:t>
      </w:r>
    </w:p>
    <w:p>
      <w:pPr>
        <w:spacing w:after="0" w:line="130" w:lineRule="exact"/>
        <w:rPr>
          <w:sz w:val="20"/>
          <w:szCs w:val="20"/>
          <w:color w:val="auto"/>
        </w:rPr>
      </w:pPr>
    </w:p>
    <w:p>
      <w:pPr>
        <w:ind w:left="80" w:right="119"/>
        <w:spacing w:after="0" w:line="239" w:lineRule="auto"/>
        <w:rPr>
          <w:sz w:val="20"/>
          <w:szCs w:val="20"/>
          <w:color w:val="auto"/>
        </w:rPr>
      </w:pPr>
      <w:r>
        <w:rPr>
          <w:rFonts w:ascii="Arial" w:cs="Arial" w:eastAsia="Arial" w:hAnsi="Arial"/>
          <w:sz w:val="17"/>
          <w:szCs w:val="17"/>
          <w:b w:val="1"/>
          <w:bCs w:val="1"/>
          <w:i w:val="1"/>
          <w:iCs w:val="1"/>
          <w:color w:val="auto"/>
        </w:rPr>
        <w:t>Tax Effects to the Company; Section 162(m) of the Code</w:t>
      </w:r>
      <w:r>
        <w:rPr>
          <w:rFonts w:ascii="Arial" w:cs="Arial" w:eastAsia="Arial" w:hAnsi="Arial"/>
          <w:sz w:val="17"/>
          <w:szCs w:val="17"/>
          <w:color w:val="auto"/>
        </w:rPr>
        <w:t>. The Company may be entitled to a tax deduction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connection with awards under the Plan in an amount equal to the ordinary income recognized by a participant at the time such income is recognized; however, such deduction may be limited under applicable law. In particular, the deductibility of compensation paid to certain executive officers may be limited under Section 162(m) of the Code, and certain payments may not be deductible if they constitute “excess parachute payments” within the meaning of Section 280G of the Code.</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88 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3" w:name="page94"/>
    <w:bookmarkEnd w:id="9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STOCK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99"/>
        <w:spacing w:after="0" w:line="249" w:lineRule="auto"/>
        <w:rPr>
          <w:sz w:val="20"/>
          <w:szCs w:val="20"/>
          <w:color w:val="auto"/>
        </w:rPr>
      </w:pPr>
      <w:r>
        <w:rPr>
          <w:rFonts w:ascii="Arial" w:cs="Arial" w:eastAsia="Arial" w:hAnsi="Arial"/>
          <w:sz w:val="17"/>
          <w:szCs w:val="17"/>
          <w:color w:val="auto"/>
        </w:rPr>
        <w:t>No awards made under the Plan prior to the date of the Annual Meeting were granted subject to stockholder approval of this proposal. The number and types of awards that will be granted under the Plan in the future are not determinable, as the CHC Committee will make these determinations in its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39370</wp:posOffset>
            </wp:positionV>
            <wp:extent cx="5623560" cy="48006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623560" cy="480060"/>
                    </a:xfrm>
                    <a:prstGeom prst="rect">
                      <a:avLst/>
                    </a:prstGeom>
                    <a:noFill/>
                  </pic:spPr>
                </pic:pic>
              </a:graphicData>
            </a:graphic>
          </wp:anchor>
        </w:drawing>
      </w:r>
    </w:p>
    <w:p>
      <w:pPr>
        <w:spacing w:after="0" w:line="168" w:lineRule="exact"/>
        <w:rPr>
          <w:sz w:val="20"/>
          <w:szCs w:val="20"/>
          <w:color w:val="auto"/>
        </w:rPr>
      </w:pPr>
    </w:p>
    <w:p>
      <w:pPr>
        <w:ind w:left="880" w:right="539"/>
        <w:spacing w:after="0" w:line="225" w:lineRule="auto"/>
        <w:rPr>
          <w:sz w:val="20"/>
          <w:szCs w:val="20"/>
          <w:color w:val="auto"/>
        </w:rPr>
      </w:pPr>
      <w:r>
        <w:rPr>
          <w:rFonts w:ascii="Arial" w:cs="Arial" w:eastAsia="Arial" w:hAnsi="Arial"/>
          <w:sz w:val="17"/>
          <w:szCs w:val="17"/>
          <w:color w:val="auto"/>
        </w:rPr>
        <w:t xml:space="preserve">The Board recommends that you vote </w:t>
      </w:r>
      <w:r>
        <w:rPr>
          <w:rFonts w:ascii="Arial" w:cs="Arial" w:eastAsia="Arial" w:hAnsi="Arial"/>
          <w:sz w:val="17"/>
          <w:szCs w:val="17"/>
          <w:b w:val="1"/>
          <w:bCs w:val="1"/>
          <w:color w:val="72C593"/>
        </w:rPr>
        <w:t>FOR</w:t>
      </w:r>
      <w:r>
        <w:rPr>
          <w:rFonts w:ascii="Arial" w:cs="Arial" w:eastAsia="Arial" w:hAnsi="Arial"/>
          <w:sz w:val="17"/>
          <w:szCs w:val="17"/>
          <w:color w:val="auto"/>
        </w:rPr>
        <w:t xml:space="preserve"> the approval of the Amended and Restated Kyndryl 2021 Long-Term Performance Plan.</w:t>
      </w:r>
    </w:p>
    <w:p>
      <w:pPr>
        <w:ind w:left="480"/>
        <w:spacing w:after="0"/>
        <w:rPr>
          <w:sz w:val="20"/>
          <w:szCs w:val="20"/>
          <w:color w:val="auto"/>
        </w:rPr>
      </w:pPr>
      <w:r>
        <w:rPr>
          <w:rFonts w:ascii="Arial" w:cs="Arial" w:eastAsia="Arial" w:hAnsi="Arial"/>
          <w:sz w:val="17"/>
          <w:szCs w:val="17"/>
          <w:color w:val="auto"/>
        </w:rPr>
        <w:t> </w:t>
      </w:r>
    </w:p>
    <w:p>
      <w:pPr>
        <w:spacing w:after="0" w:line="283"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4" w:name="page95"/>
    <w:bookmarkEnd w:id="9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Audit Matters</w:t>
      </w:r>
    </w:p>
    <w:p>
      <w:pPr>
        <w:spacing w:after="0" w:line="245" w:lineRule="exact"/>
        <w:rPr>
          <w:sz w:val="20"/>
          <w:szCs w:val="20"/>
          <w:color w:val="auto"/>
        </w:rPr>
      </w:pPr>
    </w:p>
    <w:p>
      <w:pPr>
        <w:ind w:left="80" w:right="1439"/>
        <w:spacing w:after="0" w:line="307" w:lineRule="auto"/>
        <w:rPr>
          <w:sz w:val="20"/>
          <w:szCs w:val="20"/>
          <w:color w:val="auto"/>
        </w:rPr>
      </w:pPr>
      <w:r>
        <w:rPr>
          <w:rFonts w:ascii="Arial" w:cs="Arial" w:eastAsia="Arial" w:hAnsi="Arial"/>
          <w:sz w:val="30"/>
          <w:szCs w:val="30"/>
          <w:b w:val="1"/>
          <w:bCs w:val="1"/>
          <w:color w:val="F0533D"/>
        </w:rPr>
        <w:t>Proposal 4 — Ratification of the Appointment of the Independent Registered Public Accounting Firm</w:t>
      </w:r>
    </w:p>
    <w:p>
      <w:pPr>
        <w:spacing w:after="0" w:line="12" w:lineRule="exact"/>
        <w:rPr>
          <w:sz w:val="20"/>
          <w:szCs w:val="20"/>
          <w:color w:val="auto"/>
        </w:rPr>
      </w:pPr>
    </w:p>
    <w:p>
      <w:pPr>
        <w:ind w:left="80" w:right="199"/>
        <w:spacing w:after="0" w:line="238" w:lineRule="auto"/>
        <w:rPr>
          <w:sz w:val="20"/>
          <w:szCs w:val="20"/>
          <w:color w:val="auto"/>
        </w:rPr>
      </w:pPr>
      <w:r>
        <w:rPr>
          <w:rFonts w:ascii="Arial" w:cs="Arial" w:eastAsia="Arial" w:hAnsi="Arial"/>
          <w:sz w:val="17"/>
          <w:szCs w:val="17"/>
          <w:color w:val="auto"/>
        </w:rPr>
        <w:t>The Audit Committee is directly responsible for the appointment, compensation (including advance approval of audit and non-audit services and fees), retention and oversight of the independent registered public accounting firm that audits our financial statements. In accordance with its charter, the Audit Committee has selected PricewaterhouseCoopers LLP (“PwC”) to serve as our independent registered public accounting firm for fiscal 2027. With the endorsement of the Board, the Audit Committee believes that the continued retention of PwC is in the best interests of Kyndryl and its stockholders and, therefore, recommends to stockholders that they ratify that appointment.</w:t>
      </w:r>
    </w:p>
    <w:p>
      <w:pPr>
        <w:spacing w:after="0" w:line="128" w:lineRule="exact"/>
        <w:rPr>
          <w:sz w:val="20"/>
          <w:szCs w:val="20"/>
          <w:color w:val="auto"/>
        </w:rPr>
      </w:pPr>
    </w:p>
    <w:p>
      <w:pPr>
        <w:ind w:left="80" w:right="239"/>
        <w:spacing w:after="0" w:line="239" w:lineRule="auto"/>
        <w:rPr>
          <w:sz w:val="20"/>
          <w:szCs w:val="20"/>
          <w:color w:val="auto"/>
        </w:rPr>
      </w:pPr>
      <w:r>
        <w:rPr>
          <w:rFonts w:ascii="Arial" w:cs="Arial" w:eastAsia="Arial" w:hAnsi="Arial"/>
          <w:sz w:val="17"/>
          <w:szCs w:val="17"/>
          <w:color w:val="auto"/>
        </w:rPr>
        <w:t>Although ratification is not required by our Bylaws or otherwise, the Board is submitting the selection of PwC to our stockholders for ratification because we value our stockholders’ views on the Company’s independent registered public accounting firm. If our stockholders fail to ratify the selection, it will be considered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INDEPENDENT AUDITOR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239"/>
        <w:spacing w:after="0" w:line="249" w:lineRule="auto"/>
        <w:rPr>
          <w:sz w:val="20"/>
          <w:szCs w:val="20"/>
          <w:color w:val="auto"/>
        </w:rPr>
      </w:pPr>
      <w:r>
        <w:rPr>
          <w:rFonts w:ascii="Arial" w:cs="Arial" w:eastAsia="Arial" w:hAnsi="Arial"/>
          <w:sz w:val="17"/>
          <w:szCs w:val="17"/>
          <w:color w:val="auto"/>
        </w:rPr>
        <w:t>The Audit Committee annually reviews PwC’s independence and performance in deciding whether to retain PwC or engage a different independent auditor. Prior to the selection of the independent auditor, the Committee considers many factors, including:</w:t>
      </w:r>
    </w:p>
    <w:p>
      <w:pPr>
        <w:spacing w:after="0" w:line="67" w:lineRule="exact"/>
        <w:rPr>
          <w:sz w:val="20"/>
          <w:szCs w:val="20"/>
          <w:color w:val="auto"/>
        </w:rPr>
      </w:pPr>
    </w:p>
    <w:p>
      <w:pPr>
        <w:ind w:left="900" w:right="479" w:hanging="356"/>
        <w:spacing w:after="0" w:line="267" w:lineRule="auto"/>
        <w:tabs>
          <w:tab w:leader="none" w:pos="900" w:val="left"/>
        </w:tabs>
        <w:numPr>
          <w:ilvl w:val="0"/>
          <w:numId w:val="109"/>
        </w:numPr>
        <w:rPr>
          <w:rFonts w:ascii="Arial" w:cs="Arial" w:eastAsia="Arial" w:hAnsi="Arial"/>
          <w:sz w:val="17"/>
          <w:szCs w:val="17"/>
          <w:color w:val="F0533D"/>
        </w:rPr>
      </w:pPr>
      <w:r>
        <w:rPr>
          <w:rFonts w:ascii="Arial" w:cs="Arial" w:eastAsia="Arial" w:hAnsi="Arial"/>
          <w:sz w:val="17"/>
          <w:szCs w:val="17"/>
          <w:color w:val="auto"/>
        </w:rPr>
        <w:t>PwC’s capability and expertise in addressing and advising on the breadth and complexity of Kyndryl’s global operations;</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109"/>
        </w:numPr>
        <w:rPr>
          <w:rFonts w:ascii="Arial" w:cs="Arial" w:eastAsia="Arial" w:hAnsi="Arial"/>
          <w:sz w:val="17"/>
          <w:szCs w:val="17"/>
          <w:color w:val="F0533D"/>
        </w:rPr>
      </w:pPr>
      <w:r>
        <w:rPr>
          <w:rFonts w:ascii="Arial" w:cs="Arial" w:eastAsia="Arial" w:hAnsi="Arial"/>
          <w:sz w:val="17"/>
          <w:szCs w:val="17"/>
          <w:color w:val="auto"/>
        </w:rPr>
        <w:t>PwC’s independence and tenure as Kyndryl’s auditor;</w:t>
      </w:r>
    </w:p>
    <w:p>
      <w:pPr>
        <w:spacing w:after="0" w:line="101" w:lineRule="exact"/>
        <w:rPr>
          <w:rFonts w:ascii="Arial" w:cs="Arial" w:eastAsia="Arial" w:hAnsi="Arial"/>
          <w:sz w:val="17"/>
          <w:szCs w:val="17"/>
          <w:color w:val="F0533D"/>
        </w:rPr>
      </w:pPr>
    </w:p>
    <w:p>
      <w:pPr>
        <w:ind w:left="900" w:right="539" w:hanging="356"/>
        <w:spacing w:after="0" w:line="267" w:lineRule="auto"/>
        <w:tabs>
          <w:tab w:leader="none" w:pos="900" w:val="left"/>
        </w:tabs>
        <w:numPr>
          <w:ilvl w:val="0"/>
          <w:numId w:val="109"/>
        </w:numPr>
        <w:rPr>
          <w:rFonts w:ascii="Arial" w:cs="Arial" w:eastAsia="Arial" w:hAnsi="Arial"/>
          <w:sz w:val="17"/>
          <w:szCs w:val="17"/>
          <w:color w:val="F0533D"/>
        </w:rPr>
      </w:pPr>
      <w:r>
        <w:rPr>
          <w:rFonts w:ascii="Arial" w:cs="Arial" w:eastAsia="Arial" w:hAnsi="Arial"/>
          <w:sz w:val="17"/>
          <w:szCs w:val="17"/>
          <w:color w:val="auto"/>
        </w:rPr>
        <w:t>The strength of PwC’s performance on prior Kyndryl audits, including the extent and quality of PwC’s communications with the Audit Committee;</w:t>
      </w:r>
    </w:p>
    <w:p>
      <w:pPr>
        <w:spacing w:after="0" w:line="51" w:lineRule="exact"/>
        <w:rPr>
          <w:rFonts w:ascii="Arial" w:cs="Arial" w:eastAsia="Arial" w:hAnsi="Arial"/>
          <w:sz w:val="17"/>
          <w:szCs w:val="17"/>
          <w:color w:val="F0533D"/>
        </w:rPr>
      </w:pPr>
    </w:p>
    <w:p>
      <w:pPr>
        <w:ind w:left="900" w:right="259" w:hanging="356"/>
        <w:spacing w:after="0" w:line="267" w:lineRule="auto"/>
        <w:tabs>
          <w:tab w:leader="none" w:pos="900" w:val="left"/>
        </w:tabs>
        <w:numPr>
          <w:ilvl w:val="0"/>
          <w:numId w:val="109"/>
        </w:numPr>
        <w:rPr>
          <w:rFonts w:ascii="Arial" w:cs="Arial" w:eastAsia="Arial" w:hAnsi="Arial"/>
          <w:sz w:val="17"/>
          <w:szCs w:val="17"/>
          <w:color w:val="F0533D"/>
        </w:rPr>
      </w:pPr>
      <w:r>
        <w:rPr>
          <w:rFonts w:ascii="Arial" w:cs="Arial" w:eastAsia="Arial" w:hAnsi="Arial"/>
          <w:sz w:val="17"/>
          <w:szCs w:val="17"/>
          <w:color w:val="auto"/>
        </w:rPr>
        <w:t>Public Company Accounting Oversight Board reports (“PCAOB”) and other external data on audit quality and performance;</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109"/>
        </w:numPr>
        <w:rPr>
          <w:rFonts w:ascii="Arial" w:cs="Arial" w:eastAsia="Arial" w:hAnsi="Arial"/>
          <w:sz w:val="17"/>
          <w:szCs w:val="17"/>
          <w:color w:val="F0533D"/>
        </w:rPr>
      </w:pPr>
      <w:r>
        <w:rPr>
          <w:rFonts w:ascii="Arial" w:cs="Arial" w:eastAsia="Arial" w:hAnsi="Arial"/>
          <w:sz w:val="17"/>
          <w:szCs w:val="17"/>
          <w:color w:val="auto"/>
        </w:rPr>
        <w:t>Appropriateness of PwC’s fees for audit and non-audit services; and</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109"/>
        </w:numPr>
        <w:rPr>
          <w:rFonts w:ascii="Arial" w:cs="Arial" w:eastAsia="Arial" w:hAnsi="Arial"/>
          <w:sz w:val="17"/>
          <w:szCs w:val="17"/>
          <w:color w:val="F0533D"/>
        </w:rPr>
      </w:pPr>
      <w:r>
        <w:rPr>
          <w:rFonts w:ascii="Arial" w:cs="Arial" w:eastAsia="Arial" w:hAnsi="Arial"/>
          <w:sz w:val="17"/>
          <w:szCs w:val="17"/>
          <w:color w:val="auto"/>
        </w:rPr>
        <w:t>PwC’s reputation for integrity and competence in the fields of accounting and auditing.</w:t>
      </w:r>
    </w:p>
    <w:p>
      <w:pPr>
        <w:spacing w:after="0" w:line="24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AUDITOR INDEPENDENCE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Audit Committee and Kyndryl management have robust policies and procedures in place to monitor and verify</w:t>
      </w:r>
    </w:p>
    <w:p>
      <w:pPr>
        <w:spacing w:after="0" w:line="10" w:lineRule="exact"/>
        <w:rPr>
          <w:sz w:val="20"/>
          <w:szCs w:val="20"/>
          <w:color w:val="auto"/>
        </w:rPr>
      </w:pPr>
    </w:p>
    <w:p>
      <w:pPr>
        <w:ind w:left="80"/>
        <w:spacing w:after="0"/>
        <w:rPr>
          <w:sz w:val="20"/>
          <w:szCs w:val="20"/>
          <w:color w:val="auto"/>
        </w:rPr>
      </w:pPr>
      <w:r>
        <w:rPr>
          <w:rFonts w:ascii="Arial" w:cs="Arial" w:eastAsia="Arial" w:hAnsi="Arial"/>
          <w:sz w:val="17"/>
          <w:szCs w:val="17"/>
          <w:color w:val="auto"/>
        </w:rPr>
        <w:t>PwC’s independence from Kyndryl on a continual basis. These policies and procedures include:</w:t>
      </w:r>
    </w:p>
    <w:p>
      <w:pPr>
        <w:spacing w:after="0" w:line="86" w:lineRule="exact"/>
        <w:rPr>
          <w:sz w:val="20"/>
          <w:szCs w:val="20"/>
          <w:color w:val="auto"/>
        </w:rPr>
      </w:pPr>
    </w:p>
    <w:p>
      <w:pPr>
        <w:ind w:left="900" w:hanging="356"/>
        <w:spacing w:after="0"/>
        <w:tabs>
          <w:tab w:leader="none" w:pos="900" w:val="left"/>
        </w:tabs>
        <w:numPr>
          <w:ilvl w:val="0"/>
          <w:numId w:val="110"/>
        </w:numPr>
        <w:rPr>
          <w:rFonts w:ascii="Arial" w:cs="Arial" w:eastAsia="Arial" w:hAnsi="Arial"/>
          <w:sz w:val="17"/>
          <w:szCs w:val="17"/>
          <w:color w:val="F0533D"/>
        </w:rPr>
      </w:pPr>
      <w:r>
        <w:rPr>
          <w:rFonts w:ascii="Arial" w:cs="Arial" w:eastAsia="Arial" w:hAnsi="Arial"/>
          <w:sz w:val="17"/>
          <w:szCs w:val="17"/>
          <w:color w:val="auto"/>
        </w:rPr>
        <w:t>Private meetings between the Audit Committee and PwC throughout the year;</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110"/>
        </w:numPr>
        <w:rPr>
          <w:rFonts w:ascii="Arial" w:cs="Arial" w:eastAsia="Arial" w:hAnsi="Arial"/>
          <w:sz w:val="17"/>
          <w:szCs w:val="17"/>
          <w:color w:val="F0533D"/>
        </w:rPr>
      </w:pPr>
      <w:r>
        <w:rPr>
          <w:rFonts w:ascii="Arial" w:cs="Arial" w:eastAsia="Arial" w:hAnsi="Arial"/>
          <w:sz w:val="17"/>
          <w:szCs w:val="17"/>
          <w:color w:val="auto"/>
        </w:rPr>
        <w:t>Pre-approval by the Audit Committee of audit and non-audit services;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110"/>
        </w:numPr>
        <w:rPr>
          <w:rFonts w:ascii="Arial" w:cs="Arial" w:eastAsia="Arial" w:hAnsi="Arial"/>
          <w:sz w:val="17"/>
          <w:szCs w:val="17"/>
          <w:color w:val="F0533D"/>
        </w:rPr>
      </w:pPr>
      <w:r>
        <w:rPr>
          <w:rFonts w:ascii="Arial" w:cs="Arial" w:eastAsia="Arial" w:hAnsi="Arial"/>
          <w:sz w:val="17"/>
          <w:szCs w:val="17"/>
          <w:color w:val="auto"/>
        </w:rPr>
        <w:t>Lead engagement partner rotation at least every 5 years;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110"/>
        </w:numPr>
        <w:rPr>
          <w:rFonts w:ascii="Arial" w:cs="Arial" w:eastAsia="Arial" w:hAnsi="Arial"/>
          <w:sz w:val="17"/>
          <w:szCs w:val="17"/>
          <w:color w:val="F0533D"/>
        </w:rPr>
      </w:pPr>
      <w:r>
        <w:rPr>
          <w:rFonts w:ascii="Arial" w:cs="Arial" w:eastAsia="Arial" w:hAnsi="Arial"/>
          <w:sz w:val="17"/>
          <w:szCs w:val="17"/>
          <w:color w:val="auto"/>
        </w:rPr>
        <w:t>Concurring audit partner rotation at least every 5 years;</w:t>
      </w:r>
    </w:p>
    <w:p>
      <w:pPr>
        <w:spacing w:after="0" w:line="101" w:lineRule="exact"/>
        <w:rPr>
          <w:rFonts w:ascii="Arial" w:cs="Arial" w:eastAsia="Arial" w:hAnsi="Arial"/>
          <w:sz w:val="17"/>
          <w:szCs w:val="17"/>
          <w:color w:val="F0533D"/>
        </w:rPr>
      </w:pPr>
    </w:p>
    <w:p>
      <w:pPr>
        <w:ind w:left="900" w:hanging="356"/>
        <w:spacing w:after="0"/>
        <w:tabs>
          <w:tab w:leader="none" w:pos="900" w:val="left"/>
        </w:tabs>
        <w:numPr>
          <w:ilvl w:val="0"/>
          <w:numId w:val="110"/>
        </w:numPr>
        <w:rPr>
          <w:rFonts w:ascii="Arial" w:cs="Arial" w:eastAsia="Arial" w:hAnsi="Arial"/>
          <w:sz w:val="17"/>
          <w:szCs w:val="17"/>
          <w:color w:val="F0533D"/>
        </w:rPr>
      </w:pPr>
      <w:r>
        <w:rPr>
          <w:rFonts w:ascii="Arial" w:cs="Arial" w:eastAsia="Arial" w:hAnsi="Arial"/>
          <w:sz w:val="17"/>
          <w:szCs w:val="17"/>
          <w:color w:val="auto"/>
        </w:rPr>
        <w:t>Auxiliary engagement partner rotation at least every 7 years;</w:t>
      </w:r>
    </w:p>
    <w:p>
      <w:pPr>
        <w:spacing w:after="0" w:line="101" w:lineRule="exact"/>
        <w:rPr>
          <w:rFonts w:ascii="Arial" w:cs="Arial" w:eastAsia="Arial" w:hAnsi="Arial"/>
          <w:sz w:val="17"/>
          <w:szCs w:val="17"/>
          <w:color w:val="F0533D"/>
        </w:rPr>
      </w:pPr>
    </w:p>
    <w:p>
      <w:pPr>
        <w:ind w:left="900" w:right="739" w:hanging="356"/>
        <w:spacing w:after="0" w:line="267" w:lineRule="auto"/>
        <w:tabs>
          <w:tab w:leader="none" w:pos="900" w:val="left"/>
        </w:tabs>
        <w:numPr>
          <w:ilvl w:val="0"/>
          <w:numId w:val="110"/>
        </w:numPr>
        <w:rPr>
          <w:rFonts w:ascii="Arial" w:cs="Arial" w:eastAsia="Arial" w:hAnsi="Arial"/>
          <w:sz w:val="17"/>
          <w:szCs w:val="17"/>
          <w:color w:val="F0533D"/>
        </w:rPr>
      </w:pPr>
      <w:r>
        <w:rPr>
          <w:rFonts w:ascii="Arial" w:cs="Arial" w:eastAsia="Arial" w:hAnsi="Arial"/>
          <w:sz w:val="17"/>
          <w:szCs w:val="17"/>
          <w:color w:val="auto"/>
        </w:rPr>
        <w:t>Hiring restrictions for PwC employees and tracking of PwC alumni at Kyndryl for continued auditor independence assessment purposes; and</w:t>
      </w:r>
    </w:p>
    <w:p>
      <w:pPr>
        <w:spacing w:after="0" w:line="51" w:lineRule="exact"/>
        <w:rPr>
          <w:rFonts w:ascii="Arial" w:cs="Arial" w:eastAsia="Arial" w:hAnsi="Arial"/>
          <w:sz w:val="17"/>
          <w:szCs w:val="17"/>
          <w:color w:val="F0533D"/>
        </w:rPr>
      </w:pPr>
    </w:p>
    <w:p>
      <w:pPr>
        <w:ind w:left="900" w:right="399" w:hanging="356"/>
        <w:spacing w:after="0" w:line="267" w:lineRule="auto"/>
        <w:tabs>
          <w:tab w:leader="none" w:pos="900" w:val="left"/>
        </w:tabs>
        <w:numPr>
          <w:ilvl w:val="0"/>
          <w:numId w:val="110"/>
        </w:numPr>
        <w:rPr>
          <w:rFonts w:ascii="Arial" w:cs="Arial" w:eastAsia="Arial" w:hAnsi="Arial"/>
          <w:sz w:val="17"/>
          <w:szCs w:val="17"/>
          <w:color w:val="F0533D"/>
        </w:rPr>
      </w:pPr>
      <w:r>
        <w:rPr>
          <w:rFonts w:ascii="Arial" w:cs="Arial" w:eastAsia="Arial" w:hAnsi="Arial"/>
          <w:sz w:val="17"/>
          <w:szCs w:val="17"/>
          <w:color w:val="auto"/>
        </w:rPr>
        <w:t>Internal quality reviews by, or of, PwC, including the performance of procedures to monitor and assess PwC’s independence from its audit clients, as well as the results of PCAOB inspections.</w:t>
      </w:r>
    </w:p>
    <w:p>
      <w:pPr>
        <w:spacing w:after="0" w:line="18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90 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5" w:name="page96"/>
    <w:bookmarkEnd w:id="9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ACCOUNTABILITY TO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159"/>
        <w:spacing w:after="0" w:line="267" w:lineRule="auto"/>
        <w:rPr>
          <w:sz w:val="20"/>
          <w:szCs w:val="20"/>
          <w:color w:val="auto"/>
        </w:rPr>
      </w:pPr>
      <w:r>
        <w:rPr>
          <w:rFonts w:ascii="Arial" w:cs="Arial" w:eastAsia="Arial" w:hAnsi="Arial"/>
          <w:sz w:val="17"/>
          <w:szCs w:val="17"/>
          <w:color w:val="auto"/>
        </w:rPr>
        <w:t>PwC’s representative will be present at the 2026 Annual Meeting and will have an opportunity to make a statement if they desire to do so and be available to respond to appropriate questions.</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Audit and Non-Audit Fees</w:t>
      </w:r>
    </w:p>
    <w:p>
      <w:pPr>
        <w:spacing w:after="0" w:line="173" w:lineRule="exact"/>
        <w:rPr>
          <w:sz w:val="20"/>
          <w:szCs w:val="20"/>
          <w:color w:val="auto"/>
        </w:rPr>
      </w:pPr>
    </w:p>
    <w:p>
      <w:pPr>
        <w:ind w:left="80" w:right="199"/>
        <w:spacing w:after="0" w:line="241" w:lineRule="auto"/>
        <w:rPr>
          <w:sz w:val="20"/>
          <w:szCs w:val="20"/>
          <w:color w:val="auto"/>
        </w:rPr>
      </w:pPr>
      <w:r>
        <w:rPr>
          <w:rFonts w:ascii="Arial" w:cs="Arial" w:eastAsia="Arial" w:hAnsi="Arial"/>
          <w:sz w:val="17"/>
          <w:szCs w:val="17"/>
          <w:color w:val="auto"/>
        </w:rPr>
        <w:t>PwC began serving as our independent registered public accounting firm in 2020. In connection with the audit of the fiscal 2026 financial statements, we entered into an agreement with PwC which set forth the terms by which PwC would perform audit services for the Company. The following table presents fees for professional audit and other services rendered by PwC for the fiscal year ended March 31, 2026, and the fiscal year ended March 31, 2025. All PwC services for fiscal 2025 and fiscal 2026 were approved in advance by our Audit Committee.</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292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(Dollars in Millions)</w:t>
            </w:r>
          </w:p>
        </w:tc>
        <w:tc>
          <w:tcPr>
            <w:tcW w:w="2960" w:type="dxa"/>
            <w:vAlign w:val="bottom"/>
            <w:tcBorders>
              <w:bottom w:val="single" w:sz="8" w:color="F0533D"/>
            </w:tcBorders>
          </w:tcPr>
          <w:p>
            <w:pPr>
              <w:jc w:val="right"/>
              <w:ind w:right="997"/>
              <w:spacing w:after="0"/>
              <w:rPr>
                <w:sz w:val="20"/>
                <w:szCs w:val="20"/>
                <w:color w:val="auto"/>
              </w:rPr>
            </w:pPr>
            <w:r>
              <w:rPr>
                <w:rFonts w:ascii="Arial" w:cs="Arial" w:eastAsia="Arial" w:hAnsi="Arial"/>
                <w:sz w:val="14"/>
                <w:szCs w:val="14"/>
                <w:b w:val="1"/>
                <w:bCs w:val="1"/>
                <w:color w:val="F0533D"/>
              </w:rPr>
              <w:t>Fiscal 2026</w:t>
            </w:r>
          </w:p>
        </w:tc>
        <w:tc>
          <w:tcPr>
            <w:tcW w:w="2980" w:type="dxa"/>
            <w:vAlign w:val="bottom"/>
            <w:tcBorders>
              <w:bottom w:val="single" w:sz="8" w:color="F0533D"/>
            </w:tcBorders>
          </w:tcPr>
          <w:p>
            <w:pPr>
              <w:jc w:val="right"/>
              <w:ind w:right="1057"/>
              <w:spacing w:after="0"/>
              <w:rPr>
                <w:sz w:val="20"/>
                <w:szCs w:val="20"/>
                <w:color w:val="auto"/>
              </w:rPr>
            </w:pPr>
            <w:r>
              <w:rPr>
                <w:rFonts w:ascii="Arial" w:cs="Arial" w:eastAsia="Arial" w:hAnsi="Arial"/>
                <w:sz w:val="14"/>
                <w:szCs w:val="14"/>
                <w:b w:val="1"/>
                <w:bCs w:val="1"/>
                <w:color w:val="F0533D"/>
              </w:rPr>
              <w:t>Fiscal 2025</w:t>
            </w:r>
          </w:p>
        </w:tc>
      </w:tr>
      <w:tr>
        <w:trPr>
          <w:trHeight w:val="297"/>
        </w:trPr>
        <w:tc>
          <w:tcPr>
            <w:tcW w:w="2920" w:type="dxa"/>
            <w:vAlign w:val="bottom"/>
            <w:tcBorders>
              <w:bottom w:val="single" w:sz="8" w:color="939598"/>
            </w:tcBorders>
          </w:tcPr>
          <w:p>
            <w:pPr>
              <w:ind w:left="160"/>
              <w:spacing w:after="0" w:line="297"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2960" w:type="dxa"/>
            <w:vAlign w:val="bottom"/>
            <w:tcBorders>
              <w:bottom w:val="single" w:sz="8" w:color="939598"/>
            </w:tcBorders>
          </w:tcPr>
          <w:p>
            <w:pPr>
              <w:jc w:val="right"/>
              <w:ind w:right="1237"/>
              <w:spacing w:after="0"/>
              <w:rPr>
                <w:sz w:val="20"/>
                <w:szCs w:val="20"/>
                <w:color w:val="auto"/>
              </w:rPr>
            </w:pPr>
            <w:r>
              <w:rPr>
                <w:rFonts w:ascii="Arial" w:cs="Arial" w:eastAsia="Arial" w:hAnsi="Arial"/>
                <w:sz w:val="17"/>
                <w:szCs w:val="17"/>
                <w:color w:val="auto"/>
              </w:rPr>
              <w:t>$26</w:t>
            </w:r>
          </w:p>
        </w:tc>
        <w:tc>
          <w:tcPr>
            <w:tcW w:w="2980" w:type="dxa"/>
            <w:vAlign w:val="bottom"/>
            <w:tcBorders>
              <w:bottom w:val="single" w:sz="8" w:color="939598"/>
            </w:tcBorders>
          </w:tcPr>
          <w:p>
            <w:pPr>
              <w:jc w:val="right"/>
              <w:ind w:right="1297"/>
              <w:spacing w:after="0"/>
              <w:rPr>
                <w:sz w:val="20"/>
                <w:szCs w:val="20"/>
                <w:color w:val="auto"/>
              </w:rPr>
            </w:pPr>
            <w:r>
              <w:rPr>
                <w:rFonts w:ascii="Arial" w:cs="Arial" w:eastAsia="Arial" w:hAnsi="Arial"/>
                <w:sz w:val="17"/>
                <w:szCs w:val="17"/>
                <w:color w:val="auto"/>
              </w:rPr>
              <w:t>$26</w:t>
            </w:r>
          </w:p>
        </w:tc>
      </w:tr>
      <w:tr>
        <w:trPr>
          <w:trHeight w:val="291"/>
        </w:trPr>
        <w:tc>
          <w:tcPr>
            <w:tcW w:w="2920" w:type="dxa"/>
            <w:vAlign w:val="bottom"/>
            <w:tcBorders>
              <w:bottom w:val="single" w:sz="8" w:color="939598"/>
            </w:tcBorders>
          </w:tcPr>
          <w:p>
            <w:pPr>
              <w:ind w:left="160"/>
              <w:spacing w:after="0" w:line="290" w:lineRule="exact"/>
              <w:rPr>
                <w:sz w:val="20"/>
                <w:szCs w:val="20"/>
                <w:color w:val="auto"/>
              </w:rPr>
            </w:pPr>
            <w:r>
              <w:rPr>
                <w:rFonts w:ascii="Arial" w:cs="Arial" w:eastAsia="Arial" w:hAnsi="Arial"/>
                <w:sz w:val="17"/>
                <w:szCs w:val="17"/>
                <w:color w:val="auto"/>
              </w:rPr>
              <w:t>Audit-Related Fees</w:t>
            </w:r>
            <w:r>
              <w:rPr>
                <w:rFonts w:ascii="Arial" w:cs="Arial" w:eastAsia="Arial" w:hAnsi="Arial"/>
                <w:sz w:val="28"/>
                <w:szCs w:val="28"/>
                <w:color w:val="auto"/>
                <w:vertAlign w:val="superscript"/>
              </w:rPr>
              <w:t>(2)</w:t>
            </w:r>
          </w:p>
        </w:tc>
        <w:tc>
          <w:tcPr>
            <w:tcW w:w="2960" w:type="dxa"/>
            <w:vAlign w:val="bottom"/>
            <w:tcBorders>
              <w:bottom w:val="single" w:sz="8" w:color="939598"/>
            </w:tcBorders>
          </w:tcPr>
          <w:p>
            <w:pPr>
              <w:jc w:val="right"/>
              <w:ind w:right="1237"/>
              <w:spacing w:after="0"/>
              <w:rPr>
                <w:sz w:val="20"/>
                <w:szCs w:val="20"/>
                <w:color w:val="auto"/>
              </w:rPr>
            </w:pPr>
            <w:r>
              <w:rPr>
                <w:rFonts w:ascii="Arial" w:cs="Arial" w:eastAsia="Arial" w:hAnsi="Arial"/>
                <w:sz w:val="17"/>
                <w:szCs w:val="17"/>
                <w:color w:val="auto"/>
              </w:rPr>
              <w:t>10</w:t>
            </w:r>
          </w:p>
        </w:tc>
        <w:tc>
          <w:tcPr>
            <w:tcW w:w="2980" w:type="dxa"/>
            <w:vAlign w:val="bottom"/>
            <w:tcBorders>
              <w:bottom w:val="single" w:sz="8" w:color="939598"/>
            </w:tcBorders>
          </w:tcPr>
          <w:p>
            <w:pPr>
              <w:jc w:val="right"/>
              <w:ind w:right="1297"/>
              <w:spacing w:after="0"/>
              <w:rPr>
                <w:sz w:val="20"/>
                <w:szCs w:val="20"/>
                <w:color w:val="auto"/>
              </w:rPr>
            </w:pPr>
            <w:r>
              <w:rPr>
                <w:rFonts w:ascii="Arial" w:cs="Arial" w:eastAsia="Arial" w:hAnsi="Arial"/>
                <w:sz w:val="17"/>
                <w:szCs w:val="17"/>
                <w:color w:val="auto"/>
              </w:rPr>
              <w:t>10</w:t>
            </w:r>
          </w:p>
        </w:tc>
      </w:tr>
      <w:tr>
        <w:trPr>
          <w:trHeight w:val="290"/>
        </w:trPr>
        <w:tc>
          <w:tcPr>
            <w:tcW w:w="2920" w:type="dxa"/>
            <w:vAlign w:val="bottom"/>
            <w:tcBorders>
              <w:bottom w:val="single" w:sz="8" w:color="939598"/>
            </w:tcBorders>
          </w:tcPr>
          <w:p>
            <w:pPr>
              <w:ind w:left="160"/>
              <w:spacing w:after="0" w:line="290" w:lineRule="exact"/>
              <w:rPr>
                <w:sz w:val="20"/>
                <w:szCs w:val="20"/>
                <w:color w:val="auto"/>
              </w:rPr>
            </w:pPr>
            <w:r>
              <w:rPr>
                <w:rFonts w:ascii="Arial" w:cs="Arial" w:eastAsia="Arial" w:hAnsi="Arial"/>
                <w:sz w:val="17"/>
                <w:szCs w:val="17"/>
                <w:color w:val="auto"/>
              </w:rPr>
              <w:t>Tax Fees</w:t>
            </w:r>
            <w:r>
              <w:rPr>
                <w:rFonts w:ascii="Arial" w:cs="Arial" w:eastAsia="Arial" w:hAnsi="Arial"/>
                <w:sz w:val="28"/>
                <w:szCs w:val="28"/>
                <w:color w:val="auto"/>
                <w:vertAlign w:val="superscript"/>
              </w:rPr>
              <w:t>(3)</w:t>
            </w:r>
          </w:p>
        </w:tc>
        <w:tc>
          <w:tcPr>
            <w:tcW w:w="2960" w:type="dxa"/>
            <w:vAlign w:val="bottom"/>
            <w:tcBorders>
              <w:bottom w:val="single" w:sz="8" w:color="939598"/>
            </w:tcBorders>
          </w:tcPr>
          <w:p>
            <w:pPr>
              <w:jc w:val="right"/>
              <w:ind w:right="1237"/>
              <w:spacing w:after="0"/>
              <w:rPr>
                <w:sz w:val="20"/>
                <w:szCs w:val="20"/>
                <w:color w:val="auto"/>
              </w:rPr>
            </w:pPr>
            <w:r>
              <w:rPr>
                <w:rFonts w:ascii="Arial" w:cs="Arial" w:eastAsia="Arial" w:hAnsi="Arial"/>
                <w:sz w:val="17"/>
                <w:szCs w:val="17"/>
                <w:color w:val="auto"/>
              </w:rPr>
              <w:t>3</w:t>
            </w:r>
          </w:p>
        </w:tc>
        <w:tc>
          <w:tcPr>
            <w:tcW w:w="2980" w:type="dxa"/>
            <w:vAlign w:val="bottom"/>
            <w:tcBorders>
              <w:bottom w:val="single" w:sz="8" w:color="939598"/>
            </w:tcBorders>
          </w:tcPr>
          <w:p>
            <w:pPr>
              <w:jc w:val="right"/>
              <w:ind w:right="1297"/>
              <w:spacing w:after="0"/>
              <w:rPr>
                <w:sz w:val="20"/>
                <w:szCs w:val="20"/>
                <w:color w:val="auto"/>
              </w:rPr>
            </w:pPr>
            <w:r>
              <w:rPr>
                <w:rFonts w:ascii="Arial" w:cs="Arial" w:eastAsia="Arial" w:hAnsi="Arial"/>
                <w:sz w:val="17"/>
                <w:szCs w:val="17"/>
                <w:color w:val="auto"/>
              </w:rPr>
              <w:t>1</w:t>
            </w:r>
          </w:p>
        </w:tc>
      </w:tr>
      <w:tr>
        <w:trPr>
          <w:trHeight w:val="291"/>
        </w:trPr>
        <w:tc>
          <w:tcPr>
            <w:tcW w:w="2920" w:type="dxa"/>
            <w:vAlign w:val="bottom"/>
            <w:tcBorders>
              <w:bottom w:val="single" w:sz="8" w:color="939598"/>
            </w:tcBorders>
          </w:tcPr>
          <w:p>
            <w:pPr>
              <w:ind w:left="160"/>
              <w:spacing w:after="0" w:line="290" w:lineRule="exact"/>
              <w:rPr>
                <w:sz w:val="20"/>
                <w:szCs w:val="20"/>
                <w:color w:val="auto"/>
              </w:rPr>
            </w:pPr>
            <w:r>
              <w:rPr>
                <w:rFonts w:ascii="Arial" w:cs="Arial" w:eastAsia="Arial" w:hAnsi="Arial"/>
                <w:sz w:val="17"/>
                <w:szCs w:val="17"/>
                <w:color w:val="auto"/>
              </w:rPr>
              <w:t>All Other Fees</w:t>
            </w:r>
            <w:r>
              <w:rPr>
                <w:rFonts w:ascii="Arial" w:cs="Arial" w:eastAsia="Arial" w:hAnsi="Arial"/>
                <w:sz w:val="28"/>
                <w:szCs w:val="28"/>
                <w:color w:val="auto"/>
                <w:vertAlign w:val="superscript"/>
              </w:rPr>
              <w:t>(4)</w:t>
            </w:r>
          </w:p>
        </w:tc>
        <w:tc>
          <w:tcPr>
            <w:tcW w:w="2960" w:type="dxa"/>
            <w:vAlign w:val="bottom"/>
            <w:tcBorders>
              <w:bottom w:val="single" w:sz="8" w:color="939598"/>
            </w:tcBorders>
          </w:tcPr>
          <w:p>
            <w:pPr>
              <w:jc w:val="right"/>
              <w:ind w:right="1237"/>
              <w:spacing w:after="0"/>
              <w:rPr>
                <w:sz w:val="20"/>
                <w:szCs w:val="20"/>
                <w:color w:val="auto"/>
              </w:rPr>
            </w:pPr>
            <w:r>
              <w:rPr>
                <w:rFonts w:ascii="Arial" w:cs="Arial" w:eastAsia="Arial" w:hAnsi="Arial"/>
                <w:sz w:val="17"/>
                <w:szCs w:val="17"/>
                <w:color w:val="auto"/>
              </w:rPr>
              <w:t>—</w:t>
            </w:r>
          </w:p>
        </w:tc>
        <w:tc>
          <w:tcPr>
            <w:tcW w:w="2980" w:type="dxa"/>
            <w:vAlign w:val="bottom"/>
            <w:tcBorders>
              <w:bottom w:val="single" w:sz="8" w:color="939598"/>
            </w:tcBorders>
          </w:tcPr>
          <w:p>
            <w:pPr>
              <w:jc w:val="right"/>
              <w:ind w:right="1297"/>
              <w:spacing w:after="0"/>
              <w:rPr>
                <w:sz w:val="20"/>
                <w:szCs w:val="20"/>
                <w:color w:val="auto"/>
              </w:rPr>
            </w:pPr>
            <w:r>
              <w:rPr>
                <w:rFonts w:ascii="Arial" w:cs="Arial" w:eastAsia="Arial" w:hAnsi="Arial"/>
                <w:sz w:val="17"/>
                <w:szCs w:val="17"/>
                <w:color w:val="auto"/>
              </w:rPr>
              <w:t>—</w:t>
            </w:r>
          </w:p>
        </w:tc>
      </w:tr>
      <w:tr>
        <w:trPr>
          <w:trHeight w:val="209"/>
        </w:trPr>
        <w:tc>
          <w:tcPr>
            <w:tcW w:w="2920" w:type="dxa"/>
            <w:vAlign w:val="bottom"/>
            <w:tcBorders>
              <w:bottom w:val="single" w:sz="8" w:color="F0533D"/>
            </w:tcBorders>
            <w:shd w:val="clear" w:color="auto" w:fill="F1F2F2"/>
          </w:tcPr>
          <w:p>
            <w:pPr>
              <w:ind w:left="160"/>
              <w:spacing w:after="0"/>
              <w:rPr>
                <w:sz w:val="20"/>
                <w:szCs w:val="20"/>
                <w:color w:val="auto"/>
              </w:rPr>
            </w:pPr>
            <w:r>
              <w:rPr>
                <w:rFonts w:ascii="Arial" w:cs="Arial" w:eastAsia="Arial" w:hAnsi="Arial"/>
                <w:sz w:val="17"/>
                <w:szCs w:val="17"/>
                <w:b w:val="1"/>
                <w:bCs w:val="1"/>
                <w:color w:val="auto"/>
              </w:rPr>
              <w:t>Total</w:t>
            </w:r>
          </w:p>
        </w:tc>
        <w:tc>
          <w:tcPr>
            <w:tcW w:w="2960" w:type="dxa"/>
            <w:vAlign w:val="bottom"/>
            <w:tcBorders>
              <w:bottom w:val="single" w:sz="8" w:color="F0533D"/>
            </w:tcBorders>
            <w:shd w:val="clear" w:color="auto" w:fill="F1F2F2"/>
          </w:tcPr>
          <w:p>
            <w:pPr>
              <w:jc w:val="right"/>
              <w:ind w:right="1237"/>
              <w:spacing w:after="0"/>
              <w:rPr>
                <w:sz w:val="20"/>
                <w:szCs w:val="20"/>
                <w:color w:val="auto"/>
              </w:rPr>
            </w:pPr>
            <w:r>
              <w:rPr>
                <w:rFonts w:ascii="Arial" w:cs="Arial" w:eastAsia="Arial" w:hAnsi="Arial"/>
                <w:sz w:val="17"/>
                <w:szCs w:val="17"/>
                <w:color w:val="auto"/>
              </w:rPr>
              <w:t>$39</w:t>
            </w:r>
          </w:p>
        </w:tc>
        <w:tc>
          <w:tcPr>
            <w:tcW w:w="2980" w:type="dxa"/>
            <w:vAlign w:val="bottom"/>
            <w:tcBorders>
              <w:bottom w:val="single" w:sz="8" w:color="F0533D"/>
            </w:tcBorders>
            <w:shd w:val="clear" w:color="auto" w:fill="F1F2F2"/>
          </w:tcPr>
          <w:p>
            <w:pPr>
              <w:jc w:val="right"/>
              <w:ind w:right="1297"/>
              <w:spacing w:after="0"/>
              <w:rPr>
                <w:sz w:val="20"/>
                <w:szCs w:val="20"/>
                <w:color w:val="auto"/>
              </w:rPr>
            </w:pPr>
            <w:r>
              <w:rPr>
                <w:rFonts w:ascii="Arial" w:cs="Arial" w:eastAsia="Arial" w:hAnsi="Arial"/>
                <w:sz w:val="17"/>
                <w:szCs w:val="17"/>
                <w:color w:val="auto"/>
              </w:rPr>
              <w:t>$37</w:t>
            </w:r>
          </w:p>
        </w:tc>
      </w:tr>
    </w:tbl>
    <w:p>
      <w:pPr>
        <w:spacing w:after="0" w:line="307" w:lineRule="exact"/>
        <w:rPr>
          <w:sz w:val="20"/>
          <w:szCs w:val="20"/>
          <w:color w:val="auto"/>
        </w:rPr>
      </w:pPr>
    </w:p>
    <w:p>
      <w:pPr>
        <w:ind w:left="540" w:right="179" w:hanging="356"/>
        <w:spacing w:after="0" w:line="210" w:lineRule="auto"/>
        <w:tabs>
          <w:tab w:leader="none" w:pos="540" w:val="left"/>
        </w:tabs>
        <w:numPr>
          <w:ilvl w:val="0"/>
          <w:numId w:val="111"/>
        </w:numPr>
        <w:rPr>
          <w:rFonts w:ascii="Arial" w:cs="Arial" w:eastAsia="Arial" w:hAnsi="Arial"/>
          <w:sz w:val="23"/>
          <w:szCs w:val="23"/>
          <w:color w:val="auto"/>
          <w:vertAlign w:val="superscript"/>
        </w:rPr>
      </w:pPr>
      <w:r>
        <w:rPr>
          <w:rFonts w:ascii="Arial" w:cs="Arial" w:eastAsia="Arial" w:hAnsi="Arial"/>
          <w:sz w:val="15"/>
          <w:szCs w:val="15"/>
          <w:color w:val="auto"/>
        </w:rPr>
        <w:t>Fees in fiscal 2026 and 2025 include those for services rendered for the integrated audit of Kyndryl’s consolidated financial statements and of its internal control over financial reporting, for review of the interim consolidated financial statements included in quarterly reports and for services that are normally provided by PwC in connection with statutory and regulatory filings or engagements.</w:t>
      </w:r>
    </w:p>
    <w:p>
      <w:pPr>
        <w:spacing w:after="0" w:line="71" w:lineRule="exact"/>
        <w:rPr>
          <w:rFonts w:ascii="Arial" w:cs="Arial" w:eastAsia="Arial" w:hAnsi="Arial"/>
          <w:sz w:val="23"/>
          <w:szCs w:val="23"/>
          <w:color w:val="auto"/>
          <w:vertAlign w:val="superscript"/>
        </w:rPr>
      </w:pPr>
    </w:p>
    <w:p>
      <w:pPr>
        <w:ind w:left="540" w:right="279" w:hanging="356"/>
        <w:spacing w:after="0" w:line="210" w:lineRule="auto"/>
        <w:tabs>
          <w:tab w:leader="none" w:pos="540" w:val="left"/>
        </w:tabs>
        <w:numPr>
          <w:ilvl w:val="0"/>
          <w:numId w:val="111"/>
        </w:numPr>
        <w:rPr>
          <w:rFonts w:ascii="Arial" w:cs="Arial" w:eastAsia="Arial" w:hAnsi="Arial"/>
          <w:sz w:val="23"/>
          <w:szCs w:val="23"/>
          <w:color w:val="auto"/>
          <w:vertAlign w:val="superscript"/>
        </w:rPr>
      </w:pPr>
      <w:r>
        <w:rPr>
          <w:rFonts w:ascii="Arial" w:cs="Arial" w:eastAsia="Arial" w:hAnsi="Arial"/>
          <w:sz w:val="15"/>
          <w:szCs w:val="15"/>
          <w:color w:val="auto"/>
        </w:rPr>
        <w:t>For all periods presented, Audit-Related Fees consists of fees billed for assurance and related services that are related to the performance of the auditor review of Kyndryl’s consolidated financial statements and are not reported under “Audit Fees.” These services are related to process control reports delivered to the Company and its clients and assurance and limited assurance procedures, including over selected corporate citizenship information and certain regulatory audits.</w:t>
      </w:r>
    </w:p>
    <w:p>
      <w:pPr>
        <w:spacing w:after="0" w:line="71" w:lineRule="exact"/>
        <w:rPr>
          <w:rFonts w:ascii="Arial" w:cs="Arial" w:eastAsia="Arial" w:hAnsi="Arial"/>
          <w:sz w:val="23"/>
          <w:szCs w:val="23"/>
          <w:color w:val="auto"/>
          <w:vertAlign w:val="superscript"/>
        </w:rPr>
      </w:pPr>
    </w:p>
    <w:p>
      <w:pPr>
        <w:ind w:left="540" w:right="179" w:hanging="356"/>
        <w:spacing w:after="0" w:line="199" w:lineRule="auto"/>
        <w:tabs>
          <w:tab w:leader="none" w:pos="540" w:val="left"/>
        </w:tabs>
        <w:numPr>
          <w:ilvl w:val="0"/>
          <w:numId w:val="111"/>
        </w:numPr>
        <w:rPr>
          <w:rFonts w:ascii="Arial" w:cs="Arial" w:eastAsia="Arial" w:hAnsi="Arial"/>
          <w:sz w:val="23"/>
          <w:szCs w:val="23"/>
          <w:color w:val="auto"/>
          <w:vertAlign w:val="superscript"/>
        </w:rPr>
      </w:pPr>
      <w:r>
        <w:rPr>
          <w:rFonts w:ascii="Arial" w:cs="Arial" w:eastAsia="Arial" w:hAnsi="Arial"/>
          <w:sz w:val="15"/>
          <w:szCs w:val="15"/>
          <w:color w:val="auto"/>
        </w:rPr>
        <w:t>Tax fees in fiscal 2026 and 2025 include services related to tax compliance and advisory services for U.S. federal and state taxes, as well as non-U.S. matters such as cross-border and transfer pricing assistance.</w:t>
      </w:r>
    </w:p>
    <w:p>
      <w:pPr>
        <w:spacing w:after="0" w:line="69" w:lineRule="exact"/>
        <w:rPr>
          <w:rFonts w:ascii="Arial" w:cs="Arial" w:eastAsia="Arial" w:hAnsi="Arial"/>
          <w:sz w:val="23"/>
          <w:szCs w:val="23"/>
          <w:color w:val="auto"/>
          <w:vertAlign w:val="superscript"/>
        </w:rPr>
      </w:pPr>
    </w:p>
    <w:p>
      <w:pPr>
        <w:ind w:left="540" w:right="499" w:hanging="356"/>
        <w:spacing w:after="0" w:line="199" w:lineRule="auto"/>
        <w:tabs>
          <w:tab w:leader="none" w:pos="540" w:val="left"/>
        </w:tabs>
        <w:numPr>
          <w:ilvl w:val="0"/>
          <w:numId w:val="111"/>
        </w:numPr>
        <w:rPr>
          <w:rFonts w:ascii="Arial" w:cs="Arial" w:eastAsia="Arial" w:hAnsi="Arial"/>
          <w:sz w:val="23"/>
          <w:szCs w:val="23"/>
          <w:color w:val="auto"/>
          <w:vertAlign w:val="superscript"/>
        </w:rPr>
      </w:pPr>
      <w:r>
        <w:rPr>
          <w:rFonts w:ascii="Arial" w:cs="Arial" w:eastAsia="Arial" w:hAnsi="Arial"/>
          <w:sz w:val="15"/>
          <w:szCs w:val="15"/>
          <w:color w:val="auto"/>
        </w:rPr>
        <w:t>All other fees in fiscal 2026 and 2025 include services related to professional services other than the services reported above, including permissible general training and software licenses.</w:t>
      </w:r>
    </w:p>
    <w:p>
      <w:pPr>
        <w:spacing w:after="0" w:line="119" w:lineRule="exact"/>
        <w:rPr>
          <w:sz w:val="20"/>
          <w:szCs w:val="20"/>
          <w:color w:val="auto"/>
        </w:rPr>
      </w:pPr>
    </w:p>
    <w:p>
      <w:pPr>
        <w:ind w:left="80" w:right="119"/>
        <w:spacing w:after="0" w:line="267" w:lineRule="auto"/>
        <w:rPr>
          <w:sz w:val="20"/>
          <w:szCs w:val="20"/>
          <w:color w:val="auto"/>
        </w:rPr>
      </w:pPr>
      <w:r>
        <w:rPr>
          <w:rFonts w:ascii="Arial" w:cs="Arial" w:eastAsia="Arial" w:hAnsi="Arial"/>
          <w:sz w:val="17"/>
          <w:szCs w:val="17"/>
          <w:color w:val="auto"/>
        </w:rPr>
        <w:t>The Audit Committee considered whether PwC providing the non-audit services included in this table was compatible with maintaining PwC’s independence and concluded that it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20955</wp:posOffset>
            </wp:positionV>
            <wp:extent cx="5623560" cy="48006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623560" cy="480060"/>
                    </a:xfrm>
                    <a:prstGeom prst="rect">
                      <a:avLst/>
                    </a:prstGeom>
                    <a:noFill/>
                  </pic:spPr>
                </pic:pic>
              </a:graphicData>
            </a:graphic>
          </wp:anchor>
        </w:drawing>
      </w:r>
    </w:p>
    <w:p>
      <w:pPr>
        <w:spacing w:after="0" w:line="139" w:lineRule="exact"/>
        <w:rPr>
          <w:sz w:val="20"/>
          <w:szCs w:val="20"/>
          <w:color w:val="auto"/>
        </w:rPr>
      </w:pPr>
    </w:p>
    <w:p>
      <w:pPr>
        <w:ind w:left="880" w:right="1179"/>
        <w:spacing w:after="0" w:line="225" w:lineRule="auto"/>
        <w:rPr>
          <w:sz w:val="20"/>
          <w:szCs w:val="20"/>
          <w:color w:val="auto"/>
        </w:rPr>
      </w:pPr>
      <w:r>
        <w:rPr>
          <w:rFonts w:ascii="Arial" w:cs="Arial" w:eastAsia="Arial" w:hAnsi="Arial"/>
          <w:sz w:val="17"/>
          <w:szCs w:val="17"/>
          <w:color w:val="auto"/>
        </w:rPr>
        <w:t xml:space="preserve">The Board recommends that you vote </w:t>
      </w:r>
      <w:r>
        <w:rPr>
          <w:rFonts w:ascii="Arial" w:cs="Arial" w:eastAsia="Arial" w:hAnsi="Arial"/>
          <w:sz w:val="17"/>
          <w:szCs w:val="17"/>
          <w:b w:val="1"/>
          <w:bCs w:val="1"/>
          <w:color w:val="72C593"/>
        </w:rPr>
        <w:t>FOR</w:t>
      </w:r>
      <w:r>
        <w:rPr>
          <w:rFonts w:ascii="Arial" w:cs="Arial" w:eastAsia="Arial" w:hAnsi="Arial"/>
          <w:sz w:val="17"/>
          <w:szCs w:val="17"/>
          <w:color w:val="auto"/>
        </w:rPr>
        <w:t xml:space="preserve"> the ratification of the appointment of PwC as our independent registered public accounting firm for fiscal 2027.</w:t>
      </w:r>
    </w:p>
    <w:p>
      <w:pPr>
        <w:ind w:left="480"/>
        <w:spacing w:after="0"/>
        <w:rPr>
          <w:sz w:val="20"/>
          <w:szCs w:val="20"/>
          <w:color w:val="auto"/>
        </w:rPr>
      </w:pPr>
      <w:r>
        <w:rPr>
          <w:rFonts w:ascii="Arial" w:cs="Arial" w:eastAsia="Arial" w:hAnsi="Arial"/>
          <w:sz w:val="17"/>
          <w:szCs w:val="17"/>
          <w:color w:val="auto"/>
        </w:rPr>
        <w:t> </w:t>
      </w:r>
    </w:p>
    <w:p>
      <w:pPr>
        <w:spacing w:after="0" w:line="283"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6" w:name="page97"/>
    <w:bookmarkEnd w:id="9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right="1019"/>
        <w:spacing w:after="0" w:line="290" w:lineRule="auto"/>
        <w:rPr>
          <w:sz w:val="20"/>
          <w:szCs w:val="20"/>
          <w:color w:val="auto"/>
        </w:rPr>
      </w:pPr>
      <w:r>
        <w:rPr>
          <w:rFonts w:ascii="Arial" w:cs="Arial" w:eastAsia="Arial" w:hAnsi="Arial"/>
          <w:sz w:val="31"/>
          <w:szCs w:val="31"/>
          <w:b w:val="1"/>
          <w:bCs w:val="1"/>
          <w:color w:val="auto"/>
        </w:rPr>
        <w:t>Pre-Approval of Services Provided by the Independent Registered Public Accounting Firm</w:t>
      </w:r>
    </w:p>
    <w:p>
      <w:pPr>
        <w:spacing w:after="0" w:line="33" w:lineRule="exact"/>
        <w:rPr>
          <w:sz w:val="20"/>
          <w:szCs w:val="20"/>
          <w:color w:val="auto"/>
        </w:rPr>
      </w:pPr>
    </w:p>
    <w:p>
      <w:pPr>
        <w:ind w:left="80" w:right="99"/>
        <w:spacing w:after="0" w:line="237" w:lineRule="auto"/>
        <w:rPr>
          <w:sz w:val="20"/>
          <w:szCs w:val="20"/>
          <w:color w:val="auto"/>
        </w:rPr>
      </w:pPr>
      <w:r>
        <w:rPr>
          <w:rFonts w:ascii="Arial" w:cs="Arial" w:eastAsia="Arial" w:hAnsi="Arial"/>
          <w:sz w:val="17"/>
          <w:szCs w:val="17"/>
          <w:color w:val="auto"/>
        </w:rPr>
        <w:t>Consistent with its charter and applicable SEC rules, our Audit Committee approves all fees paid to, and all services performed by, our independent registered public accounting firm. At the beginning of each year, the Audit Committee approves the proposed services, including the nature, type and scope of services contemplated and the related fees, to be rendered by PwC during the year. In addition, pursuant to authority delegated by the Audit Committee, the Audit Committee Chair may approve engagements that are outside the scope of the services and fees approved by the Audit Committee, which are later presented to the Committee. For each category of proposed service, the independent registered public accounting firm is required to confirm that the provision of such services does not impair its independence.</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Audit Committee Report</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Audit Committee hereby reports as follows:</w:t>
      </w:r>
    </w:p>
    <w:p>
      <w:pPr>
        <w:spacing w:after="0" w:line="156" w:lineRule="exact"/>
        <w:rPr>
          <w:sz w:val="20"/>
          <w:szCs w:val="20"/>
          <w:color w:val="auto"/>
        </w:rPr>
      </w:pPr>
    </w:p>
    <w:p>
      <w:pPr>
        <w:ind w:left="420" w:right="259" w:hanging="344"/>
        <w:spacing w:after="0" w:line="182" w:lineRule="auto"/>
        <w:tabs>
          <w:tab w:leader="none" w:pos="420" w:val="left"/>
        </w:tabs>
        <w:numPr>
          <w:ilvl w:val="0"/>
          <w:numId w:val="112"/>
        </w:numPr>
        <w:rPr>
          <w:rFonts w:ascii="Arial" w:cs="Arial" w:eastAsia="Arial" w:hAnsi="Arial"/>
          <w:sz w:val="37"/>
          <w:szCs w:val="37"/>
          <w:b w:val="1"/>
          <w:bCs w:val="1"/>
          <w:color w:val="F0533D"/>
          <w:vertAlign w:val="subscript"/>
        </w:rPr>
      </w:pPr>
      <w:r>
        <w:rPr>
          <w:rFonts w:ascii="Arial" w:cs="Arial" w:eastAsia="Arial" w:hAnsi="Arial"/>
          <w:sz w:val="16"/>
          <w:szCs w:val="16"/>
          <w:color w:val="auto"/>
        </w:rPr>
        <w:t>The Audit Committee has a charter outlining its authority and responsibilities which is reviewed annually by the Audit Committee. A brief description of the key responsibilities of the Audit Committee is set forth under “Corporate Governance and Board Matters — Committees of the Board — Audit Committee.”</w:t>
      </w:r>
    </w:p>
    <w:p>
      <w:pPr>
        <w:spacing w:after="0" w:line="127" w:lineRule="exact"/>
        <w:rPr>
          <w:sz w:val="20"/>
          <w:szCs w:val="20"/>
          <w:color w:val="auto"/>
        </w:rPr>
      </w:pPr>
    </w:p>
    <w:p>
      <w:pPr>
        <w:ind w:left="420" w:right="139" w:hanging="344"/>
        <w:spacing w:after="0" w:line="195" w:lineRule="auto"/>
        <w:tabs>
          <w:tab w:leader="none" w:pos="420" w:val="left"/>
        </w:tabs>
        <w:numPr>
          <w:ilvl w:val="0"/>
          <w:numId w:val="113"/>
        </w:numPr>
        <w:rPr>
          <w:rFonts w:ascii="Arial" w:cs="Arial" w:eastAsia="Arial" w:hAnsi="Arial"/>
          <w:sz w:val="43"/>
          <w:szCs w:val="43"/>
          <w:b w:val="1"/>
          <w:bCs w:val="1"/>
          <w:color w:val="F0533D"/>
          <w:vertAlign w:val="subscript"/>
        </w:rPr>
      </w:pPr>
      <w:r>
        <w:rPr>
          <w:rFonts w:ascii="Arial" w:cs="Arial" w:eastAsia="Arial" w:hAnsi="Arial"/>
          <w:sz w:val="17"/>
          <w:szCs w:val="17"/>
          <w:color w:val="auto"/>
        </w:rPr>
        <w:t>Management has the primary responsibility for the integrity of the Company’s financial statements and the reporting process, including the application of accounting and financial reporting principles and our system of internal accounting controls designed to assure compliance with accounting standards and applicable laws and regulations. The Company’s independent registered public accounting firm, PwC, is responsible for auditing the Company’s financial statements and expressing an opinion as to their conformity with generally accepted accounting principles in the U.S. In addition, the independent registered public accounting firm is responsible for auditing and expressing an opinion on the Company’s internal controls over financial reporting.</w:t>
      </w:r>
    </w:p>
    <w:p>
      <w:pPr>
        <w:spacing w:after="0" w:line="130" w:lineRule="exact"/>
        <w:rPr>
          <w:sz w:val="20"/>
          <w:szCs w:val="20"/>
          <w:color w:val="auto"/>
        </w:rPr>
      </w:pPr>
    </w:p>
    <w:p>
      <w:pPr>
        <w:ind w:left="420" w:right="419" w:hanging="344"/>
        <w:spacing w:after="0" w:line="187" w:lineRule="auto"/>
        <w:tabs>
          <w:tab w:leader="none" w:pos="420" w:val="left"/>
        </w:tabs>
        <w:numPr>
          <w:ilvl w:val="0"/>
          <w:numId w:val="114"/>
        </w:numPr>
        <w:rPr>
          <w:rFonts w:ascii="Arial" w:cs="Arial" w:eastAsia="Arial" w:hAnsi="Arial"/>
          <w:sz w:val="32"/>
          <w:szCs w:val="32"/>
          <w:b w:val="1"/>
          <w:bCs w:val="1"/>
          <w:color w:val="F0533D"/>
          <w:vertAlign w:val="subscript"/>
        </w:rPr>
      </w:pPr>
      <w:r>
        <w:rPr>
          <w:rFonts w:ascii="Arial" w:cs="Arial" w:eastAsia="Arial" w:hAnsi="Arial"/>
          <w:sz w:val="14"/>
          <w:szCs w:val="14"/>
          <w:color w:val="auto"/>
        </w:rPr>
        <w:t>The Audit Committee, in its oversight role, has reviewed and discussed the audited financial statements with Kyndryl’s management and with PwC.</w:t>
      </w:r>
    </w:p>
    <w:p>
      <w:pPr>
        <w:spacing w:after="0" w:line="128" w:lineRule="exact"/>
        <w:rPr>
          <w:sz w:val="20"/>
          <w:szCs w:val="20"/>
          <w:color w:val="auto"/>
        </w:rPr>
      </w:pPr>
    </w:p>
    <w:p>
      <w:pPr>
        <w:ind w:left="420" w:right="959" w:hanging="344"/>
        <w:spacing w:after="0" w:line="187" w:lineRule="auto"/>
        <w:tabs>
          <w:tab w:leader="none" w:pos="420" w:val="left"/>
        </w:tabs>
        <w:numPr>
          <w:ilvl w:val="0"/>
          <w:numId w:val="115"/>
        </w:numPr>
        <w:rPr>
          <w:rFonts w:ascii="Arial" w:cs="Arial" w:eastAsia="Arial" w:hAnsi="Arial"/>
          <w:sz w:val="32"/>
          <w:szCs w:val="32"/>
          <w:b w:val="1"/>
          <w:bCs w:val="1"/>
          <w:color w:val="F0533D"/>
          <w:vertAlign w:val="subscript"/>
        </w:rPr>
      </w:pPr>
      <w:r>
        <w:rPr>
          <w:rFonts w:ascii="Arial" w:cs="Arial" w:eastAsia="Arial" w:hAnsi="Arial"/>
          <w:sz w:val="14"/>
          <w:szCs w:val="14"/>
          <w:color w:val="auto"/>
        </w:rPr>
        <w:t>The Audit Committee has discussed with PwC the matters required to be discussed by the applicable requirements of the PCAOB and the SEC.</w:t>
      </w:r>
    </w:p>
    <w:p>
      <w:pPr>
        <w:spacing w:after="0" w:line="128" w:lineRule="exact"/>
        <w:rPr>
          <w:sz w:val="20"/>
          <w:szCs w:val="20"/>
          <w:color w:val="auto"/>
        </w:rPr>
      </w:pPr>
    </w:p>
    <w:p>
      <w:pPr>
        <w:ind w:left="420" w:right="679" w:hanging="344"/>
        <w:spacing w:after="0" w:line="182" w:lineRule="auto"/>
        <w:tabs>
          <w:tab w:leader="none" w:pos="420" w:val="left"/>
        </w:tabs>
        <w:numPr>
          <w:ilvl w:val="0"/>
          <w:numId w:val="116"/>
        </w:numPr>
        <w:rPr>
          <w:rFonts w:ascii="Arial" w:cs="Arial" w:eastAsia="Arial" w:hAnsi="Arial"/>
          <w:sz w:val="37"/>
          <w:szCs w:val="37"/>
          <w:b w:val="1"/>
          <w:bCs w:val="1"/>
          <w:color w:val="F0533D"/>
          <w:vertAlign w:val="subscript"/>
        </w:rPr>
      </w:pPr>
      <w:r>
        <w:rPr>
          <w:rFonts w:ascii="Arial" w:cs="Arial" w:eastAsia="Arial" w:hAnsi="Arial"/>
          <w:sz w:val="16"/>
          <w:szCs w:val="16"/>
          <w:color w:val="auto"/>
        </w:rPr>
        <w:t>The Audit Committee has received the written disclosures and the letter from PwC required by applicable requirements of the PCAOB regarding PwC’s communications with the Audit Committee concerning independence and has discussed with PwC its independence.</w:t>
      </w:r>
    </w:p>
    <w:p>
      <w:pPr>
        <w:spacing w:after="0" w:line="127" w:lineRule="exact"/>
        <w:rPr>
          <w:sz w:val="20"/>
          <w:szCs w:val="20"/>
          <w:color w:val="auto"/>
        </w:rPr>
      </w:pPr>
    </w:p>
    <w:p>
      <w:pPr>
        <w:jc w:val="both"/>
        <w:ind w:left="420" w:right="519" w:hanging="344"/>
        <w:spacing w:after="0" w:line="182" w:lineRule="auto"/>
        <w:tabs>
          <w:tab w:leader="none" w:pos="420" w:val="left"/>
        </w:tabs>
        <w:numPr>
          <w:ilvl w:val="0"/>
          <w:numId w:val="117"/>
        </w:numPr>
        <w:rPr>
          <w:rFonts w:ascii="Arial" w:cs="Arial" w:eastAsia="Arial" w:hAnsi="Arial"/>
          <w:sz w:val="37"/>
          <w:szCs w:val="37"/>
          <w:b w:val="1"/>
          <w:bCs w:val="1"/>
          <w:color w:val="F0533D"/>
          <w:vertAlign w:val="subscript"/>
        </w:rPr>
      </w:pPr>
      <w:r>
        <w:rPr>
          <w:rFonts w:ascii="Arial" w:cs="Arial" w:eastAsia="Arial" w:hAnsi="Arial"/>
          <w:sz w:val="16"/>
          <w:szCs w:val="16"/>
          <w:color w:val="auto"/>
        </w:rPr>
        <w:t>Based on the review and discussions referred to in paragraphs (3) through (5) above, the Audit Committee recommended to the Board that the audited financial statements be included in Kyndryl’s Annual Report on Form 10-K for the fiscal year ended March 31, 2026, filed with the SEC.</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THE AUDIT COMMITTEE OF THE BOARD OF DIRECTORS</w:t>
      </w:r>
    </w:p>
    <w:p>
      <w:pPr>
        <w:spacing w:after="0" w:line="63" w:lineRule="exact"/>
        <w:rPr>
          <w:sz w:val="20"/>
          <w:szCs w:val="20"/>
          <w:color w:val="auto"/>
        </w:rPr>
      </w:pPr>
    </w:p>
    <w:tbl>
      <w:tblPr>
        <w:tblLayout w:type="fixed"/>
        <w:tblInd w:w="90" w:type="dxa"/>
        <w:tblCellMar>
          <w:top w:w="0" w:type="dxa"/>
          <w:left w:w="0" w:type="dxa"/>
          <w:bottom w:w="0" w:type="dxa"/>
          <w:right w:w="0" w:type="dxa"/>
        </w:tblCellMar>
      </w:tblPr>
      <w:tr>
        <w:trPr>
          <w:trHeight w:val="1828"/>
        </w:trPr>
        <w:tc>
          <w:tcPr>
            <w:tcW w:w="2680" w:type="dxa"/>
            <w:vAlign w:val="bottom"/>
            <w:tcBorders>
              <w:top w:val="single" w:sz="8" w:color="F0533D"/>
              <w:left w:val="single" w:sz="8" w:color="F0533D"/>
            </w:tcBorders>
            <w:shd w:val="clear" w:color="auto" w:fill="F1F2F2"/>
          </w:tcPr>
          <w:p>
            <w:pPr>
              <w:ind w:left="280"/>
              <w:spacing w:after="0"/>
              <w:rPr>
                <w:sz w:val="20"/>
                <w:szCs w:val="20"/>
                <w:color w:val="auto"/>
              </w:rPr>
            </w:pPr>
            <w:r>
              <w:rPr>
                <w:rFonts w:ascii="Arial" w:cs="Arial" w:eastAsia="Arial" w:hAnsi="Arial"/>
                <w:sz w:val="14"/>
                <w:szCs w:val="14"/>
                <w:color w:val="auto"/>
              </w:rPr>
              <w:t> </w:t>
            </w:r>
          </w:p>
        </w:tc>
        <w:tc>
          <w:tcPr>
            <w:tcW w:w="2900" w:type="dxa"/>
            <w:vAlign w:val="bottom"/>
            <w:tcBorders>
              <w:top w:val="single" w:sz="8" w:color="F0533D"/>
            </w:tcBorders>
            <w:shd w:val="clear" w:color="auto" w:fill="F1F2F2"/>
          </w:tcPr>
          <w:p>
            <w:pPr>
              <w:ind w:left="480"/>
              <w:spacing w:after="0"/>
              <w:rPr>
                <w:sz w:val="20"/>
                <w:szCs w:val="20"/>
                <w:color w:val="auto"/>
              </w:rPr>
            </w:pPr>
            <w:r>
              <w:rPr>
                <w:rFonts w:ascii="Arial" w:cs="Arial" w:eastAsia="Arial" w:hAnsi="Arial"/>
                <w:sz w:val="14"/>
                <w:szCs w:val="14"/>
                <w:color w:val="auto"/>
              </w:rPr>
              <w:t> </w:t>
            </w:r>
          </w:p>
        </w:tc>
        <w:tc>
          <w:tcPr>
            <w:tcW w:w="3280" w:type="dxa"/>
            <w:vAlign w:val="bottom"/>
            <w:tcBorders>
              <w:top w:val="single" w:sz="8" w:color="F0533D"/>
            </w:tcBorders>
            <w:shd w:val="clear" w:color="auto" w:fill="F1F2F2"/>
          </w:tcPr>
          <w:p>
            <w:pPr>
              <w:ind w:left="580"/>
              <w:spacing w:after="0"/>
              <w:rPr>
                <w:sz w:val="20"/>
                <w:szCs w:val="20"/>
                <w:color w:val="auto"/>
              </w:rPr>
            </w:pPr>
            <w:r>
              <w:rPr>
                <w:rFonts w:ascii="Arial" w:cs="Arial" w:eastAsia="Arial" w:hAnsi="Arial"/>
                <w:sz w:val="14"/>
                <w:szCs w:val="14"/>
                <w:color w:val="auto"/>
              </w:rPr>
              <w:t xml:space="preserve">  </w:t>
            </w:r>
          </w:p>
        </w:tc>
      </w:tr>
      <w:tr>
        <w:trPr>
          <w:trHeight w:val="319"/>
        </w:trPr>
        <w:tc>
          <w:tcPr>
            <w:tcW w:w="2680" w:type="dxa"/>
            <w:vAlign w:val="bottom"/>
            <w:tcBorders>
              <w:left w:val="single" w:sz="8" w:color="F0533D"/>
            </w:tcBorders>
            <w:shd w:val="clear" w:color="auto" w:fill="F1F2F2"/>
          </w:tcPr>
          <w:p>
            <w:pPr>
              <w:ind w:left="480"/>
              <w:spacing w:after="0"/>
              <w:rPr>
                <w:sz w:val="20"/>
                <w:szCs w:val="20"/>
                <w:color w:val="auto"/>
              </w:rPr>
            </w:pPr>
            <w:r>
              <w:rPr>
                <w:rFonts w:ascii="Arial" w:cs="Arial" w:eastAsia="Arial" w:hAnsi="Arial"/>
                <w:sz w:val="14"/>
                <w:szCs w:val="14"/>
                <w:b w:val="1"/>
                <w:bCs w:val="1"/>
                <w:color w:val="auto"/>
              </w:rPr>
              <w:t>DOMINIC J. CARUSO, Chair</w:t>
            </w:r>
          </w:p>
        </w:tc>
        <w:tc>
          <w:tcPr>
            <w:tcW w:w="2900" w:type="dxa"/>
            <w:vAlign w:val="bottom"/>
            <w:shd w:val="clear" w:color="auto" w:fill="F1F2F2"/>
          </w:tcPr>
          <w:p>
            <w:pPr>
              <w:ind w:left="1140"/>
              <w:spacing w:after="0"/>
              <w:rPr>
                <w:sz w:val="20"/>
                <w:szCs w:val="20"/>
                <w:color w:val="auto"/>
              </w:rPr>
            </w:pPr>
            <w:r>
              <w:rPr>
                <w:rFonts w:ascii="Arial" w:cs="Arial" w:eastAsia="Arial" w:hAnsi="Arial"/>
                <w:sz w:val="14"/>
                <w:szCs w:val="14"/>
                <w:b w:val="1"/>
                <w:bCs w:val="1"/>
                <w:color w:val="auto"/>
              </w:rPr>
              <w:t>DENIS MACHUEL</w:t>
            </w:r>
          </w:p>
        </w:tc>
        <w:tc>
          <w:tcPr>
            <w:tcW w:w="3280" w:type="dxa"/>
            <w:vAlign w:val="bottom"/>
            <w:shd w:val="clear" w:color="auto" w:fill="F1F2F2"/>
          </w:tcPr>
          <w:p>
            <w:pPr>
              <w:ind w:left="1060"/>
              <w:spacing w:after="0"/>
              <w:rPr>
                <w:sz w:val="20"/>
                <w:szCs w:val="20"/>
                <w:color w:val="auto"/>
              </w:rPr>
            </w:pPr>
            <w:r>
              <w:rPr>
                <w:rFonts w:ascii="Arial" w:cs="Arial" w:eastAsia="Arial" w:hAnsi="Arial"/>
                <w:sz w:val="14"/>
                <w:szCs w:val="14"/>
                <w:b w:val="1"/>
                <w:bCs w:val="1"/>
                <w:color w:val="auto"/>
              </w:rPr>
              <w:t>RAHUL N. MERCHANT</w:t>
            </w:r>
          </w:p>
        </w:tc>
      </w:tr>
      <w:tr>
        <w:trPr>
          <w:trHeight w:val="108"/>
        </w:trPr>
        <w:tc>
          <w:tcPr>
            <w:tcW w:w="2680" w:type="dxa"/>
            <w:vAlign w:val="bottom"/>
            <w:tcBorders>
              <w:left w:val="single" w:sz="8" w:color="F0533D"/>
            </w:tcBorders>
            <w:shd w:val="clear" w:color="auto" w:fill="F1F2F2"/>
          </w:tcPr>
          <w:p>
            <w:pPr>
              <w:spacing w:after="0"/>
              <w:rPr>
                <w:sz w:val="9"/>
                <w:szCs w:val="9"/>
                <w:color w:val="auto"/>
              </w:rPr>
            </w:pPr>
          </w:p>
        </w:tc>
        <w:tc>
          <w:tcPr>
            <w:tcW w:w="2900" w:type="dxa"/>
            <w:vAlign w:val="bottom"/>
            <w:shd w:val="clear" w:color="auto" w:fill="F1F2F2"/>
          </w:tcPr>
          <w:p>
            <w:pPr>
              <w:spacing w:after="0"/>
              <w:rPr>
                <w:sz w:val="9"/>
                <w:szCs w:val="9"/>
                <w:color w:val="auto"/>
              </w:rPr>
            </w:pPr>
          </w:p>
        </w:tc>
        <w:tc>
          <w:tcPr>
            <w:tcW w:w="3280" w:type="dxa"/>
            <w:vAlign w:val="bottom"/>
            <w:shd w:val="clear" w:color="auto" w:fill="F1F2F2"/>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-1319530</wp:posOffset>
            </wp:positionV>
            <wp:extent cx="934085" cy="9340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34085" cy="93408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-1319530</wp:posOffset>
            </wp:positionV>
            <wp:extent cx="934085" cy="9340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934085" cy="93408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-1319530</wp:posOffset>
            </wp:positionV>
            <wp:extent cx="934085" cy="9340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934085" cy="934085"/>
                    </a:xfrm>
                    <a:prstGeom prst="rect">
                      <a:avLst/>
                    </a:prstGeom>
                    <a:noFill/>
                  </pic:spPr>
                </pic:pic>
              </a:graphicData>
            </a:graphic>
          </wp:anchor>
        </w:drawing>
      </w: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92 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7" w:name="page98"/>
    <w:bookmarkEnd w:id="9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Stock Ownership Information</w:t>
      </w:r>
    </w:p>
    <w:p>
      <w:pPr>
        <w:spacing w:after="0" w:line="339" w:lineRule="exact"/>
        <w:rPr>
          <w:sz w:val="20"/>
          <w:szCs w:val="20"/>
          <w:color w:val="auto"/>
        </w:rPr>
      </w:pPr>
    </w:p>
    <w:p>
      <w:pPr>
        <w:ind w:left="80" w:right="1819"/>
        <w:spacing w:after="0" w:line="290" w:lineRule="auto"/>
        <w:rPr>
          <w:sz w:val="20"/>
          <w:szCs w:val="20"/>
          <w:color w:val="auto"/>
        </w:rPr>
      </w:pPr>
      <w:r>
        <w:rPr>
          <w:rFonts w:ascii="Arial" w:cs="Arial" w:eastAsia="Arial" w:hAnsi="Arial"/>
          <w:sz w:val="31"/>
          <w:szCs w:val="31"/>
          <w:b w:val="1"/>
          <w:bCs w:val="1"/>
          <w:color w:val="auto"/>
        </w:rPr>
        <w:t>Security Ownership of Certain Beneficial Owners and Management</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jc w:val="both"/>
        <w:ind w:left="80" w:right="379"/>
        <w:spacing w:after="0" w:line="249" w:lineRule="auto"/>
        <w:rPr>
          <w:sz w:val="20"/>
          <w:szCs w:val="20"/>
          <w:color w:val="auto"/>
        </w:rPr>
      </w:pPr>
      <w:r>
        <w:rPr>
          <w:rFonts w:ascii="Arial" w:cs="Arial" w:eastAsia="Arial" w:hAnsi="Arial"/>
          <w:sz w:val="17"/>
          <w:szCs w:val="17"/>
          <w:color w:val="auto"/>
        </w:rPr>
        <w:t>The following table sets forth information regarding the beneficial ownership of shares of our common stock as of June 3, 2026, by each of our directors and named executive officers and all of our directors and current executive officers as a group, except as otherwise indicated in the footnotes to the table.</w:t>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2460" w:type="dxa"/>
            <w:vAlign w:val="bottom"/>
          </w:tcPr>
          <w:p>
            <w:pPr>
              <w:spacing w:after="0"/>
              <w:rPr>
                <w:sz w:val="22"/>
                <w:szCs w:val="22"/>
                <w:color w:val="auto"/>
              </w:rPr>
            </w:pPr>
          </w:p>
        </w:tc>
        <w:tc>
          <w:tcPr>
            <w:tcW w:w="5620" w:type="dxa"/>
            <w:vAlign w:val="bottom"/>
            <w:tcBorders>
              <w:bottom w:val="single" w:sz="8" w:color="F0533D"/>
            </w:tcBorders>
            <w:gridSpan w:val="3"/>
          </w:tcPr>
          <w:p>
            <w:pPr>
              <w:jc w:val="right"/>
              <w:ind w:right="36"/>
              <w:spacing w:after="0"/>
              <w:rPr>
                <w:sz w:val="20"/>
                <w:szCs w:val="20"/>
                <w:color w:val="auto"/>
              </w:rPr>
            </w:pPr>
            <w:r>
              <w:rPr>
                <w:rFonts w:ascii="Arial" w:cs="Arial" w:eastAsia="Arial" w:hAnsi="Arial"/>
                <w:sz w:val="14"/>
                <w:szCs w:val="14"/>
                <w:b w:val="1"/>
                <w:bCs w:val="1"/>
                <w:color w:val="F0533D"/>
              </w:rPr>
              <w:t>Number of Shares or Units Beneficially Owned as of June 3, 2026</w:t>
            </w:r>
            <w:r>
              <w:rPr>
                <w:rFonts w:ascii="Arial" w:cs="Arial" w:eastAsia="Arial" w:hAnsi="Arial"/>
                <w:sz w:val="23"/>
                <w:szCs w:val="23"/>
                <w:b w:val="1"/>
                <w:bCs w:val="1"/>
                <w:color w:val="F0533D"/>
                <w:vertAlign w:val="superscript"/>
              </w:rPr>
              <w:t>(1)</w:t>
            </w:r>
          </w:p>
        </w:tc>
        <w:tc>
          <w:tcPr>
            <w:tcW w:w="780" w:type="dxa"/>
            <w:vAlign w:val="bottom"/>
            <w:tcBorders>
              <w:bottom w:val="single" w:sz="8" w:color="F0533D"/>
            </w:tcBorders>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2460" w:type="dxa"/>
            <w:vAlign w:val="bottom"/>
          </w:tcPr>
          <w:p>
            <w:pPr>
              <w:spacing w:after="0"/>
              <w:rPr>
                <w:sz w:val="15"/>
                <w:szCs w:val="15"/>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b w:val="1"/>
                <w:bCs w:val="1"/>
                <w:color w:val="F0533D"/>
              </w:rPr>
              <w:t>Shares of Common</w:t>
            </w:r>
          </w:p>
        </w:tc>
        <w:tc>
          <w:tcPr>
            <w:tcW w:w="2540" w:type="dxa"/>
            <w:vAlign w:val="bottom"/>
            <w:vMerge w:val="restart"/>
          </w:tcPr>
          <w:p>
            <w:pPr>
              <w:jc w:val="center"/>
              <w:spacing w:after="0"/>
              <w:rPr>
                <w:sz w:val="20"/>
                <w:szCs w:val="20"/>
                <w:color w:val="auto"/>
              </w:rPr>
            </w:pPr>
            <w:r>
              <w:rPr>
                <w:rFonts w:ascii="Arial" w:cs="Arial" w:eastAsia="Arial" w:hAnsi="Arial"/>
                <w:sz w:val="14"/>
                <w:szCs w:val="14"/>
                <w:b w:val="1"/>
                <w:bCs w:val="1"/>
                <w:color w:val="F0533D"/>
              </w:rPr>
              <w:t>Options Exercisable and</w:t>
            </w:r>
          </w:p>
        </w:tc>
        <w:tc>
          <w:tcPr>
            <w:tcW w:w="12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F0533D"/>
              </w:rPr>
              <w:t>Total</w:t>
            </w:r>
          </w:p>
        </w:tc>
        <w:tc>
          <w:tcPr>
            <w:tcW w:w="780" w:type="dxa"/>
            <w:vAlign w:val="bottom"/>
          </w:tcPr>
          <w:p>
            <w:pPr>
              <w:jc w:val="center"/>
              <w:ind w:right="37"/>
              <w:spacing w:after="0"/>
              <w:rPr>
                <w:sz w:val="20"/>
                <w:szCs w:val="20"/>
                <w:color w:val="auto"/>
              </w:rPr>
            </w:pPr>
            <w:r>
              <w:rPr>
                <w:rFonts w:ascii="Arial" w:cs="Arial" w:eastAsia="Arial" w:hAnsi="Arial"/>
                <w:sz w:val="14"/>
                <w:szCs w:val="14"/>
                <w:b w:val="1"/>
                <w:bCs w:val="1"/>
                <w:color w:val="F0533D"/>
              </w:rPr>
              <w:t>% of</w:t>
            </w:r>
          </w:p>
        </w:tc>
        <w:tc>
          <w:tcPr>
            <w:tcW w:w="0" w:type="dxa"/>
            <w:vAlign w:val="bottom"/>
          </w:tcPr>
          <w:p>
            <w:pPr>
              <w:spacing w:after="0"/>
              <w:rPr>
                <w:sz w:val="1"/>
                <w:szCs w:val="1"/>
                <w:color w:val="auto"/>
              </w:rPr>
            </w:pPr>
          </w:p>
        </w:tc>
      </w:tr>
      <w:tr>
        <w:trPr>
          <w:trHeight w:val="144"/>
        </w:trPr>
        <w:tc>
          <w:tcPr>
            <w:tcW w:w="246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780" w:type="dxa"/>
            <w:vAlign w:val="bottom"/>
          </w:tcPr>
          <w:p>
            <w:pPr>
              <w:jc w:val="center"/>
              <w:ind w:right="37"/>
              <w:spacing w:after="0" w:line="145" w:lineRule="exact"/>
              <w:rPr>
                <w:sz w:val="20"/>
                <w:szCs w:val="20"/>
                <w:color w:val="auto"/>
              </w:rPr>
            </w:pPr>
            <w:r>
              <w:rPr>
                <w:rFonts w:ascii="Arial" w:cs="Arial" w:eastAsia="Arial" w:hAnsi="Arial"/>
                <w:sz w:val="14"/>
                <w:szCs w:val="14"/>
                <w:b w:val="1"/>
                <w:bCs w:val="1"/>
                <w:color w:val="F0533D"/>
              </w:rPr>
              <w:t>Total</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F0533D"/>
              </w:rPr>
              <w:t>Stock Owned Directly</w:t>
            </w:r>
          </w:p>
        </w:tc>
        <w:tc>
          <w:tcPr>
            <w:tcW w:w="2540" w:type="dxa"/>
            <w:vAlign w:val="bottom"/>
          </w:tcPr>
          <w:p>
            <w:pPr>
              <w:jc w:val="center"/>
              <w:spacing w:after="0"/>
              <w:rPr>
                <w:sz w:val="20"/>
                <w:szCs w:val="20"/>
                <w:color w:val="auto"/>
              </w:rPr>
            </w:pPr>
            <w:r>
              <w:rPr>
                <w:rFonts w:ascii="Arial" w:cs="Arial" w:eastAsia="Arial" w:hAnsi="Arial"/>
                <w:sz w:val="14"/>
                <w:szCs w:val="14"/>
                <w:b w:val="1"/>
                <w:bCs w:val="1"/>
                <w:color w:val="F0533D"/>
              </w:rPr>
              <w:t>Restricted Stock Units Vesting</w:t>
            </w:r>
          </w:p>
        </w:tc>
        <w:tc>
          <w:tcPr>
            <w:tcW w:w="1220" w:type="dxa"/>
            <w:vAlign w:val="bottom"/>
          </w:tcPr>
          <w:p>
            <w:pPr>
              <w:jc w:val="center"/>
              <w:ind w:right="96"/>
              <w:spacing w:after="0"/>
              <w:rPr>
                <w:sz w:val="20"/>
                <w:szCs w:val="20"/>
                <w:color w:val="auto"/>
              </w:rPr>
            </w:pPr>
            <w:r>
              <w:rPr>
                <w:rFonts w:ascii="Arial" w:cs="Arial" w:eastAsia="Arial" w:hAnsi="Arial"/>
                <w:sz w:val="14"/>
                <w:szCs w:val="14"/>
                <w:b w:val="1"/>
                <w:bCs w:val="1"/>
                <w:color w:val="F0533D"/>
              </w:rPr>
              <w:t>Beneficial</w:t>
            </w:r>
          </w:p>
        </w:tc>
        <w:tc>
          <w:tcPr>
            <w:tcW w:w="780" w:type="dxa"/>
            <w:vAlign w:val="bottom"/>
          </w:tcPr>
          <w:p>
            <w:pPr>
              <w:jc w:val="center"/>
              <w:ind w:right="57"/>
              <w:spacing w:after="0"/>
              <w:rPr>
                <w:sz w:val="20"/>
                <w:szCs w:val="20"/>
                <w:color w:val="auto"/>
              </w:rPr>
            </w:pPr>
            <w:r>
              <w:rPr>
                <w:rFonts w:ascii="Arial" w:cs="Arial" w:eastAsia="Arial" w:hAnsi="Arial"/>
                <w:sz w:val="14"/>
                <w:szCs w:val="14"/>
                <w:b w:val="1"/>
                <w:bCs w:val="1"/>
                <w:color w:val="F0533D"/>
              </w:rPr>
              <w:t>Voting</w:t>
            </w:r>
          </w:p>
        </w:tc>
        <w:tc>
          <w:tcPr>
            <w:tcW w:w="0" w:type="dxa"/>
            <w:vAlign w:val="bottom"/>
          </w:tcPr>
          <w:p>
            <w:pPr>
              <w:spacing w:after="0"/>
              <w:rPr>
                <w:sz w:val="1"/>
                <w:szCs w:val="1"/>
                <w:color w:val="auto"/>
              </w:rPr>
            </w:pPr>
          </w:p>
        </w:tc>
      </w:tr>
      <w:tr>
        <w:trPr>
          <w:trHeight w:val="216"/>
        </w:trPr>
        <w:tc>
          <w:tcPr>
            <w:tcW w:w="2460" w:type="dxa"/>
            <w:vAlign w:val="bottom"/>
            <w:tcBorders>
              <w:bottom w:val="single" w:sz="8" w:color="F0533D"/>
            </w:tcBorders>
          </w:tcPr>
          <w:p>
            <w:pPr>
              <w:ind w:left="160"/>
              <w:spacing w:after="0"/>
              <w:rPr>
                <w:sz w:val="20"/>
                <w:szCs w:val="20"/>
                <w:color w:val="auto"/>
              </w:rPr>
            </w:pPr>
            <w:r>
              <w:rPr>
                <w:rFonts w:ascii="Arial" w:cs="Arial" w:eastAsia="Arial" w:hAnsi="Arial"/>
                <w:sz w:val="14"/>
                <w:szCs w:val="14"/>
                <w:b w:val="1"/>
                <w:bCs w:val="1"/>
                <w:color w:val="F0533D"/>
              </w:rPr>
              <w:t>Name</w:t>
            </w:r>
          </w:p>
        </w:tc>
        <w:tc>
          <w:tcPr>
            <w:tcW w:w="1860" w:type="dxa"/>
            <w:vAlign w:val="bottom"/>
            <w:tcBorders>
              <w:bottom w:val="single" w:sz="8" w:color="F0533D"/>
            </w:tcBorders>
          </w:tcPr>
          <w:p>
            <w:pPr>
              <w:jc w:val="center"/>
              <w:spacing w:after="0" w:line="216" w:lineRule="exact"/>
              <w:rPr>
                <w:sz w:val="20"/>
                <w:szCs w:val="20"/>
                <w:color w:val="auto"/>
              </w:rPr>
            </w:pPr>
            <w:r>
              <w:rPr>
                <w:rFonts w:ascii="Arial" w:cs="Arial" w:eastAsia="Arial" w:hAnsi="Arial"/>
                <w:sz w:val="14"/>
                <w:szCs w:val="14"/>
                <w:b w:val="1"/>
                <w:bCs w:val="1"/>
                <w:color w:val="F0533D"/>
                <w:w w:val="98"/>
              </w:rPr>
              <w:t>and Indirectly</w:t>
            </w:r>
            <w:r>
              <w:rPr>
                <w:rFonts w:ascii="Arial" w:cs="Arial" w:eastAsia="Arial" w:hAnsi="Arial"/>
                <w:sz w:val="23"/>
                <w:szCs w:val="23"/>
                <w:b w:val="1"/>
                <w:bCs w:val="1"/>
                <w:color w:val="F0533D"/>
                <w:w w:val="98"/>
                <w:vertAlign w:val="superscript"/>
              </w:rPr>
              <w:t>(2)</w:t>
            </w:r>
          </w:p>
        </w:tc>
        <w:tc>
          <w:tcPr>
            <w:tcW w:w="2540" w:type="dxa"/>
            <w:vAlign w:val="bottom"/>
            <w:tcBorders>
              <w:bottom w:val="single" w:sz="8" w:color="F0533D"/>
            </w:tcBorders>
          </w:tcPr>
          <w:p>
            <w:pPr>
              <w:jc w:val="center"/>
              <w:spacing w:after="0" w:line="216" w:lineRule="exact"/>
              <w:rPr>
                <w:sz w:val="20"/>
                <w:szCs w:val="20"/>
                <w:color w:val="auto"/>
              </w:rPr>
            </w:pPr>
            <w:r>
              <w:rPr>
                <w:rFonts w:ascii="Arial" w:cs="Arial" w:eastAsia="Arial" w:hAnsi="Arial"/>
                <w:sz w:val="14"/>
                <w:szCs w:val="14"/>
                <w:b w:val="1"/>
                <w:bCs w:val="1"/>
                <w:color w:val="F0533D"/>
              </w:rPr>
              <w:t>Within 60 Days of June 3, 2026</w:t>
            </w:r>
            <w:r>
              <w:rPr>
                <w:rFonts w:ascii="Arial" w:cs="Arial" w:eastAsia="Arial" w:hAnsi="Arial"/>
                <w:sz w:val="23"/>
                <w:szCs w:val="23"/>
                <w:b w:val="1"/>
                <w:bCs w:val="1"/>
                <w:color w:val="F0533D"/>
                <w:vertAlign w:val="superscript"/>
              </w:rPr>
              <w:t>(3)</w:t>
            </w:r>
          </w:p>
        </w:tc>
        <w:tc>
          <w:tcPr>
            <w:tcW w:w="1220" w:type="dxa"/>
            <w:vAlign w:val="bottom"/>
            <w:tcBorders>
              <w:bottom w:val="single" w:sz="8" w:color="F0533D"/>
            </w:tcBorders>
          </w:tcPr>
          <w:p>
            <w:pPr>
              <w:jc w:val="center"/>
              <w:ind w:right="36"/>
              <w:spacing w:after="0" w:line="216" w:lineRule="exact"/>
              <w:rPr>
                <w:sz w:val="20"/>
                <w:szCs w:val="20"/>
                <w:color w:val="auto"/>
              </w:rPr>
            </w:pPr>
            <w:r>
              <w:rPr>
                <w:rFonts w:ascii="Arial" w:cs="Arial" w:eastAsia="Arial" w:hAnsi="Arial"/>
                <w:sz w:val="14"/>
                <w:szCs w:val="14"/>
                <w:b w:val="1"/>
                <w:bCs w:val="1"/>
                <w:color w:val="F0533D"/>
                <w:w w:val="98"/>
              </w:rPr>
              <w:t>Ownership</w:t>
            </w:r>
            <w:r>
              <w:rPr>
                <w:rFonts w:ascii="Arial" w:cs="Arial" w:eastAsia="Arial" w:hAnsi="Arial"/>
                <w:sz w:val="23"/>
                <w:szCs w:val="23"/>
                <w:b w:val="1"/>
                <w:bCs w:val="1"/>
                <w:color w:val="F0533D"/>
                <w:w w:val="98"/>
                <w:vertAlign w:val="superscript"/>
              </w:rPr>
              <w:t>(4)</w:t>
            </w:r>
          </w:p>
        </w:tc>
        <w:tc>
          <w:tcPr>
            <w:tcW w:w="780" w:type="dxa"/>
            <w:vAlign w:val="bottom"/>
            <w:tcBorders>
              <w:bottom w:val="single" w:sz="8" w:color="F0533D"/>
            </w:tcBorders>
          </w:tcPr>
          <w:p>
            <w:pPr>
              <w:jc w:val="center"/>
              <w:ind w:right="37"/>
              <w:spacing w:after="0"/>
              <w:rPr>
                <w:sz w:val="20"/>
                <w:szCs w:val="20"/>
                <w:color w:val="auto"/>
              </w:rPr>
            </w:pPr>
            <w:r>
              <w:rPr>
                <w:rFonts w:ascii="Arial" w:cs="Arial" w:eastAsia="Arial" w:hAnsi="Arial"/>
                <w:sz w:val="14"/>
                <w:szCs w:val="14"/>
                <w:b w:val="1"/>
                <w:bCs w:val="1"/>
                <w:color w:val="F0533D"/>
                <w:w w:val="99"/>
              </w:rPr>
              <w:t>Power</w:t>
            </w:r>
          </w:p>
        </w:tc>
        <w:tc>
          <w:tcPr>
            <w:tcW w:w="0" w:type="dxa"/>
            <w:vAlign w:val="bottom"/>
          </w:tcPr>
          <w:p>
            <w:pPr>
              <w:spacing w:after="0"/>
              <w:rPr>
                <w:sz w:val="1"/>
                <w:szCs w:val="1"/>
                <w:color w:val="auto"/>
              </w:rPr>
            </w:pPr>
          </w:p>
        </w:tc>
      </w:tr>
      <w:tr>
        <w:trPr>
          <w:trHeight w:val="230"/>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Martin Schroeter</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1,530,911</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797,317</w:t>
            </w:r>
          </w:p>
        </w:tc>
        <w:tc>
          <w:tcPr>
            <w:tcW w:w="1220" w:type="dxa"/>
            <w:vAlign w:val="bottom"/>
            <w:tcBorders>
              <w:bottom w:val="single" w:sz="8" w:color="939598"/>
            </w:tcBorders>
          </w:tcPr>
          <w:p>
            <w:pPr>
              <w:jc w:val="center"/>
              <w:ind w:right="56"/>
              <w:spacing w:after="0"/>
              <w:rPr>
                <w:sz w:val="20"/>
                <w:szCs w:val="20"/>
                <w:color w:val="auto"/>
              </w:rPr>
            </w:pPr>
            <w:r>
              <w:rPr>
                <w:rFonts w:ascii="Arial" w:cs="Arial" w:eastAsia="Arial" w:hAnsi="Arial"/>
                <w:sz w:val="17"/>
                <w:szCs w:val="17"/>
                <w:color w:val="auto"/>
              </w:rPr>
              <w:t>2,328,228</w:t>
            </w:r>
          </w:p>
        </w:tc>
        <w:tc>
          <w:tcPr>
            <w:tcW w:w="780" w:type="dxa"/>
            <w:vAlign w:val="bottom"/>
            <w:tcBorders>
              <w:bottom w:val="single" w:sz="8" w:color="939598"/>
            </w:tcBorders>
          </w:tcPr>
          <w:p>
            <w:pPr>
              <w:jc w:val="right"/>
              <w:ind w:right="9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7"/>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Harsh Chugh</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35,695</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17,331</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53,026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Elly Keinan</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848,966</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577,106</w:t>
            </w:r>
          </w:p>
        </w:tc>
        <w:tc>
          <w:tcPr>
            <w:tcW w:w="1220" w:type="dxa"/>
            <w:vAlign w:val="bottom"/>
            <w:tcBorders>
              <w:bottom w:val="single" w:sz="8" w:color="939598"/>
            </w:tcBorders>
          </w:tcPr>
          <w:p>
            <w:pPr>
              <w:jc w:val="center"/>
              <w:ind w:right="56"/>
              <w:spacing w:after="0"/>
              <w:rPr>
                <w:sz w:val="20"/>
                <w:szCs w:val="20"/>
                <w:color w:val="auto"/>
              </w:rPr>
            </w:pPr>
            <w:r>
              <w:rPr>
                <w:rFonts w:ascii="Arial" w:cs="Arial" w:eastAsia="Arial" w:hAnsi="Arial"/>
                <w:sz w:val="17"/>
                <w:szCs w:val="17"/>
                <w:color w:val="auto"/>
              </w:rPr>
              <w:t>1,426,072</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Maryjo Charbonnier</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134,068</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75,937</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210,005</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9"/>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Mark Ringes</w:t>
            </w:r>
          </w:p>
        </w:tc>
        <w:tc>
          <w:tcPr>
            <w:tcW w:w="1860" w:type="dxa"/>
            <w:vAlign w:val="bottom"/>
            <w:tcBorders>
              <w:bottom w:val="single" w:sz="8" w:color="939598"/>
            </w:tcBorders>
          </w:tcPr>
          <w:p>
            <w:pPr>
              <w:jc w:val="right"/>
              <w:ind w:right="257"/>
              <w:spacing w:after="0" w:line="280" w:lineRule="exact"/>
              <w:rPr>
                <w:sz w:val="20"/>
                <w:szCs w:val="20"/>
                <w:color w:val="auto"/>
              </w:rPr>
            </w:pPr>
            <w:r>
              <w:rPr>
                <w:rFonts w:ascii="Arial" w:cs="Arial" w:eastAsia="Arial" w:hAnsi="Arial"/>
                <w:sz w:val="17"/>
                <w:szCs w:val="17"/>
                <w:color w:val="auto"/>
              </w:rPr>
              <w:t>40,851</w:t>
            </w:r>
            <w:r>
              <w:rPr>
                <w:rFonts w:ascii="Arial" w:cs="Arial" w:eastAsia="Arial" w:hAnsi="Arial"/>
                <w:sz w:val="28"/>
                <w:szCs w:val="28"/>
                <w:color w:val="auto"/>
                <w:vertAlign w:val="superscript"/>
              </w:rPr>
              <w:t>(5)</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16,875</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57,726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7"/>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David Wyshner</w:t>
            </w:r>
          </w:p>
        </w:tc>
        <w:tc>
          <w:tcPr>
            <w:tcW w:w="1860" w:type="dxa"/>
            <w:vAlign w:val="bottom"/>
            <w:tcBorders>
              <w:bottom w:val="single" w:sz="8" w:color="939598"/>
            </w:tcBorders>
          </w:tcPr>
          <w:p>
            <w:pPr>
              <w:jc w:val="right"/>
              <w:ind w:right="257"/>
              <w:spacing w:after="0" w:line="277" w:lineRule="exact"/>
              <w:rPr>
                <w:sz w:val="20"/>
                <w:szCs w:val="20"/>
                <w:color w:val="auto"/>
              </w:rPr>
            </w:pPr>
            <w:r>
              <w:rPr>
                <w:rFonts w:ascii="Arial" w:cs="Arial" w:eastAsia="Arial" w:hAnsi="Arial"/>
                <w:sz w:val="17"/>
                <w:szCs w:val="17"/>
                <w:color w:val="auto"/>
              </w:rPr>
              <w:t>461,296</w:t>
            </w:r>
            <w:r>
              <w:rPr>
                <w:rFonts w:ascii="Arial" w:cs="Arial" w:eastAsia="Arial" w:hAnsi="Arial"/>
                <w:sz w:val="28"/>
                <w:szCs w:val="28"/>
                <w:color w:val="auto"/>
                <w:vertAlign w:val="superscript"/>
              </w:rPr>
              <w:t>(6)</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0</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461,296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7"/>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Edward Sebold</w:t>
            </w:r>
          </w:p>
        </w:tc>
        <w:tc>
          <w:tcPr>
            <w:tcW w:w="1860" w:type="dxa"/>
            <w:vAlign w:val="bottom"/>
            <w:tcBorders>
              <w:bottom w:val="single" w:sz="8" w:color="939598"/>
            </w:tcBorders>
          </w:tcPr>
          <w:p>
            <w:pPr>
              <w:jc w:val="right"/>
              <w:ind w:right="257"/>
              <w:spacing w:after="0" w:line="277" w:lineRule="exact"/>
              <w:rPr>
                <w:sz w:val="20"/>
                <w:szCs w:val="20"/>
                <w:color w:val="auto"/>
              </w:rPr>
            </w:pPr>
            <w:r>
              <w:rPr>
                <w:rFonts w:ascii="Arial" w:cs="Arial" w:eastAsia="Arial" w:hAnsi="Arial"/>
                <w:sz w:val="17"/>
                <w:szCs w:val="17"/>
                <w:color w:val="auto"/>
              </w:rPr>
              <w:t>116,288</w:t>
            </w:r>
            <w:r>
              <w:rPr>
                <w:rFonts w:ascii="Arial" w:cs="Arial" w:eastAsia="Arial" w:hAnsi="Arial"/>
                <w:sz w:val="28"/>
                <w:szCs w:val="28"/>
                <w:color w:val="auto"/>
                <w:vertAlign w:val="superscript"/>
              </w:rPr>
              <w:t>(6)</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113,903</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230,191</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Vineet Khurana</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24,339</w:t>
            </w:r>
          </w:p>
        </w:tc>
        <w:tc>
          <w:tcPr>
            <w:tcW w:w="2540" w:type="dxa"/>
            <w:vAlign w:val="bottom"/>
            <w:tcBorders>
              <w:bottom w:val="single" w:sz="8" w:color="939598"/>
            </w:tcBorders>
          </w:tcPr>
          <w:p>
            <w:pPr>
              <w:jc w:val="right"/>
              <w:ind w:right="776"/>
              <w:spacing w:after="0"/>
              <w:rPr>
                <w:sz w:val="20"/>
                <w:szCs w:val="20"/>
                <w:color w:val="auto"/>
              </w:rPr>
            </w:pPr>
            <w:r>
              <w:rPr>
                <w:rFonts w:ascii="Arial" w:cs="Arial" w:eastAsia="Arial" w:hAnsi="Arial"/>
                <w:sz w:val="17"/>
                <w:szCs w:val="17"/>
                <w:color w:val="auto"/>
              </w:rPr>
              <w:t>22,557</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46,896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Dominic J. Caruso</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53,790</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60,086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John D. Harris II</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53,846</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60,142</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Stephen A.M. Hester</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51,080</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57,376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Shirley Ann Jackson</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60,516</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66,812</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Janina Kugel</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42,014</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48,310</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Denis Machuel</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51,505</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57,801</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Rahul N. Merchant</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53,790</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60,086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939598"/>
            </w:tcBorders>
          </w:tcPr>
          <w:p>
            <w:pPr>
              <w:ind w:left="160"/>
              <w:spacing w:after="0"/>
              <w:rPr>
                <w:sz w:val="20"/>
                <w:szCs w:val="20"/>
                <w:color w:val="auto"/>
              </w:rPr>
            </w:pPr>
            <w:r>
              <w:rPr>
                <w:rFonts w:ascii="Arial" w:cs="Arial" w:eastAsia="Arial" w:hAnsi="Arial"/>
                <w:sz w:val="17"/>
                <w:szCs w:val="17"/>
                <w:color w:val="auto"/>
              </w:rPr>
              <w:t>Jana Schreuder</w:t>
            </w:r>
          </w:p>
        </w:tc>
        <w:tc>
          <w:tcPr>
            <w:tcW w:w="1860" w:type="dxa"/>
            <w:vAlign w:val="bottom"/>
            <w:tcBorders>
              <w:bottom w:val="single" w:sz="8" w:color="939598"/>
            </w:tcBorders>
          </w:tcPr>
          <w:p>
            <w:pPr>
              <w:jc w:val="right"/>
              <w:ind w:right="437"/>
              <w:spacing w:after="0"/>
              <w:rPr>
                <w:sz w:val="20"/>
                <w:szCs w:val="20"/>
                <w:color w:val="auto"/>
              </w:rPr>
            </w:pPr>
            <w:r>
              <w:rPr>
                <w:rFonts w:ascii="Arial" w:cs="Arial" w:eastAsia="Arial" w:hAnsi="Arial"/>
                <w:sz w:val="17"/>
                <w:szCs w:val="17"/>
                <w:color w:val="auto"/>
              </w:rPr>
              <w:t>53,790</w:t>
            </w:r>
          </w:p>
        </w:tc>
        <w:tc>
          <w:tcPr>
            <w:tcW w:w="2540" w:type="dxa"/>
            <w:vAlign w:val="bottom"/>
            <w:tcBorders>
              <w:bottom w:val="single" w:sz="8" w:color="939598"/>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939598"/>
            </w:tcBorders>
          </w:tcPr>
          <w:p>
            <w:pPr>
              <w:jc w:val="right"/>
              <w:ind w:right="216"/>
              <w:spacing w:after="0"/>
              <w:rPr>
                <w:sz w:val="20"/>
                <w:szCs w:val="20"/>
                <w:color w:val="auto"/>
              </w:rPr>
            </w:pPr>
            <w:r>
              <w:rPr>
                <w:rFonts w:ascii="Arial" w:cs="Arial" w:eastAsia="Arial" w:hAnsi="Arial"/>
                <w:sz w:val="17"/>
                <w:szCs w:val="17"/>
                <w:color w:val="auto"/>
              </w:rPr>
              <w:t>60,086</w:t>
            </w:r>
          </w:p>
        </w:tc>
        <w:tc>
          <w:tcPr>
            <w:tcW w:w="780" w:type="dxa"/>
            <w:vAlign w:val="bottom"/>
            <w:tcBorders>
              <w:bottom w:val="single" w:sz="8" w:color="939598"/>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F0533D"/>
            </w:tcBorders>
          </w:tcPr>
          <w:p>
            <w:pPr>
              <w:ind w:left="160"/>
              <w:spacing w:after="0"/>
              <w:rPr>
                <w:sz w:val="20"/>
                <w:szCs w:val="20"/>
                <w:color w:val="auto"/>
              </w:rPr>
            </w:pPr>
            <w:r>
              <w:rPr>
                <w:rFonts w:ascii="Arial" w:cs="Arial" w:eastAsia="Arial" w:hAnsi="Arial"/>
                <w:sz w:val="17"/>
                <w:szCs w:val="17"/>
                <w:color w:val="auto"/>
              </w:rPr>
              <w:t>Howard I. Ungerleider</w:t>
            </w:r>
          </w:p>
        </w:tc>
        <w:tc>
          <w:tcPr>
            <w:tcW w:w="1860" w:type="dxa"/>
            <w:vAlign w:val="bottom"/>
            <w:tcBorders>
              <w:bottom w:val="single" w:sz="8" w:color="F0533D"/>
            </w:tcBorders>
          </w:tcPr>
          <w:p>
            <w:pPr>
              <w:jc w:val="right"/>
              <w:ind w:right="437"/>
              <w:spacing w:after="0"/>
              <w:rPr>
                <w:sz w:val="20"/>
                <w:szCs w:val="20"/>
                <w:color w:val="auto"/>
              </w:rPr>
            </w:pPr>
            <w:r>
              <w:rPr>
                <w:rFonts w:ascii="Arial" w:cs="Arial" w:eastAsia="Arial" w:hAnsi="Arial"/>
                <w:sz w:val="17"/>
                <w:szCs w:val="17"/>
                <w:color w:val="auto"/>
              </w:rPr>
              <w:t>73,790</w:t>
            </w:r>
          </w:p>
        </w:tc>
        <w:tc>
          <w:tcPr>
            <w:tcW w:w="2540" w:type="dxa"/>
            <w:vAlign w:val="bottom"/>
            <w:tcBorders>
              <w:bottom w:val="single" w:sz="8" w:color="F0533D"/>
            </w:tcBorders>
          </w:tcPr>
          <w:p>
            <w:pPr>
              <w:jc w:val="right"/>
              <w:ind w:right="796"/>
              <w:spacing w:after="0"/>
              <w:rPr>
                <w:sz w:val="20"/>
                <w:szCs w:val="20"/>
                <w:color w:val="auto"/>
              </w:rPr>
            </w:pPr>
            <w:r>
              <w:rPr>
                <w:rFonts w:ascii="Arial" w:cs="Arial" w:eastAsia="Arial" w:hAnsi="Arial"/>
                <w:sz w:val="17"/>
                <w:szCs w:val="17"/>
                <w:color w:val="auto"/>
              </w:rPr>
              <w:t>6,296</w:t>
            </w:r>
          </w:p>
        </w:tc>
        <w:tc>
          <w:tcPr>
            <w:tcW w:w="1220" w:type="dxa"/>
            <w:vAlign w:val="bottom"/>
            <w:tcBorders>
              <w:bottom w:val="single" w:sz="8" w:color="F0533D"/>
            </w:tcBorders>
          </w:tcPr>
          <w:p>
            <w:pPr>
              <w:jc w:val="right"/>
              <w:ind w:right="216"/>
              <w:spacing w:after="0"/>
              <w:rPr>
                <w:sz w:val="20"/>
                <w:szCs w:val="20"/>
                <w:color w:val="auto"/>
              </w:rPr>
            </w:pPr>
            <w:r>
              <w:rPr>
                <w:rFonts w:ascii="Arial" w:cs="Arial" w:eastAsia="Arial" w:hAnsi="Arial"/>
                <w:sz w:val="17"/>
                <w:szCs w:val="17"/>
                <w:color w:val="auto"/>
              </w:rPr>
              <w:t>80,086</w:t>
            </w:r>
          </w:p>
        </w:tc>
        <w:tc>
          <w:tcPr>
            <w:tcW w:w="780" w:type="dxa"/>
            <w:vAlign w:val="bottom"/>
            <w:tcBorders>
              <w:bottom w:val="single" w:sz="8" w:color="F0533D"/>
            </w:tcBorders>
          </w:tcPr>
          <w:p>
            <w:pPr>
              <w:jc w:val="right"/>
              <w:ind w:right="19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160"/>
              <w:spacing w:after="0" w:line="176" w:lineRule="exact"/>
              <w:rPr>
                <w:sz w:val="20"/>
                <w:szCs w:val="20"/>
                <w:color w:val="auto"/>
              </w:rPr>
            </w:pPr>
            <w:r>
              <w:rPr>
                <w:rFonts w:ascii="Arial" w:cs="Arial" w:eastAsia="Arial" w:hAnsi="Arial"/>
                <w:sz w:val="17"/>
                <w:szCs w:val="17"/>
                <w:color w:val="auto"/>
              </w:rPr>
              <w:t>All directors and current</w:t>
            </w:r>
          </w:p>
        </w:tc>
        <w:tc>
          <w:tcPr>
            <w:tcW w:w="18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60" w:type="dxa"/>
            <w:vAlign w:val="bottom"/>
          </w:tcPr>
          <w:p>
            <w:pPr>
              <w:ind w:left="340"/>
              <w:spacing w:after="0" w:line="189" w:lineRule="exact"/>
              <w:rPr>
                <w:sz w:val="20"/>
                <w:szCs w:val="20"/>
                <w:color w:val="auto"/>
              </w:rPr>
            </w:pPr>
            <w:r>
              <w:rPr>
                <w:rFonts w:ascii="Arial" w:cs="Arial" w:eastAsia="Arial" w:hAnsi="Arial"/>
                <w:sz w:val="17"/>
                <w:szCs w:val="17"/>
                <w:color w:val="auto"/>
              </w:rPr>
              <w:t>executive officers as a</w:t>
            </w:r>
          </w:p>
        </w:tc>
        <w:tc>
          <w:tcPr>
            <w:tcW w:w="18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60" w:type="dxa"/>
            <w:vAlign w:val="bottom"/>
            <w:tcBorders>
              <w:bottom w:val="single" w:sz="8" w:color="F0533D"/>
            </w:tcBorders>
          </w:tcPr>
          <w:p>
            <w:pPr>
              <w:ind w:left="340"/>
              <w:spacing w:after="0"/>
              <w:rPr>
                <w:sz w:val="20"/>
                <w:szCs w:val="20"/>
                <w:color w:val="auto"/>
              </w:rPr>
            </w:pPr>
            <w:r>
              <w:rPr>
                <w:rFonts w:ascii="Arial" w:cs="Arial" w:eastAsia="Arial" w:hAnsi="Arial"/>
                <w:sz w:val="17"/>
                <w:szCs w:val="17"/>
                <w:color w:val="auto"/>
              </w:rPr>
              <w:t>group (15 individuals)</w:t>
            </w:r>
          </w:p>
        </w:tc>
        <w:tc>
          <w:tcPr>
            <w:tcW w:w="1860" w:type="dxa"/>
            <w:vAlign w:val="bottom"/>
            <w:tcBorders>
              <w:bottom w:val="single" w:sz="8" w:color="F0533D"/>
            </w:tcBorders>
          </w:tcPr>
          <w:p>
            <w:pPr>
              <w:jc w:val="right"/>
              <w:ind w:right="437"/>
              <w:spacing w:after="0"/>
              <w:rPr>
                <w:sz w:val="20"/>
                <w:szCs w:val="20"/>
                <w:color w:val="auto"/>
              </w:rPr>
            </w:pPr>
            <w:r>
              <w:rPr>
                <w:rFonts w:ascii="Arial" w:cs="Arial" w:eastAsia="Arial" w:hAnsi="Arial"/>
                <w:sz w:val="17"/>
                <w:szCs w:val="17"/>
                <w:color w:val="auto"/>
              </w:rPr>
              <w:t>3,027,062</w:t>
            </w:r>
          </w:p>
        </w:tc>
        <w:tc>
          <w:tcPr>
            <w:tcW w:w="2540" w:type="dxa"/>
            <w:vAlign w:val="bottom"/>
            <w:tcBorders>
              <w:bottom w:val="single" w:sz="8" w:color="F0533D"/>
            </w:tcBorders>
          </w:tcPr>
          <w:p>
            <w:pPr>
              <w:jc w:val="right"/>
              <w:ind w:right="776"/>
              <w:spacing w:after="0"/>
              <w:rPr>
                <w:sz w:val="20"/>
                <w:szCs w:val="20"/>
                <w:color w:val="auto"/>
              </w:rPr>
            </w:pPr>
            <w:r>
              <w:rPr>
                <w:rFonts w:ascii="Arial" w:cs="Arial" w:eastAsia="Arial" w:hAnsi="Arial"/>
                <w:sz w:val="17"/>
                <w:szCs w:val="17"/>
                <w:color w:val="auto"/>
              </w:rPr>
              <w:t>1,468,238</w:t>
            </w:r>
          </w:p>
        </w:tc>
        <w:tc>
          <w:tcPr>
            <w:tcW w:w="1220" w:type="dxa"/>
            <w:vAlign w:val="bottom"/>
            <w:tcBorders>
              <w:bottom w:val="single" w:sz="8" w:color="F0533D"/>
            </w:tcBorders>
          </w:tcPr>
          <w:p>
            <w:pPr>
              <w:jc w:val="center"/>
              <w:ind w:right="56"/>
              <w:spacing w:after="0"/>
              <w:rPr>
                <w:sz w:val="20"/>
                <w:szCs w:val="20"/>
                <w:color w:val="auto"/>
              </w:rPr>
            </w:pPr>
            <w:r>
              <w:rPr>
                <w:rFonts w:ascii="Arial" w:cs="Arial" w:eastAsia="Arial" w:hAnsi="Arial"/>
                <w:sz w:val="17"/>
                <w:szCs w:val="17"/>
                <w:color w:val="auto"/>
              </w:rPr>
              <w:t>4,495,300</w:t>
            </w:r>
          </w:p>
        </w:tc>
        <w:tc>
          <w:tcPr>
            <w:tcW w:w="780" w:type="dxa"/>
            <w:vAlign w:val="bottom"/>
            <w:tcBorders>
              <w:bottom w:val="single" w:sz="8" w:color="F0533D"/>
            </w:tcBorders>
          </w:tcPr>
          <w:p>
            <w:pPr>
              <w:jc w:val="right"/>
              <w:ind w:right="97"/>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40" w:hanging="356"/>
        <w:spacing w:after="0"/>
        <w:tabs>
          <w:tab w:leader="none" w:pos="540" w:val="left"/>
        </w:tabs>
        <w:numPr>
          <w:ilvl w:val="0"/>
          <w:numId w:val="118"/>
        </w:numPr>
        <w:rPr>
          <w:rFonts w:ascii="Arial" w:cs="Arial" w:eastAsia="Arial" w:hAnsi="Arial"/>
          <w:sz w:val="23"/>
          <w:szCs w:val="23"/>
          <w:color w:val="auto"/>
          <w:vertAlign w:val="superscript"/>
        </w:rPr>
      </w:pPr>
      <w:r>
        <w:rPr>
          <w:rFonts w:ascii="Arial" w:cs="Arial" w:eastAsia="Arial" w:hAnsi="Arial"/>
          <w:sz w:val="15"/>
          <w:szCs w:val="15"/>
          <w:color w:val="auto"/>
        </w:rPr>
        <w:t>Represents beneficial ownership of less than 1% of the outstanding common stock of the Company.</w:t>
      </w:r>
    </w:p>
    <w:p>
      <w:pPr>
        <w:spacing w:after="0" w:line="70" w:lineRule="exact"/>
        <w:rPr>
          <w:sz w:val="20"/>
          <w:szCs w:val="20"/>
          <w:color w:val="auto"/>
        </w:rPr>
      </w:pPr>
    </w:p>
    <w:p>
      <w:pPr>
        <w:ind w:left="540" w:right="99" w:hanging="356"/>
        <w:spacing w:after="0" w:line="210" w:lineRule="auto"/>
        <w:tabs>
          <w:tab w:leader="none" w:pos="540" w:val="left"/>
        </w:tabs>
        <w:numPr>
          <w:ilvl w:val="0"/>
          <w:numId w:val="119"/>
        </w:numPr>
        <w:rPr>
          <w:rFonts w:ascii="Arial" w:cs="Arial" w:eastAsia="Arial" w:hAnsi="Arial"/>
          <w:sz w:val="23"/>
          <w:szCs w:val="23"/>
          <w:color w:val="auto"/>
          <w:vertAlign w:val="superscript"/>
        </w:rPr>
      </w:pPr>
      <w:r>
        <w:rPr>
          <w:rFonts w:ascii="Arial" w:cs="Arial" w:eastAsia="Arial" w:hAnsi="Arial"/>
          <w:sz w:val="15"/>
          <w:szCs w:val="15"/>
          <w:color w:val="auto"/>
        </w:rPr>
        <w:t>Each individual and member of the group has sole investment power with respect to the shares owned except as described below. As of June 3, 2026, (i) 1,019,779 shares were held jointly by Mr. Schroeter and his spouse, (ii) 599,037 shares were held jointly by Mr. Keinan and his spouse, (iii) 42,800 shares were held jointly by Mr. Merchant and his spouse in a trust, and (iv) as of March 31, 2026, 58,978 shares were held jointly by Mr. Wyshner and his spouse.</w:t>
      </w:r>
    </w:p>
    <w:p>
      <w:pPr>
        <w:spacing w:after="0" w:line="7"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119"/>
        </w:numPr>
        <w:rPr>
          <w:rFonts w:ascii="Arial" w:cs="Arial" w:eastAsia="Arial" w:hAnsi="Arial"/>
          <w:sz w:val="23"/>
          <w:szCs w:val="23"/>
          <w:color w:val="auto"/>
          <w:vertAlign w:val="superscript"/>
        </w:rPr>
      </w:pPr>
      <w:r>
        <w:rPr>
          <w:rFonts w:ascii="Arial" w:cs="Arial" w:eastAsia="Arial" w:hAnsi="Arial"/>
          <w:sz w:val="15"/>
          <w:szCs w:val="15"/>
          <w:color w:val="auto"/>
        </w:rPr>
        <w:t>Included are shares of common stock owned outright.</w:t>
      </w:r>
    </w:p>
    <w:p>
      <w:pPr>
        <w:spacing w:after="0" w:line="69" w:lineRule="exact"/>
        <w:rPr>
          <w:rFonts w:ascii="Arial" w:cs="Arial" w:eastAsia="Arial" w:hAnsi="Arial"/>
          <w:sz w:val="23"/>
          <w:szCs w:val="23"/>
          <w:color w:val="auto"/>
          <w:vertAlign w:val="superscript"/>
        </w:rPr>
      </w:pPr>
    </w:p>
    <w:p>
      <w:pPr>
        <w:ind w:left="540" w:right="99" w:hanging="356"/>
        <w:spacing w:after="0" w:line="217" w:lineRule="auto"/>
        <w:tabs>
          <w:tab w:leader="none" w:pos="540" w:val="left"/>
        </w:tabs>
        <w:numPr>
          <w:ilvl w:val="0"/>
          <w:numId w:val="119"/>
        </w:numPr>
        <w:rPr>
          <w:rFonts w:ascii="Arial" w:cs="Arial" w:eastAsia="Arial" w:hAnsi="Arial"/>
          <w:sz w:val="23"/>
          <w:szCs w:val="23"/>
          <w:color w:val="auto"/>
          <w:vertAlign w:val="superscript"/>
        </w:rPr>
      </w:pPr>
      <w:r>
        <w:rPr>
          <w:rFonts w:ascii="Arial" w:cs="Arial" w:eastAsia="Arial" w:hAnsi="Arial"/>
          <w:sz w:val="15"/>
          <w:szCs w:val="15"/>
          <w:color w:val="auto"/>
        </w:rPr>
        <w:t>The number of shares shown in this column are not currently outstanding but are deemed beneficially owned because the individual has the right to acquire them pursuant to options exercisable or restricted stock units settling within 60 days of June 3, 2026 as follows: Mr. Schroeter – 155,270 RSUs vesting within 60 days of June 3, 2026 and 642,047 options exercisable; Mr. Chugh – 7,394 RSUs vesting within 60 days of June 3, 2026 and 9,937 options exercisable; Mr. Keinan – 112,386 RSUs vesting within 60 days of June 3, 2026 and 464,720 options exercisable; Ms. Charbonnier – 14,789 RSUs vesting within 60 days of June 3, 2026 and 61,148 options exercisable; Mr. Ringes – 3,116 RSUs vesting within 60 days of June 3, 2026 and 13,759 options exercisable; Mr. Sebold – 22,182 RSUs vesting within 60 days of June 3, 2026 and 91,721 options exercisable; Mr. Khurana – 11,091 RSUs vesting within 60 days of June 3, 2026 and 11,466 options</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8" w:name="page99"/>
    <w:bookmarkEnd w:id="9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540" w:right="79"/>
        <w:spacing w:after="0" w:line="244" w:lineRule="auto"/>
        <w:rPr>
          <w:sz w:val="20"/>
          <w:szCs w:val="20"/>
          <w:color w:val="auto"/>
        </w:rPr>
      </w:pPr>
      <w:r>
        <w:rPr>
          <w:rFonts w:ascii="Arial" w:cs="Arial" w:eastAsia="Arial" w:hAnsi="Arial"/>
          <w:sz w:val="15"/>
          <w:szCs w:val="15"/>
          <w:color w:val="auto"/>
        </w:rPr>
        <w:t>exercisable; each of Messrs. Caruso, Harris, Machuel, Merchant and Ungerleider, Sir Stephen Hester, Dr. Jackson and Mses. Kugel and Schreuder – 6,296 RSUs vesting on July 30, 2026; All directors and current executive officers as a group – 337,775 RSUs vesting within 60 days of June 3, 2026 and 1,130,463 options exercisable.</w:t>
      </w:r>
    </w:p>
    <w:p>
      <w:pPr>
        <w:spacing w:after="0" w:line="4" w:lineRule="exact"/>
        <w:rPr>
          <w:sz w:val="20"/>
          <w:szCs w:val="20"/>
          <w:color w:val="auto"/>
        </w:rPr>
      </w:pPr>
    </w:p>
    <w:p>
      <w:pPr>
        <w:ind w:left="540" w:hanging="356"/>
        <w:spacing w:after="0"/>
        <w:tabs>
          <w:tab w:leader="none" w:pos="540" w:val="left"/>
        </w:tabs>
        <w:numPr>
          <w:ilvl w:val="0"/>
          <w:numId w:val="120"/>
        </w:numPr>
        <w:rPr>
          <w:rFonts w:ascii="Arial" w:cs="Arial" w:eastAsia="Arial" w:hAnsi="Arial"/>
          <w:sz w:val="23"/>
          <w:szCs w:val="23"/>
          <w:color w:val="auto"/>
          <w:vertAlign w:val="superscript"/>
        </w:rPr>
      </w:pPr>
      <w:r>
        <w:rPr>
          <w:rFonts w:ascii="Arial" w:cs="Arial" w:eastAsia="Arial" w:hAnsi="Arial"/>
          <w:sz w:val="15"/>
          <w:szCs w:val="15"/>
          <w:color w:val="auto"/>
        </w:rPr>
        <w:t>These amounts are the sum of the number of shares shown in the prior columns.</w:t>
      </w:r>
    </w:p>
    <w:p>
      <w:pPr>
        <w:spacing w:after="0" w:line="52" w:lineRule="exact"/>
        <w:rPr>
          <w:rFonts w:ascii="Arial" w:cs="Arial" w:eastAsia="Arial" w:hAnsi="Arial"/>
          <w:sz w:val="23"/>
          <w:szCs w:val="23"/>
          <w:color w:val="auto"/>
          <w:vertAlign w:val="superscript"/>
        </w:rPr>
      </w:pPr>
    </w:p>
    <w:p>
      <w:pPr>
        <w:ind w:left="540" w:hanging="356"/>
        <w:spacing w:after="0" w:line="197" w:lineRule="auto"/>
        <w:tabs>
          <w:tab w:leader="none" w:pos="540" w:val="left"/>
        </w:tabs>
        <w:numPr>
          <w:ilvl w:val="0"/>
          <w:numId w:val="120"/>
        </w:numPr>
        <w:rPr>
          <w:rFonts w:ascii="Arial" w:cs="Arial" w:eastAsia="Arial" w:hAnsi="Arial"/>
          <w:sz w:val="23"/>
          <w:szCs w:val="23"/>
          <w:color w:val="auto"/>
          <w:vertAlign w:val="superscript"/>
        </w:rPr>
      </w:pPr>
      <w:r>
        <w:rPr>
          <w:rFonts w:ascii="Arial" w:cs="Arial" w:eastAsia="Arial" w:hAnsi="Arial"/>
          <w:sz w:val="15"/>
          <w:szCs w:val="15"/>
          <w:color w:val="auto"/>
        </w:rPr>
        <w:t>The shares shown for Mr. Ringes include 6 shares held indirectly by his spouse.</w:t>
      </w:r>
    </w:p>
    <w:p>
      <w:pPr>
        <w:spacing w:after="0" w:line="70" w:lineRule="exact"/>
        <w:rPr>
          <w:rFonts w:ascii="Arial" w:cs="Arial" w:eastAsia="Arial" w:hAnsi="Arial"/>
          <w:sz w:val="23"/>
          <w:szCs w:val="23"/>
          <w:color w:val="auto"/>
          <w:vertAlign w:val="superscript"/>
        </w:rPr>
      </w:pPr>
    </w:p>
    <w:p>
      <w:pPr>
        <w:ind w:left="540" w:right="239" w:hanging="356"/>
        <w:spacing w:after="0" w:line="199" w:lineRule="auto"/>
        <w:tabs>
          <w:tab w:leader="none" w:pos="540" w:val="left"/>
        </w:tabs>
        <w:numPr>
          <w:ilvl w:val="0"/>
          <w:numId w:val="120"/>
        </w:numPr>
        <w:rPr>
          <w:rFonts w:ascii="Arial" w:cs="Arial" w:eastAsia="Arial" w:hAnsi="Arial"/>
          <w:sz w:val="23"/>
          <w:szCs w:val="23"/>
          <w:color w:val="auto"/>
          <w:vertAlign w:val="superscript"/>
        </w:rPr>
      </w:pPr>
      <w:r>
        <w:rPr>
          <w:rFonts w:ascii="Arial" w:cs="Arial" w:eastAsia="Arial" w:hAnsi="Arial"/>
          <w:sz w:val="15"/>
          <w:szCs w:val="15"/>
          <w:color w:val="auto"/>
        </w:rPr>
        <w:t>Beneficial ownership for Messrs. Wyshner and Sebold is as of March 31, 2026 and is based on each individual’s response to the Company’s officer questionnaire.</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5%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459"/>
        <w:spacing w:after="0" w:line="267" w:lineRule="auto"/>
        <w:rPr>
          <w:sz w:val="20"/>
          <w:szCs w:val="20"/>
          <w:color w:val="auto"/>
        </w:rPr>
      </w:pPr>
      <w:r>
        <w:rPr>
          <w:rFonts w:ascii="Arial" w:cs="Arial" w:eastAsia="Arial" w:hAnsi="Arial"/>
          <w:sz w:val="17"/>
          <w:szCs w:val="17"/>
          <w:color w:val="auto"/>
        </w:rPr>
        <w:t>The following table provides information about stockholders known to us to beneficially own more than 5% of our outstanding common stock as of June 3, 2026.</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3000" w:type="dxa"/>
            <w:vAlign w:val="bottom"/>
          </w:tcPr>
          <w:p>
            <w:pPr>
              <w:jc w:val="right"/>
              <w:ind w:right="359"/>
              <w:spacing w:after="0"/>
              <w:rPr>
                <w:sz w:val="20"/>
                <w:szCs w:val="20"/>
                <w:color w:val="auto"/>
              </w:rPr>
            </w:pPr>
            <w:r>
              <w:rPr>
                <w:rFonts w:ascii="Arial" w:cs="Arial" w:eastAsia="Arial" w:hAnsi="Arial"/>
                <w:sz w:val="14"/>
                <w:szCs w:val="14"/>
                <w:b w:val="1"/>
                <w:bCs w:val="1"/>
                <w:color w:val="F0533D"/>
              </w:rPr>
              <w:t>Amount and Nature of</w:t>
            </w:r>
          </w:p>
        </w:tc>
        <w:tc>
          <w:tcPr>
            <w:tcW w:w="1980" w:type="dxa"/>
            <w:vAlign w:val="bottom"/>
          </w:tcPr>
          <w:p>
            <w:pPr>
              <w:jc w:val="right"/>
              <w:ind w:right="79"/>
              <w:spacing w:after="0"/>
              <w:rPr>
                <w:sz w:val="20"/>
                <w:szCs w:val="20"/>
                <w:color w:val="auto"/>
              </w:rPr>
            </w:pPr>
            <w:r>
              <w:rPr>
                <w:rFonts w:ascii="Arial" w:cs="Arial" w:eastAsia="Arial" w:hAnsi="Arial"/>
                <w:sz w:val="14"/>
                <w:szCs w:val="14"/>
                <w:b w:val="1"/>
                <w:bCs w:val="1"/>
                <w:color w:val="F0533D"/>
              </w:rPr>
              <w:t>Percent of Company</w:t>
            </w:r>
          </w:p>
        </w:tc>
        <w:tc>
          <w:tcPr>
            <w:tcW w:w="0" w:type="dxa"/>
            <w:vAlign w:val="bottom"/>
          </w:tcPr>
          <w:p>
            <w:pPr>
              <w:spacing w:after="0"/>
              <w:rPr>
                <w:sz w:val="1"/>
                <w:szCs w:val="1"/>
                <w:color w:val="auto"/>
              </w:rPr>
            </w:pPr>
          </w:p>
        </w:tc>
      </w:tr>
      <w:tr>
        <w:trPr>
          <w:trHeight w:val="205"/>
        </w:trPr>
        <w:tc>
          <w:tcPr>
            <w:tcW w:w="3880" w:type="dxa"/>
            <w:vAlign w:val="bottom"/>
            <w:tcBorders>
              <w:bottom w:val="single" w:sz="8" w:color="F0533D"/>
            </w:tcBorders>
          </w:tcPr>
          <w:p>
            <w:pPr>
              <w:ind w:left="140"/>
              <w:spacing w:after="0"/>
              <w:rPr>
                <w:sz w:val="20"/>
                <w:szCs w:val="20"/>
                <w:color w:val="auto"/>
              </w:rPr>
            </w:pPr>
            <w:r>
              <w:rPr>
                <w:rFonts w:ascii="Arial" w:cs="Arial" w:eastAsia="Arial" w:hAnsi="Arial"/>
                <w:sz w:val="14"/>
                <w:szCs w:val="14"/>
                <w:b w:val="1"/>
                <w:bCs w:val="1"/>
                <w:color w:val="F0533D"/>
              </w:rPr>
              <w:t>Name and Address</w:t>
            </w:r>
          </w:p>
        </w:tc>
        <w:tc>
          <w:tcPr>
            <w:tcW w:w="3000" w:type="dxa"/>
            <w:vAlign w:val="bottom"/>
            <w:tcBorders>
              <w:bottom w:val="single" w:sz="8" w:color="F0533D"/>
            </w:tcBorders>
          </w:tcPr>
          <w:p>
            <w:pPr>
              <w:jc w:val="right"/>
              <w:ind w:right="359"/>
              <w:spacing w:after="0"/>
              <w:rPr>
                <w:sz w:val="20"/>
                <w:szCs w:val="20"/>
                <w:color w:val="auto"/>
              </w:rPr>
            </w:pPr>
            <w:r>
              <w:rPr>
                <w:rFonts w:ascii="Arial" w:cs="Arial" w:eastAsia="Arial" w:hAnsi="Arial"/>
                <w:sz w:val="14"/>
                <w:szCs w:val="14"/>
                <w:b w:val="1"/>
                <w:bCs w:val="1"/>
                <w:color w:val="F0533D"/>
              </w:rPr>
              <w:t>Beneficial Ownership</w:t>
            </w:r>
          </w:p>
        </w:tc>
        <w:tc>
          <w:tcPr>
            <w:tcW w:w="1980" w:type="dxa"/>
            <w:vAlign w:val="bottom"/>
            <w:tcBorders>
              <w:bottom w:val="single" w:sz="8" w:color="F0533D"/>
            </w:tcBorders>
          </w:tcPr>
          <w:p>
            <w:pPr>
              <w:jc w:val="right"/>
              <w:ind w:right="239"/>
              <w:spacing w:after="0"/>
              <w:rPr>
                <w:sz w:val="20"/>
                <w:szCs w:val="20"/>
                <w:color w:val="auto"/>
              </w:rPr>
            </w:pPr>
            <w:r>
              <w:rPr>
                <w:rFonts w:ascii="Arial" w:cs="Arial" w:eastAsia="Arial" w:hAnsi="Arial"/>
                <w:sz w:val="14"/>
                <w:szCs w:val="14"/>
                <w:b w:val="1"/>
                <w:bCs w:val="1"/>
                <w:color w:val="F0533D"/>
              </w:rPr>
              <w:t>Common Stock</w:t>
            </w:r>
          </w:p>
        </w:tc>
        <w:tc>
          <w:tcPr>
            <w:tcW w:w="0" w:type="dxa"/>
            <w:vAlign w:val="bottom"/>
          </w:tcPr>
          <w:p>
            <w:pPr>
              <w:spacing w:after="0"/>
              <w:rPr>
                <w:sz w:val="1"/>
                <w:szCs w:val="1"/>
                <w:color w:val="auto"/>
              </w:rPr>
            </w:pPr>
          </w:p>
        </w:tc>
      </w:tr>
      <w:tr>
        <w:trPr>
          <w:trHeight w:val="194"/>
        </w:trPr>
        <w:tc>
          <w:tcPr>
            <w:tcW w:w="3880" w:type="dxa"/>
            <w:vAlign w:val="bottom"/>
          </w:tcPr>
          <w:p>
            <w:pPr>
              <w:ind w:left="140"/>
              <w:spacing w:after="0" w:line="194" w:lineRule="exact"/>
              <w:rPr>
                <w:sz w:val="20"/>
                <w:szCs w:val="20"/>
                <w:color w:val="auto"/>
              </w:rPr>
            </w:pPr>
            <w:r>
              <w:rPr>
                <w:rFonts w:ascii="Arial" w:cs="Arial" w:eastAsia="Arial" w:hAnsi="Arial"/>
                <w:sz w:val="17"/>
                <w:szCs w:val="17"/>
                <w:color w:val="auto"/>
              </w:rPr>
              <w:t>BlackRock, Inc.</w:t>
            </w:r>
          </w:p>
        </w:tc>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320"/>
              <w:spacing w:after="0" w:line="189" w:lineRule="exact"/>
              <w:rPr>
                <w:sz w:val="20"/>
                <w:szCs w:val="20"/>
                <w:color w:val="auto"/>
              </w:rPr>
            </w:pPr>
            <w:r>
              <w:rPr>
                <w:rFonts w:ascii="Arial" w:cs="Arial" w:eastAsia="Arial" w:hAnsi="Arial"/>
                <w:sz w:val="17"/>
                <w:szCs w:val="17"/>
                <w:color w:val="auto"/>
              </w:rPr>
              <w:t>55 East 52nd Street</w:t>
            </w:r>
          </w:p>
        </w:tc>
        <w:tc>
          <w:tcPr>
            <w:tcW w:w="3000" w:type="dxa"/>
            <w:vAlign w:val="bottom"/>
            <w:vMerge w:val="restart"/>
          </w:tcPr>
          <w:p>
            <w:pPr>
              <w:ind w:left="1320"/>
              <w:spacing w:after="0"/>
              <w:rPr>
                <w:sz w:val="20"/>
                <w:szCs w:val="20"/>
                <w:color w:val="auto"/>
              </w:rPr>
            </w:pPr>
            <w:r>
              <w:rPr>
                <w:rFonts w:ascii="Arial" w:cs="Arial" w:eastAsia="Arial" w:hAnsi="Arial"/>
                <w:sz w:val="17"/>
                <w:szCs w:val="17"/>
                <w:color w:val="auto"/>
              </w:rPr>
              <w:t>21,704,871</w:t>
            </w:r>
            <w:r>
              <w:rPr>
                <w:rFonts w:ascii="Arial" w:cs="Arial" w:eastAsia="Arial" w:hAnsi="Arial"/>
                <w:sz w:val="28"/>
                <w:szCs w:val="28"/>
                <w:color w:val="auto"/>
                <w:vertAlign w:val="superscript"/>
              </w:rPr>
              <w:t>(1)</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939598"/>
            </w:tcBorders>
          </w:tcPr>
          <w:p>
            <w:pPr>
              <w:ind w:left="320"/>
              <w:spacing w:after="0"/>
              <w:rPr>
                <w:sz w:val="20"/>
                <w:szCs w:val="20"/>
                <w:color w:val="auto"/>
              </w:rPr>
            </w:pPr>
            <w:r>
              <w:rPr>
                <w:rFonts w:ascii="Arial" w:cs="Arial" w:eastAsia="Arial" w:hAnsi="Arial"/>
                <w:sz w:val="17"/>
                <w:szCs w:val="17"/>
                <w:color w:val="auto"/>
              </w:rPr>
              <w:t>New York, New York 10055</w:t>
            </w:r>
          </w:p>
        </w:tc>
        <w:tc>
          <w:tcPr>
            <w:tcW w:w="3000" w:type="dxa"/>
            <w:vAlign w:val="bottom"/>
            <w:tcBorders>
              <w:bottom w:val="single" w:sz="8" w:color="939598"/>
            </w:tcBorders>
            <w:vMerge w:val="continue"/>
          </w:tcPr>
          <w:p>
            <w:pPr>
              <w:spacing w:after="0"/>
              <w:rPr>
                <w:sz w:val="20"/>
                <w:szCs w:val="20"/>
                <w:color w:val="auto"/>
              </w:rPr>
            </w:pPr>
          </w:p>
        </w:tc>
        <w:tc>
          <w:tcPr>
            <w:tcW w:w="1980" w:type="dxa"/>
            <w:vAlign w:val="bottom"/>
            <w:tcBorders>
              <w:bottom w:val="single" w:sz="8" w:color="939598"/>
            </w:tcBorders>
          </w:tcPr>
          <w:p>
            <w:pPr>
              <w:jc w:val="right"/>
              <w:ind w:right="499"/>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187"/>
        </w:trPr>
        <w:tc>
          <w:tcPr>
            <w:tcW w:w="3880" w:type="dxa"/>
            <w:vAlign w:val="bottom"/>
          </w:tcPr>
          <w:p>
            <w:pPr>
              <w:ind w:left="140"/>
              <w:spacing w:after="0" w:line="187" w:lineRule="exact"/>
              <w:rPr>
                <w:sz w:val="20"/>
                <w:szCs w:val="20"/>
                <w:color w:val="auto"/>
              </w:rPr>
            </w:pPr>
            <w:r>
              <w:rPr>
                <w:rFonts w:ascii="Arial" w:cs="Arial" w:eastAsia="Arial" w:hAnsi="Arial"/>
                <w:sz w:val="17"/>
                <w:szCs w:val="17"/>
                <w:color w:val="auto"/>
              </w:rPr>
              <w:t>Vanguard Portfolio Management</w:t>
            </w:r>
          </w:p>
        </w:tc>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320"/>
              <w:spacing w:after="0" w:line="189" w:lineRule="exact"/>
              <w:rPr>
                <w:sz w:val="20"/>
                <w:szCs w:val="20"/>
                <w:color w:val="auto"/>
              </w:rPr>
            </w:pPr>
            <w:r>
              <w:rPr>
                <w:rFonts w:ascii="Arial" w:cs="Arial" w:eastAsia="Arial" w:hAnsi="Arial"/>
                <w:sz w:val="17"/>
                <w:szCs w:val="17"/>
                <w:color w:val="auto"/>
              </w:rPr>
              <w:t>100 Vanguard Boulevard</w:t>
            </w:r>
          </w:p>
        </w:tc>
        <w:tc>
          <w:tcPr>
            <w:tcW w:w="3000" w:type="dxa"/>
            <w:vAlign w:val="bottom"/>
            <w:vMerge w:val="restart"/>
          </w:tcPr>
          <w:p>
            <w:pPr>
              <w:ind w:left="1320"/>
              <w:spacing w:after="0"/>
              <w:rPr>
                <w:sz w:val="20"/>
                <w:szCs w:val="20"/>
                <w:color w:val="auto"/>
              </w:rPr>
            </w:pPr>
            <w:r>
              <w:rPr>
                <w:rFonts w:ascii="Arial" w:cs="Arial" w:eastAsia="Arial" w:hAnsi="Arial"/>
                <w:sz w:val="17"/>
                <w:szCs w:val="17"/>
                <w:color w:val="auto"/>
              </w:rPr>
              <w:t>17,178,382</w:t>
            </w:r>
            <w:r>
              <w:rPr>
                <w:rFonts w:ascii="Arial" w:cs="Arial" w:eastAsia="Arial" w:hAnsi="Arial"/>
                <w:sz w:val="28"/>
                <w:szCs w:val="28"/>
                <w:color w:val="auto"/>
                <w:vertAlign w:val="superscript"/>
              </w:rPr>
              <w:t>(2)</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939598"/>
            </w:tcBorders>
          </w:tcPr>
          <w:p>
            <w:pPr>
              <w:ind w:left="320"/>
              <w:spacing w:after="0"/>
              <w:rPr>
                <w:sz w:val="20"/>
                <w:szCs w:val="20"/>
                <w:color w:val="auto"/>
              </w:rPr>
            </w:pPr>
            <w:r>
              <w:rPr>
                <w:rFonts w:ascii="Arial" w:cs="Arial" w:eastAsia="Arial" w:hAnsi="Arial"/>
                <w:sz w:val="17"/>
                <w:szCs w:val="17"/>
                <w:color w:val="auto"/>
              </w:rPr>
              <w:t>Malvern, Pennsylvania 19355</w:t>
            </w:r>
          </w:p>
        </w:tc>
        <w:tc>
          <w:tcPr>
            <w:tcW w:w="3000" w:type="dxa"/>
            <w:vAlign w:val="bottom"/>
            <w:tcBorders>
              <w:bottom w:val="single" w:sz="8" w:color="939598"/>
            </w:tcBorders>
            <w:vMerge w:val="continue"/>
          </w:tcPr>
          <w:p>
            <w:pPr>
              <w:spacing w:after="0"/>
              <w:rPr>
                <w:sz w:val="20"/>
                <w:szCs w:val="20"/>
                <w:color w:val="auto"/>
              </w:rPr>
            </w:pPr>
          </w:p>
        </w:tc>
        <w:tc>
          <w:tcPr>
            <w:tcW w:w="1980" w:type="dxa"/>
            <w:vAlign w:val="bottom"/>
            <w:tcBorders>
              <w:bottom w:val="single" w:sz="8" w:color="939598"/>
            </w:tcBorders>
          </w:tcPr>
          <w:p>
            <w:pPr>
              <w:jc w:val="right"/>
              <w:ind w:right="499"/>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187"/>
        </w:trPr>
        <w:tc>
          <w:tcPr>
            <w:tcW w:w="3880" w:type="dxa"/>
            <w:vAlign w:val="bottom"/>
          </w:tcPr>
          <w:p>
            <w:pPr>
              <w:ind w:left="140"/>
              <w:spacing w:after="0" w:line="187" w:lineRule="exact"/>
              <w:rPr>
                <w:sz w:val="20"/>
                <w:szCs w:val="20"/>
                <w:color w:val="auto"/>
              </w:rPr>
            </w:pPr>
            <w:r>
              <w:rPr>
                <w:rFonts w:ascii="Arial" w:cs="Arial" w:eastAsia="Arial" w:hAnsi="Arial"/>
                <w:sz w:val="17"/>
                <w:szCs w:val="17"/>
                <w:color w:val="auto"/>
              </w:rPr>
              <w:t>AQR Capital Management LLC</w:t>
            </w:r>
          </w:p>
        </w:tc>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320"/>
              <w:spacing w:after="0" w:line="189" w:lineRule="exact"/>
              <w:rPr>
                <w:sz w:val="20"/>
                <w:szCs w:val="20"/>
                <w:color w:val="auto"/>
              </w:rPr>
            </w:pPr>
            <w:r>
              <w:rPr>
                <w:rFonts w:ascii="Arial" w:cs="Arial" w:eastAsia="Arial" w:hAnsi="Arial"/>
                <w:sz w:val="17"/>
                <w:szCs w:val="17"/>
                <w:color w:val="auto"/>
              </w:rPr>
              <w:t>One Greenwich Plaza</w:t>
            </w:r>
          </w:p>
        </w:tc>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320"/>
              <w:spacing w:after="0" w:line="189" w:lineRule="exact"/>
              <w:rPr>
                <w:sz w:val="20"/>
                <w:szCs w:val="20"/>
                <w:color w:val="auto"/>
              </w:rPr>
            </w:pPr>
            <w:r>
              <w:rPr>
                <w:rFonts w:ascii="Arial" w:cs="Arial" w:eastAsia="Arial" w:hAnsi="Arial"/>
                <w:sz w:val="17"/>
                <w:szCs w:val="17"/>
                <w:color w:val="auto"/>
              </w:rPr>
              <w:t>Suite 150</w:t>
            </w:r>
          </w:p>
        </w:tc>
        <w:tc>
          <w:tcPr>
            <w:tcW w:w="3000" w:type="dxa"/>
            <w:vAlign w:val="bottom"/>
            <w:vMerge w:val="restart"/>
          </w:tcPr>
          <w:p>
            <w:pPr>
              <w:ind w:left="1320"/>
              <w:spacing w:after="0"/>
              <w:rPr>
                <w:sz w:val="20"/>
                <w:szCs w:val="20"/>
                <w:color w:val="auto"/>
              </w:rPr>
            </w:pPr>
            <w:r>
              <w:rPr>
                <w:rFonts w:ascii="Arial" w:cs="Arial" w:eastAsia="Arial" w:hAnsi="Arial"/>
                <w:sz w:val="17"/>
                <w:szCs w:val="17"/>
                <w:color w:val="auto"/>
              </w:rPr>
              <w:t>11,795,558</w:t>
            </w:r>
            <w:r>
              <w:rPr>
                <w:rFonts w:ascii="Arial" w:cs="Arial" w:eastAsia="Arial" w:hAnsi="Arial"/>
                <w:sz w:val="28"/>
                <w:szCs w:val="28"/>
                <w:color w:val="auto"/>
                <w:vertAlign w:val="superscript"/>
              </w:rPr>
              <w:t>(3)</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880" w:type="dxa"/>
            <w:vAlign w:val="bottom"/>
            <w:tcBorders>
              <w:bottom w:val="single" w:sz="8" w:color="939598"/>
            </w:tcBorders>
          </w:tcPr>
          <w:p>
            <w:pPr>
              <w:ind w:left="320"/>
              <w:spacing w:after="0"/>
              <w:rPr>
                <w:sz w:val="20"/>
                <w:szCs w:val="20"/>
                <w:color w:val="auto"/>
              </w:rPr>
            </w:pPr>
            <w:r>
              <w:rPr>
                <w:rFonts w:ascii="Arial" w:cs="Arial" w:eastAsia="Arial" w:hAnsi="Arial"/>
                <w:sz w:val="17"/>
                <w:szCs w:val="17"/>
                <w:color w:val="auto"/>
              </w:rPr>
              <w:t>Greenwich, Connecticut 06830</w:t>
            </w:r>
          </w:p>
        </w:tc>
        <w:tc>
          <w:tcPr>
            <w:tcW w:w="3000" w:type="dxa"/>
            <w:vAlign w:val="bottom"/>
            <w:tcBorders>
              <w:bottom w:val="single" w:sz="8" w:color="939598"/>
            </w:tcBorders>
            <w:vMerge w:val="continue"/>
          </w:tcPr>
          <w:p>
            <w:pPr>
              <w:spacing w:after="0"/>
              <w:rPr>
                <w:sz w:val="20"/>
                <w:szCs w:val="20"/>
                <w:color w:val="auto"/>
              </w:rPr>
            </w:pPr>
          </w:p>
        </w:tc>
        <w:tc>
          <w:tcPr>
            <w:tcW w:w="1980" w:type="dxa"/>
            <w:vAlign w:val="bottom"/>
            <w:tcBorders>
              <w:bottom w:val="single" w:sz="8" w:color="939598"/>
            </w:tcBorders>
          </w:tcPr>
          <w:p>
            <w:pPr>
              <w:jc w:val="right"/>
              <w:ind w:right="499"/>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87"/>
        </w:trPr>
        <w:tc>
          <w:tcPr>
            <w:tcW w:w="3880" w:type="dxa"/>
            <w:vAlign w:val="bottom"/>
          </w:tcPr>
          <w:p>
            <w:pPr>
              <w:ind w:left="140"/>
              <w:spacing w:after="0" w:line="187" w:lineRule="exact"/>
              <w:rPr>
                <w:sz w:val="20"/>
                <w:szCs w:val="20"/>
                <w:color w:val="auto"/>
              </w:rPr>
            </w:pPr>
            <w:r>
              <w:rPr>
                <w:rFonts w:ascii="Arial" w:cs="Arial" w:eastAsia="Arial" w:hAnsi="Arial"/>
                <w:sz w:val="17"/>
                <w:szCs w:val="17"/>
                <w:color w:val="auto"/>
              </w:rPr>
              <w:t>The Vanguard Capital Management</w:t>
            </w:r>
          </w:p>
        </w:tc>
        <w:tc>
          <w:tcPr>
            <w:tcW w:w="3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80" w:type="dxa"/>
            <w:vAlign w:val="bottom"/>
          </w:tcPr>
          <w:p>
            <w:pPr>
              <w:ind w:left="320"/>
              <w:spacing w:after="0" w:line="189" w:lineRule="exact"/>
              <w:rPr>
                <w:sz w:val="20"/>
                <w:szCs w:val="20"/>
                <w:color w:val="auto"/>
              </w:rPr>
            </w:pPr>
            <w:r>
              <w:rPr>
                <w:rFonts w:ascii="Arial" w:cs="Arial" w:eastAsia="Arial" w:hAnsi="Arial"/>
                <w:sz w:val="17"/>
                <w:szCs w:val="17"/>
                <w:color w:val="auto"/>
              </w:rPr>
              <w:t>100 Vanguard Boulevard</w:t>
            </w:r>
          </w:p>
        </w:tc>
        <w:tc>
          <w:tcPr>
            <w:tcW w:w="3000" w:type="dxa"/>
            <w:vAlign w:val="bottom"/>
            <w:vMerge w:val="restart"/>
          </w:tcPr>
          <w:p>
            <w:pPr>
              <w:ind w:left="1320"/>
              <w:spacing w:after="0"/>
              <w:rPr>
                <w:sz w:val="20"/>
                <w:szCs w:val="20"/>
                <w:color w:val="auto"/>
              </w:rPr>
            </w:pPr>
            <w:r>
              <w:rPr>
                <w:rFonts w:ascii="Arial" w:cs="Arial" w:eastAsia="Arial" w:hAnsi="Arial"/>
                <w:sz w:val="17"/>
                <w:szCs w:val="17"/>
                <w:color w:val="auto"/>
              </w:rPr>
              <w:t>11,783,025</w:t>
            </w:r>
            <w:r>
              <w:rPr>
                <w:rFonts w:ascii="Arial" w:cs="Arial" w:eastAsia="Arial" w:hAnsi="Arial"/>
                <w:sz w:val="28"/>
                <w:szCs w:val="28"/>
                <w:color w:val="auto"/>
                <w:vertAlign w:val="superscript"/>
              </w:rPr>
              <w:t>(4)</w:t>
            </w: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880" w:type="dxa"/>
            <w:vAlign w:val="bottom"/>
            <w:tcBorders>
              <w:bottom w:val="single" w:sz="8" w:color="939598"/>
            </w:tcBorders>
          </w:tcPr>
          <w:p>
            <w:pPr>
              <w:ind w:left="320"/>
              <w:spacing w:after="0"/>
              <w:rPr>
                <w:sz w:val="20"/>
                <w:szCs w:val="20"/>
                <w:color w:val="auto"/>
              </w:rPr>
            </w:pPr>
            <w:r>
              <w:rPr>
                <w:rFonts w:ascii="Arial" w:cs="Arial" w:eastAsia="Arial" w:hAnsi="Arial"/>
                <w:sz w:val="17"/>
                <w:szCs w:val="17"/>
                <w:color w:val="auto"/>
              </w:rPr>
              <w:t>Malvern, Pennsylvania 19355</w:t>
            </w:r>
          </w:p>
        </w:tc>
        <w:tc>
          <w:tcPr>
            <w:tcW w:w="3000" w:type="dxa"/>
            <w:vAlign w:val="bottom"/>
            <w:tcBorders>
              <w:bottom w:val="single" w:sz="8" w:color="939598"/>
            </w:tcBorders>
            <w:vMerge w:val="continue"/>
          </w:tcPr>
          <w:p>
            <w:pPr>
              <w:spacing w:after="0"/>
              <w:rPr>
                <w:sz w:val="18"/>
                <w:szCs w:val="18"/>
                <w:color w:val="auto"/>
              </w:rPr>
            </w:pPr>
          </w:p>
        </w:tc>
        <w:tc>
          <w:tcPr>
            <w:tcW w:w="1980" w:type="dxa"/>
            <w:vAlign w:val="bottom"/>
            <w:tcBorders>
              <w:bottom w:val="single" w:sz="8" w:color="939598"/>
            </w:tcBorders>
          </w:tcPr>
          <w:p>
            <w:pPr>
              <w:jc w:val="right"/>
              <w:ind w:right="499"/>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540" w:right="199" w:hanging="356"/>
        <w:spacing w:after="0" w:line="210" w:lineRule="auto"/>
        <w:tabs>
          <w:tab w:leader="none" w:pos="540" w:val="left"/>
        </w:tabs>
        <w:numPr>
          <w:ilvl w:val="0"/>
          <w:numId w:val="121"/>
        </w:numPr>
        <w:rPr>
          <w:rFonts w:ascii="Arial" w:cs="Arial" w:eastAsia="Arial" w:hAnsi="Arial"/>
          <w:sz w:val="23"/>
          <w:szCs w:val="23"/>
          <w:color w:val="auto"/>
          <w:vertAlign w:val="superscript"/>
        </w:rPr>
      </w:pPr>
      <w:r>
        <w:rPr>
          <w:rFonts w:ascii="Arial" w:cs="Arial" w:eastAsia="Arial" w:hAnsi="Arial"/>
          <w:sz w:val="15"/>
          <w:szCs w:val="15"/>
          <w:color w:val="auto"/>
        </w:rPr>
        <w:t>Based solely on the Schedule 13F filed by BlackRock, Inc. (“BlackRock”) with the SEC on February 12, 2026, regarding holdings by BlackRock and certain related entities as of December 31, 2025, BlackRock had (i) sole voting power with respect to 20,792,936 shares of common stock, (ii) sole dispositive power with respect to 911,935 shares of common stock and (iii) no shared voting or shared dispositive power.</w:t>
      </w:r>
    </w:p>
    <w:p>
      <w:pPr>
        <w:spacing w:after="0" w:line="71" w:lineRule="exact"/>
        <w:rPr>
          <w:rFonts w:ascii="Arial" w:cs="Arial" w:eastAsia="Arial" w:hAnsi="Arial"/>
          <w:sz w:val="23"/>
          <w:szCs w:val="23"/>
          <w:color w:val="auto"/>
          <w:vertAlign w:val="superscript"/>
        </w:rPr>
      </w:pPr>
    </w:p>
    <w:p>
      <w:pPr>
        <w:ind w:left="540" w:right="139" w:hanging="356"/>
        <w:spacing w:after="0" w:line="210" w:lineRule="auto"/>
        <w:tabs>
          <w:tab w:leader="none" w:pos="540" w:val="left"/>
        </w:tabs>
        <w:numPr>
          <w:ilvl w:val="0"/>
          <w:numId w:val="121"/>
        </w:numPr>
        <w:rPr>
          <w:rFonts w:ascii="Arial" w:cs="Arial" w:eastAsia="Arial" w:hAnsi="Arial"/>
          <w:sz w:val="23"/>
          <w:szCs w:val="23"/>
          <w:color w:val="auto"/>
          <w:vertAlign w:val="superscript"/>
        </w:rPr>
      </w:pPr>
      <w:r>
        <w:rPr>
          <w:rFonts w:ascii="Arial" w:cs="Arial" w:eastAsia="Arial" w:hAnsi="Arial"/>
          <w:sz w:val="15"/>
          <w:szCs w:val="15"/>
          <w:color w:val="auto"/>
        </w:rPr>
        <w:t>Based solely on the Schedule 13G filed by Vanguard Portfolio Management LLC (“Vanguard Portfolio”) with the SEC on April 29, 2026, regarding its holdings as of March 31, 2026, Vanguard Portfolio had (i) sole voting power with respect to 229,287 shares of common stock, (ii) sole dispositive power with respect to 17,178,382 shares of common stock and (iii) no shared voting or shared dispositive power.</w:t>
      </w:r>
    </w:p>
    <w:p>
      <w:pPr>
        <w:spacing w:after="0" w:line="71" w:lineRule="exact"/>
        <w:rPr>
          <w:rFonts w:ascii="Arial" w:cs="Arial" w:eastAsia="Arial" w:hAnsi="Arial"/>
          <w:sz w:val="23"/>
          <w:szCs w:val="23"/>
          <w:color w:val="auto"/>
          <w:vertAlign w:val="superscript"/>
        </w:rPr>
      </w:pPr>
    </w:p>
    <w:p>
      <w:pPr>
        <w:ind w:left="540" w:right="179" w:hanging="356"/>
        <w:spacing w:after="0" w:line="210" w:lineRule="auto"/>
        <w:tabs>
          <w:tab w:leader="none" w:pos="540" w:val="left"/>
        </w:tabs>
        <w:numPr>
          <w:ilvl w:val="0"/>
          <w:numId w:val="121"/>
        </w:numPr>
        <w:rPr>
          <w:rFonts w:ascii="Arial" w:cs="Arial" w:eastAsia="Arial" w:hAnsi="Arial"/>
          <w:sz w:val="23"/>
          <w:szCs w:val="23"/>
          <w:color w:val="auto"/>
          <w:vertAlign w:val="superscript"/>
        </w:rPr>
      </w:pPr>
      <w:r>
        <w:rPr>
          <w:rFonts w:ascii="Arial" w:cs="Arial" w:eastAsia="Arial" w:hAnsi="Arial"/>
          <w:sz w:val="15"/>
          <w:szCs w:val="15"/>
          <w:color w:val="auto"/>
        </w:rPr>
        <w:t>Based solely on the Schedule 13G filed by AQR Capital Management, LLC (“AQR Capital”) with the SEC on May 14, 2026, regarding its holdings as of March 31, 2026, AQR Capital had (i) shared voting power with respect to 11,555,556 shares of common stock, (ii) shared dispositive power with respect to 11,795,558 shares of common stock and (iii) no sole voting or sole dispositive power.</w:t>
      </w:r>
    </w:p>
    <w:p>
      <w:pPr>
        <w:spacing w:after="0" w:line="71" w:lineRule="exact"/>
        <w:rPr>
          <w:rFonts w:ascii="Arial" w:cs="Arial" w:eastAsia="Arial" w:hAnsi="Arial"/>
          <w:sz w:val="23"/>
          <w:szCs w:val="23"/>
          <w:color w:val="auto"/>
          <w:vertAlign w:val="superscript"/>
        </w:rPr>
      </w:pPr>
    </w:p>
    <w:p>
      <w:pPr>
        <w:jc w:val="both"/>
        <w:ind w:left="540" w:right="479" w:hanging="356"/>
        <w:spacing w:after="0" w:line="210" w:lineRule="auto"/>
        <w:tabs>
          <w:tab w:leader="none" w:pos="540" w:val="left"/>
        </w:tabs>
        <w:numPr>
          <w:ilvl w:val="0"/>
          <w:numId w:val="121"/>
        </w:numPr>
        <w:rPr>
          <w:rFonts w:ascii="Arial" w:cs="Arial" w:eastAsia="Arial" w:hAnsi="Arial"/>
          <w:sz w:val="23"/>
          <w:szCs w:val="23"/>
          <w:color w:val="auto"/>
          <w:vertAlign w:val="superscript"/>
        </w:rPr>
      </w:pPr>
      <w:r>
        <w:rPr>
          <w:rFonts w:ascii="Arial" w:cs="Arial" w:eastAsia="Arial" w:hAnsi="Arial"/>
          <w:sz w:val="15"/>
          <w:szCs w:val="15"/>
          <w:color w:val="auto"/>
        </w:rPr>
        <w:t>Based solely on the Schedule 13G filed by Vanguard Capital Management LLC (“Vanguard Capital”) with the SEC on April 30, 2026, regarding its holdings as of March 31, 2026, Vanguard Capital had (i) sole voting power with respect to 1,737,969 shares of common stock, (ii) sole dispositive power with respect to 11,783,025 shares of common stock and (iii) no shared voting or shared dispositive power.</w:t>
      </w:r>
    </w:p>
    <w:p>
      <w:pPr>
        <w:spacing w:after="0" w:line="280"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Delinquent Section 16(a) Reports</w:t>
      </w:r>
    </w:p>
    <w:p>
      <w:pPr>
        <w:spacing w:after="0" w:line="173" w:lineRule="exact"/>
        <w:rPr>
          <w:sz w:val="20"/>
          <w:szCs w:val="20"/>
          <w:color w:val="auto"/>
        </w:rPr>
      </w:pPr>
    </w:p>
    <w:p>
      <w:pPr>
        <w:ind w:left="80" w:right="419"/>
        <w:spacing w:after="0" w:line="239" w:lineRule="auto"/>
        <w:rPr>
          <w:sz w:val="20"/>
          <w:szCs w:val="20"/>
          <w:color w:val="auto"/>
        </w:rPr>
      </w:pPr>
      <w:r>
        <w:rPr>
          <w:rFonts w:ascii="Arial" w:cs="Arial" w:eastAsia="Arial" w:hAnsi="Arial"/>
          <w:sz w:val="17"/>
          <w:szCs w:val="17"/>
          <w:color w:val="auto"/>
        </w:rPr>
        <w:t>Section 16(a) of the Exchange Act requires the Company’s officers, directors and beneficial owners of more than ten percent of our common stock to timely file Forms 3, 4 and 5 regarding ownership of the Company’s securities with the SEC. To our knowledge, based solely on the Company’s review of SEC filings and representations from certain reporting persons, the Company believes that during fiscal year 2026 all applicable Section 16(a) reports were timely filed, except for the initial Form 3 filed for each of (i) Mr. Chugh, (ii) Mr. Ringes and (iii) Ms. Bhavna Doegar, due to delays in receiving their respective EDGAR filing codes from the SEC.</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9" w:name="page100"/>
    <w:bookmarkEnd w:id="9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Frequently Asked Questions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121285</wp:posOffset>
            </wp:positionV>
            <wp:extent cx="342900" cy="3346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42900" cy="33464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207010</wp:posOffset>
            </wp:positionV>
            <wp:extent cx="317500" cy="2489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17500" cy="24892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138430</wp:posOffset>
            </wp:positionV>
            <wp:extent cx="342900" cy="31686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42900" cy="31686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380" w:type="dxa"/>
            <w:vAlign w:val="bottom"/>
          </w:tcPr>
          <w:p>
            <w:pPr>
              <w:ind w:left="740"/>
              <w:spacing w:after="0"/>
              <w:rPr>
                <w:sz w:val="20"/>
                <w:szCs w:val="20"/>
                <w:color w:val="auto"/>
              </w:rPr>
            </w:pPr>
            <w:r>
              <w:rPr>
                <w:rFonts w:ascii="Arial" w:cs="Arial" w:eastAsia="Arial" w:hAnsi="Arial"/>
                <w:sz w:val="14"/>
                <w:szCs w:val="14"/>
                <w:b w:val="1"/>
                <w:bCs w:val="1"/>
                <w:color w:val="F0533D"/>
              </w:rPr>
              <w:t>Date and Time</w:t>
            </w:r>
          </w:p>
        </w:tc>
        <w:tc>
          <w:tcPr>
            <w:tcW w:w="200" w:type="dxa"/>
            <w:vAlign w:val="bottom"/>
          </w:tcPr>
          <w:p>
            <w:pPr>
              <w:spacing w:after="0"/>
              <w:rPr>
                <w:sz w:val="17"/>
                <w:szCs w:val="17"/>
                <w:color w:val="auto"/>
              </w:rPr>
            </w:pPr>
          </w:p>
        </w:tc>
        <w:tc>
          <w:tcPr>
            <w:tcW w:w="4320" w:type="dxa"/>
            <w:vAlign w:val="bottom"/>
          </w:tcPr>
          <w:p>
            <w:pPr>
              <w:ind w:left="700"/>
              <w:spacing w:after="0"/>
              <w:rPr>
                <w:sz w:val="20"/>
                <w:szCs w:val="20"/>
                <w:color w:val="auto"/>
              </w:rPr>
            </w:pPr>
            <w:r>
              <w:rPr>
                <w:rFonts w:ascii="Arial" w:cs="Arial" w:eastAsia="Arial" w:hAnsi="Arial"/>
                <w:sz w:val="14"/>
                <w:szCs w:val="14"/>
                <w:b w:val="1"/>
                <w:bCs w:val="1"/>
                <w:color w:val="F0533D"/>
              </w:rPr>
              <w:t>Access</w:t>
            </w:r>
          </w:p>
        </w:tc>
        <w:tc>
          <w:tcPr>
            <w:tcW w:w="220" w:type="dxa"/>
            <w:vAlign w:val="bottom"/>
          </w:tcPr>
          <w:p>
            <w:pPr>
              <w:spacing w:after="0"/>
              <w:rPr>
                <w:sz w:val="17"/>
                <w:szCs w:val="17"/>
                <w:color w:val="auto"/>
              </w:rPr>
            </w:pPr>
          </w:p>
        </w:tc>
        <w:tc>
          <w:tcPr>
            <w:tcW w:w="1740" w:type="dxa"/>
            <w:vAlign w:val="bottom"/>
          </w:tcPr>
          <w:p>
            <w:pPr>
              <w:ind w:left="740"/>
              <w:spacing w:after="0"/>
              <w:rPr>
                <w:sz w:val="20"/>
                <w:szCs w:val="20"/>
                <w:color w:val="auto"/>
              </w:rPr>
            </w:pPr>
            <w:r>
              <w:rPr>
                <w:rFonts w:ascii="Arial" w:cs="Arial" w:eastAsia="Arial" w:hAnsi="Arial"/>
                <w:sz w:val="14"/>
                <w:szCs w:val="14"/>
                <w:b w:val="1"/>
                <w:bCs w:val="1"/>
                <w:color w:val="F0533D"/>
              </w:rPr>
              <w:t>Record Date</w:t>
            </w:r>
          </w:p>
        </w:tc>
      </w:tr>
      <w:tr>
        <w:trPr>
          <w:trHeight w:val="137"/>
        </w:trPr>
        <w:tc>
          <w:tcPr>
            <w:tcW w:w="2380" w:type="dxa"/>
            <w:vAlign w:val="bottom"/>
            <w:tcBorders>
              <w:bottom w:val="single" w:sz="8" w:color="F0533D"/>
            </w:tcBorders>
          </w:tcPr>
          <w:p>
            <w:pPr>
              <w:spacing w:after="0"/>
              <w:rPr>
                <w:sz w:val="11"/>
                <w:szCs w:val="11"/>
                <w:color w:val="auto"/>
              </w:rPr>
            </w:pPr>
          </w:p>
        </w:tc>
        <w:tc>
          <w:tcPr>
            <w:tcW w:w="200" w:type="dxa"/>
            <w:vAlign w:val="bottom"/>
          </w:tcPr>
          <w:p>
            <w:pPr>
              <w:spacing w:after="0"/>
              <w:rPr>
                <w:sz w:val="11"/>
                <w:szCs w:val="11"/>
                <w:color w:val="auto"/>
              </w:rPr>
            </w:pPr>
          </w:p>
        </w:tc>
        <w:tc>
          <w:tcPr>
            <w:tcW w:w="4320" w:type="dxa"/>
            <w:vAlign w:val="bottom"/>
            <w:tcBorders>
              <w:bottom w:val="single" w:sz="8" w:color="F0533D"/>
            </w:tcBorders>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Borders>
              <w:bottom w:val="single" w:sz="8" w:color="F0533D"/>
            </w:tcBorders>
          </w:tcPr>
          <w:p>
            <w:pPr>
              <w:spacing w:after="0"/>
              <w:rPr>
                <w:sz w:val="11"/>
                <w:szCs w:val="11"/>
                <w:color w:val="auto"/>
              </w:rPr>
            </w:pPr>
          </w:p>
        </w:tc>
      </w:tr>
      <w:tr>
        <w:trPr>
          <w:trHeight w:val="206"/>
        </w:trPr>
        <w:tc>
          <w:tcPr>
            <w:tcW w:w="2380" w:type="dxa"/>
            <w:vAlign w:val="bottom"/>
          </w:tcPr>
          <w:p>
            <w:pPr>
              <w:spacing w:after="0"/>
              <w:rPr>
                <w:sz w:val="20"/>
                <w:szCs w:val="20"/>
                <w:color w:val="auto"/>
              </w:rPr>
            </w:pPr>
            <w:r>
              <w:rPr>
                <w:rFonts w:ascii="Arial" w:cs="Arial" w:eastAsia="Arial" w:hAnsi="Arial"/>
                <w:sz w:val="15"/>
                <w:szCs w:val="15"/>
                <w:color w:val="auto"/>
              </w:rPr>
              <w:t>July 30, 2026</w:t>
            </w:r>
          </w:p>
        </w:tc>
        <w:tc>
          <w:tcPr>
            <w:tcW w:w="2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5"/>
                <w:szCs w:val="15"/>
                <w:b w:val="1"/>
                <w:bCs w:val="1"/>
                <w:i w:val="1"/>
                <w:iCs w:val="1"/>
                <w:color w:val="auto"/>
              </w:rPr>
              <w:t>virtualshareholdermeeting.com/KD2026</w:t>
            </w:r>
          </w:p>
        </w:tc>
        <w:tc>
          <w:tcPr>
            <w:tcW w:w="220" w:type="dxa"/>
            <w:vAlign w:val="bottom"/>
          </w:tcPr>
          <w:p>
            <w:pPr>
              <w:spacing w:after="0"/>
              <w:rPr>
                <w:sz w:val="17"/>
                <w:szCs w:val="17"/>
                <w:color w:val="auto"/>
              </w:rPr>
            </w:pPr>
          </w:p>
        </w:tc>
        <w:tc>
          <w:tcPr>
            <w:tcW w:w="1740" w:type="dxa"/>
            <w:vAlign w:val="bottom"/>
          </w:tcPr>
          <w:p>
            <w:pPr>
              <w:spacing w:after="0"/>
              <w:rPr>
                <w:sz w:val="20"/>
                <w:szCs w:val="20"/>
                <w:color w:val="auto"/>
              </w:rPr>
            </w:pPr>
            <w:r>
              <w:rPr>
                <w:rFonts w:ascii="Arial" w:cs="Arial" w:eastAsia="Arial" w:hAnsi="Arial"/>
                <w:sz w:val="15"/>
                <w:szCs w:val="15"/>
                <w:color w:val="auto"/>
              </w:rPr>
              <w:t>Close of business on</w:t>
            </w:r>
          </w:p>
        </w:tc>
      </w:tr>
      <w:tr>
        <w:trPr>
          <w:trHeight w:val="152"/>
        </w:trPr>
        <w:tc>
          <w:tcPr>
            <w:tcW w:w="2380" w:type="dxa"/>
            <w:vAlign w:val="bottom"/>
          </w:tcPr>
          <w:p>
            <w:pPr>
              <w:spacing w:after="0" w:line="153" w:lineRule="exact"/>
              <w:rPr>
                <w:sz w:val="20"/>
                <w:szCs w:val="20"/>
                <w:color w:val="auto"/>
              </w:rPr>
            </w:pPr>
            <w:r>
              <w:rPr>
                <w:rFonts w:ascii="Arial" w:cs="Arial" w:eastAsia="Arial" w:hAnsi="Arial"/>
                <w:sz w:val="15"/>
                <w:szCs w:val="15"/>
                <w:color w:val="auto"/>
              </w:rPr>
              <w:t>1:00 p.m. Eastern Daylight Time</w:t>
            </w:r>
          </w:p>
        </w:tc>
        <w:tc>
          <w:tcPr>
            <w:tcW w:w="200" w:type="dxa"/>
            <w:vAlign w:val="bottom"/>
          </w:tcPr>
          <w:p>
            <w:pPr>
              <w:spacing w:after="0"/>
              <w:rPr>
                <w:sz w:val="13"/>
                <w:szCs w:val="13"/>
                <w:color w:val="auto"/>
              </w:rPr>
            </w:pPr>
          </w:p>
        </w:tc>
        <w:tc>
          <w:tcPr>
            <w:tcW w:w="4320" w:type="dxa"/>
            <w:vAlign w:val="bottom"/>
          </w:tcPr>
          <w:p>
            <w:pPr>
              <w:spacing w:after="0" w:line="153" w:lineRule="exact"/>
              <w:rPr>
                <w:sz w:val="20"/>
                <w:szCs w:val="20"/>
                <w:color w:val="auto"/>
              </w:rPr>
            </w:pPr>
            <w:r>
              <w:rPr>
                <w:rFonts w:ascii="Arial" w:cs="Arial" w:eastAsia="Arial" w:hAnsi="Arial"/>
                <w:sz w:val="15"/>
                <w:szCs w:val="15"/>
                <w:color w:val="auto"/>
              </w:rPr>
              <w:t>To participate in the virtual-only Annual Meeting, you will need</w:t>
            </w:r>
          </w:p>
        </w:tc>
        <w:tc>
          <w:tcPr>
            <w:tcW w:w="220" w:type="dxa"/>
            <w:vAlign w:val="bottom"/>
          </w:tcPr>
          <w:p>
            <w:pPr>
              <w:spacing w:after="0"/>
              <w:rPr>
                <w:sz w:val="13"/>
                <w:szCs w:val="13"/>
                <w:color w:val="auto"/>
              </w:rPr>
            </w:pPr>
          </w:p>
        </w:tc>
        <w:tc>
          <w:tcPr>
            <w:tcW w:w="1740" w:type="dxa"/>
            <w:vAlign w:val="bottom"/>
          </w:tcPr>
          <w:p>
            <w:pPr>
              <w:spacing w:after="0" w:line="153" w:lineRule="exact"/>
              <w:rPr>
                <w:sz w:val="20"/>
                <w:szCs w:val="20"/>
                <w:color w:val="auto"/>
              </w:rPr>
            </w:pPr>
            <w:r>
              <w:rPr>
                <w:rFonts w:ascii="Arial" w:cs="Arial" w:eastAsia="Arial" w:hAnsi="Arial"/>
                <w:sz w:val="15"/>
                <w:szCs w:val="15"/>
                <w:color w:val="auto"/>
              </w:rPr>
              <w:t>June 3, 2026</w:t>
            </w:r>
          </w:p>
        </w:tc>
      </w:tr>
      <w:tr>
        <w:trPr>
          <w:trHeight w:val="172"/>
        </w:trPr>
        <w:tc>
          <w:tcPr>
            <w:tcW w:w="2380" w:type="dxa"/>
            <w:vAlign w:val="bottom"/>
          </w:tcPr>
          <w:p>
            <w:pPr>
              <w:spacing w:after="0" w:line="172" w:lineRule="exact"/>
              <w:rPr>
                <w:sz w:val="20"/>
                <w:szCs w:val="20"/>
                <w:color w:val="auto"/>
              </w:rPr>
            </w:pPr>
            <w:r>
              <w:rPr>
                <w:rFonts w:ascii="Arial" w:cs="Arial" w:eastAsia="Arial" w:hAnsi="Arial"/>
                <w:sz w:val="17"/>
                <w:szCs w:val="17"/>
                <w:color w:val="auto"/>
              </w:rPr>
              <w:t> </w:t>
            </w:r>
          </w:p>
        </w:tc>
        <w:tc>
          <w:tcPr>
            <w:tcW w:w="20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your individual 16-digit control number included on your Notice</w:t>
            </w: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200"/>
        </w:trPr>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of Internet Availability of Proxy Materials or on your proxy card</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63500</wp:posOffset>
            </wp:positionV>
            <wp:extent cx="213995" cy="342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12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1.  Why am I being provided with these materials?</w:t>
      </w:r>
    </w:p>
    <w:p>
      <w:pPr>
        <w:spacing w:after="0" w:line="156" w:lineRule="exact"/>
        <w:rPr>
          <w:sz w:val="20"/>
          <w:szCs w:val="20"/>
          <w:color w:val="auto"/>
        </w:rPr>
      </w:pPr>
    </w:p>
    <w:p>
      <w:pPr>
        <w:ind w:left="80" w:right="379"/>
        <w:spacing w:after="0" w:line="249" w:lineRule="auto"/>
        <w:rPr>
          <w:sz w:val="20"/>
          <w:szCs w:val="20"/>
          <w:color w:val="auto"/>
        </w:rPr>
      </w:pPr>
      <w:r>
        <w:rPr>
          <w:rFonts w:ascii="Arial" w:cs="Arial" w:eastAsia="Arial" w:hAnsi="Arial"/>
          <w:sz w:val="17"/>
          <w:szCs w:val="17"/>
          <w:color w:val="auto"/>
        </w:rPr>
        <w:t>We are providing these proxy materials in connection with the Board’s solicitation of proxies to be voted at our Annual Meeting of Stockholders to be held on July 30, 2026, and at any postponements or adjournments of the Annual Meeting. The proxy materials include the Notice of Annual Meeting of Stockholders, this Proxy Statement, and our Annual Report. We have either (1) delivered to you a Notice of Internet Availability of Proxy Materials (“Notice”) and made the proxy materials available to you on the Internet or (2) delivered to you by mail printed versions of the proxy materials, including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184150</wp:posOffset>
            </wp:positionV>
            <wp:extent cx="213995" cy="342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1"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2.  What is a “stockholder of record”?</w:t>
      </w:r>
    </w:p>
    <w:p>
      <w:pPr>
        <w:spacing w:after="0" w:line="156"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color w:val="auto"/>
        </w:rPr>
        <w:t>A stockholder of record or registered stockholder (“record owner”) is a stockholder whose ownership of Kyndryl stock is reflected directly on the books and records of our transfer agent, Computershare Trust Company, N.A. If you hold Kyndryl stock through a bank, broker or other intermediary, you are not a stockholder of record. Instead, you hold your stock in “street name,” and the record owner of your shares is usually your bank, broker or other intermediary. If you are not a record owner, please understand that Kyndryl does not know that you are a stockholder, or how many shares you 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175895</wp:posOffset>
            </wp:positionV>
            <wp:extent cx="213995" cy="342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1"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3.  How do I attend and vote my shares at the virtual Annual Meeting?</w:t>
      </w:r>
    </w:p>
    <w:p>
      <w:pPr>
        <w:spacing w:after="0" w:line="156" w:lineRule="exact"/>
        <w:rPr>
          <w:sz w:val="20"/>
          <w:szCs w:val="20"/>
          <w:color w:val="auto"/>
        </w:rPr>
      </w:pPr>
    </w:p>
    <w:p>
      <w:pPr>
        <w:ind w:left="80" w:right="119"/>
        <w:spacing w:after="0" w:line="249" w:lineRule="auto"/>
        <w:rPr>
          <w:sz w:val="20"/>
          <w:szCs w:val="20"/>
          <w:color w:val="auto"/>
        </w:rPr>
      </w:pPr>
      <w:r>
        <w:rPr>
          <w:rFonts w:ascii="Arial" w:cs="Arial" w:eastAsia="Arial" w:hAnsi="Arial"/>
          <w:sz w:val="17"/>
          <w:szCs w:val="17"/>
          <w:color w:val="auto"/>
        </w:rPr>
        <w:t xml:space="preserve">Once again, our 2026 Annual Meeting will be a completely “virtual” meeting of stockholders, conducted exclusively by live audio webcast. There will be no in-person meeting. Any stockholder can attend the Annual Meeting live online at </w:t>
      </w:r>
      <w:r>
        <w:rPr>
          <w:rFonts w:ascii="Arial" w:cs="Arial" w:eastAsia="Arial" w:hAnsi="Arial"/>
          <w:sz w:val="17"/>
          <w:szCs w:val="17"/>
          <w:b w:val="1"/>
          <w:bCs w:val="1"/>
          <w:i w:val="1"/>
          <w:iCs w:val="1"/>
          <w:color w:val="auto"/>
        </w:rPr>
        <w:t>virtualshareholdermeeting.com/KD2026</w:t>
      </w:r>
      <w:r>
        <w:rPr>
          <w:rFonts w:ascii="Arial" w:cs="Arial" w:eastAsia="Arial" w:hAnsi="Arial"/>
          <w:sz w:val="17"/>
          <w:szCs w:val="17"/>
          <w:color w:val="auto"/>
        </w:rPr>
        <w:t>, beginning promptly at 1:00 p.m. (Eastern Daylight Time) on</w:t>
      </w:r>
    </w:p>
    <w:p>
      <w:pPr>
        <w:spacing w:after="0" w:line="2" w:lineRule="exact"/>
        <w:rPr>
          <w:sz w:val="20"/>
          <w:szCs w:val="20"/>
          <w:color w:val="auto"/>
        </w:rPr>
      </w:pPr>
    </w:p>
    <w:p>
      <w:pPr>
        <w:jc w:val="both"/>
        <w:ind w:left="80" w:right="519"/>
        <w:spacing w:after="0" w:line="242" w:lineRule="auto"/>
        <w:rPr>
          <w:sz w:val="20"/>
          <w:szCs w:val="20"/>
          <w:color w:val="auto"/>
        </w:rPr>
      </w:pPr>
      <w:r>
        <w:rPr>
          <w:rFonts w:ascii="Arial" w:cs="Arial" w:eastAsia="Arial" w:hAnsi="Arial"/>
          <w:sz w:val="17"/>
          <w:szCs w:val="17"/>
          <w:color w:val="auto"/>
        </w:rPr>
        <w:t>July 30, 2026. To participate in and vote at the virtual-only Annual Meeting, you will need your individual 16-digit control number included on your Notice or on your proxy card. If you were a stockholder as of the record date of June 3, 2026, you can vote at the Annual Meeting. A summary of the information you need to attend the Annual Meeting and vote via the Internet is provided below:</w:t>
      </w:r>
    </w:p>
    <w:p>
      <w:pPr>
        <w:spacing w:after="0" w:line="87" w:lineRule="exact"/>
        <w:rPr>
          <w:sz w:val="20"/>
          <w:szCs w:val="20"/>
          <w:color w:val="auto"/>
        </w:rPr>
      </w:pPr>
    </w:p>
    <w:p>
      <w:pPr>
        <w:ind w:left="900" w:right="219" w:hanging="356"/>
        <w:spacing w:after="0" w:line="280" w:lineRule="auto"/>
        <w:tabs>
          <w:tab w:leader="none" w:pos="900" w:val="left"/>
        </w:tabs>
        <w:numPr>
          <w:ilvl w:val="0"/>
          <w:numId w:val="122"/>
        </w:numPr>
        <w:rPr>
          <w:rFonts w:ascii="Arial" w:cs="Arial" w:eastAsia="Arial" w:hAnsi="Arial"/>
          <w:sz w:val="17"/>
          <w:szCs w:val="17"/>
          <w:color w:val="F0533D"/>
        </w:rPr>
      </w:pPr>
      <w:r>
        <w:rPr>
          <w:rFonts w:ascii="Arial" w:cs="Arial" w:eastAsia="Arial" w:hAnsi="Arial"/>
          <w:sz w:val="17"/>
          <w:szCs w:val="17"/>
          <w:color w:val="auto"/>
        </w:rPr>
        <w:t xml:space="preserve">instructions on how to attend and participate via the Internet, including how to demonstrate proof of stock ownership, are posted at </w:t>
      </w:r>
      <w:r>
        <w:rPr>
          <w:rFonts w:ascii="Arial" w:cs="Arial" w:eastAsia="Arial" w:hAnsi="Arial"/>
          <w:sz w:val="17"/>
          <w:szCs w:val="17"/>
          <w:b w:val="1"/>
          <w:bCs w:val="1"/>
          <w:i w:val="1"/>
          <w:iCs w:val="1"/>
          <w:color w:val="auto"/>
        </w:rPr>
        <w:t>virtualshareholdermeeting.com/KD2026</w:t>
      </w:r>
      <w:r>
        <w:rPr>
          <w:rFonts w:ascii="Arial" w:cs="Arial" w:eastAsia="Arial" w:hAnsi="Arial"/>
          <w:sz w:val="17"/>
          <w:szCs w:val="17"/>
          <w:color w:val="auto"/>
        </w:rPr>
        <w:t>;</w:t>
      </w:r>
    </w:p>
    <w:p>
      <w:pPr>
        <w:spacing w:after="0" w:line="29" w:lineRule="exact"/>
        <w:rPr>
          <w:rFonts w:ascii="Arial" w:cs="Arial" w:eastAsia="Arial" w:hAnsi="Arial"/>
          <w:sz w:val="17"/>
          <w:szCs w:val="17"/>
          <w:color w:val="F0533D"/>
        </w:rPr>
      </w:pPr>
    </w:p>
    <w:p>
      <w:pPr>
        <w:ind w:left="900" w:right="579" w:hanging="356"/>
        <w:spacing w:after="0" w:line="280" w:lineRule="auto"/>
        <w:tabs>
          <w:tab w:leader="none" w:pos="900" w:val="left"/>
        </w:tabs>
        <w:numPr>
          <w:ilvl w:val="0"/>
          <w:numId w:val="122"/>
        </w:numPr>
        <w:rPr>
          <w:rFonts w:ascii="Arial" w:cs="Arial" w:eastAsia="Arial" w:hAnsi="Arial"/>
          <w:sz w:val="17"/>
          <w:szCs w:val="17"/>
          <w:color w:val="F0533D"/>
        </w:rPr>
      </w:pPr>
      <w:r>
        <w:rPr>
          <w:rFonts w:ascii="Arial" w:cs="Arial" w:eastAsia="Arial" w:hAnsi="Arial"/>
          <w:sz w:val="17"/>
          <w:szCs w:val="17"/>
          <w:color w:val="auto"/>
        </w:rPr>
        <w:t xml:space="preserve">assistance with questions regarding how to attend and participate via the Internet will be provided at </w:t>
      </w:r>
      <w:r>
        <w:rPr>
          <w:rFonts w:ascii="Arial" w:cs="Arial" w:eastAsia="Arial" w:hAnsi="Arial"/>
          <w:sz w:val="17"/>
          <w:szCs w:val="17"/>
          <w:b w:val="1"/>
          <w:bCs w:val="1"/>
          <w:i w:val="1"/>
          <w:iCs w:val="1"/>
          <w:color w:val="auto"/>
        </w:rPr>
        <w:t xml:space="preserve">virtualshareholdermeeting.com/KD2026 </w:t>
      </w:r>
      <w:r>
        <w:rPr>
          <w:rFonts w:ascii="Arial" w:cs="Arial" w:eastAsia="Arial" w:hAnsi="Arial"/>
          <w:sz w:val="17"/>
          <w:szCs w:val="17"/>
          <w:color w:val="auto"/>
        </w:rPr>
        <w:t>on the day of the Annual Meeting;</w:t>
      </w:r>
    </w:p>
    <w:p>
      <w:pPr>
        <w:spacing w:after="0" w:line="29" w:lineRule="exact"/>
        <w:rPr>
          <w:rFonts w:ascii="Arial" w:cs="Arial" w:eastAsia="Arial" w:hAnsi="Arial"/>
          <w:sz w:val="17"/>
          <w:szCs w:val="17"/>
          <w:color w:val="F0533D"/>
        </w:rPr>
      </w:pPr>
    </w:p>
    <w:p>
      <w:pPr>
        <w:ind w:left="900" w:right="119" w:hanging="356"/>
        <w:spacing w:after="0" w:line="267" w:lineRule="auto"/>
        <w:tabs>
          <w:tab w:leader="none" w:pos="900" w:val="left"/>
        </w:tabs>
        <w:numPr>
          <w:ilvl w:val="0"/>
          <w:numId w:val="122"/>
        </w:numPr>
        <w:rPr>
          <w:rFonts w:ascii="Arial" w:cs="Arial" w:eastAsia="Arial" w:hAnsi="Arial"/>
          <w:sz w:val="17"/>
          <w:szCs w:val="17"/>
          <w:color w:val="F0533D"/>
        </w:rPr>
      </w:pPr>
      <w:r>
        <w:rPr>
          <w:rFonts w:ascii="Arial" w:cs="Arial" w:eastAsia="Arial" w:hAnsi="Arial"/>
          <w:sz w:val="17"/>
          <w:szCs w:val="17"/>
          <w:color w:val="auto"/>
        </w:rPr>
        <w:t xml:space="preserve">technical support and assistance will be provided at </w:t>
      </w:r>
      <w:r>
        <w:rPr>
          <w:rFonts w:ascii="Arial" w:cs="Arial" w:eastAsia="Arial" w:hAnsi="Arial"/>
          <w:sz w:val="17"/>
          <w:szCs w:val="17"/>
          <w:b w:val="1"/>
          <w:bCs w:val="1"/>
          <w:i w:val="1"/>
          <w:iCs w:val="1"/>
          <w:color w:val="auto"/>
        </w:rPr>
        <w:t>virtualshareholdermeeting.com/KD2026</w:t>
      </w:r>
      <w:r>
        <w:rPr>
          <w:rFonts w:ascii="Arial" w:cs="Arial" w:eastAsia="Arial" w:hAnsi="Arial"/>
          <w:sz w:val="17"/>
          <w:szCs w:val="17"/>
          <w:color w:val="auto"/>
        </w:rPr>
        <w:t xml:space="preserve"> on the day of the Annual Meeting and during the Annual Meeting; and</w:t>
      </w:r>
    </w:p>
    <w:p>
      <w:pPr>
        <w:spacing w:after="0" w:line="51" w:lineRule="exact"/>
        <w:rPr>
          <w:rFonts w:ascii="Arial" w:cs="Arial" w:eastAsia="Arial" w:hAnsi="Arial"/>
          <w:sz w:val="17"/>
          <w:szCs w:val="17"/>
          <w:color w:val="F0533D"/>
        </w:rPr>
      </w:pPr>
    </w:p>
    <w:p>
      <w:pPr>
        <w:ind w:left="900" w:right="99" w:hanging="356"/>
        <w:spacing w:after="0" w:line="267" w:lineRule="auto"/>
        <w:tabs>
          <w:tab w:leader="none" w:pos="900" w:val="left"/>
        </w:tabs>
        <w:numPr>
          <w:ilvl w:val="0"/>
          <w:numId w:val="122"/>
        </w:numPr>
        <w:rPr>
          <w:rFonts w:ascii="Arial" w:cs="Arial" w:eastAsia="Arial" w:hAnsi="Arial"/>
          <w:sz w:val="17"/>
          <w:szCs w:val="17"/>
          <w:color w:val="F0533D"/>
        </w:rPr>
      </w:pPr>
      <w:r>
        <w:rPr>
          <w:rFonts w:ascii="Arial" w:cs="Arial" w:eastAsia="Arial" w:hAnsi="Arial"/>
          <w:sz w:val="17"/>
          <w:szCs w:val="17"/>
          <w:color w:val="auto"/>
        </w:rPr>
        <w:t>you will need the 16-digit number that is included in your proxy card or your Notice to ask questions and to vote during the Annual Meeting.</w:t>
      </w:r>
    </w:p>
    <w:p>
      <w:pPr>
        <w:spacing w:after="0" w:line="18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0" w:name="page101"/>
    <w:bookmarkEnd w:id="10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right="219"/>
        <w:spacing w:after="0" w:line="270" w:lineRule="auto"/>
        <w:rPr>
          <w:sz w:val="20"/>
          <w:szCs w:val="20"/>
          <w:color w:val="auto"/>
        </w:rPr>
      </w:pPr>
      <w:r>
        <w:rPr>
          <w:rFonts w:ascii="Arial" w:cs="Arial" w:eastAsia="Arial" w:hAnsi="Arial"/>
          <w:sz w:val="22"/>
          <w:szCs w:val="22"/>
          <w:b w:val="1"/>
          <w:bCs w:val="1"/>
          <w:i w:val="1"/>
          <w:iCs w:val="1"/>
          <w:color w:val="auto"/>
        </w:rPr>
        <w:t>4.  Will I be able to participate in the virtual Annual Meeting on the same basis I would be able to participate in an in-person Annual Meeting?</w:t>
      </w:r>
    </w:p>
    <w:p>
      <w:pPr>
        <w:spacing w:after="0" w:line="83" w:lineRule="exact"/>
        <w:rPr>
          <w:sz w:val="20"/>
          <w:szCs w:val="20"/>
          <w:color w:val="auto"/>
        </w:rPr>
      </w:pPr>
    </w:p>
    <w:p>
      <w:pPr>
        <w:jc w:val="both"/>
        <w:ind w:left="80" w:right="179"/>
        <w:spacing w:after="0" w:line="244" w:lineRule="auto"/>
        <w:rPr>
          <w:sz w:val="20"/>
          <w:szCs w:val="20"/>
          <w:color w:val="auto"/>
        </w:rPr>
      </w:pPr>
      <w:r>
        <w:rPr>
          <w:rFonts w:ascii="Arial" w:cs="Arial" w:eastAsia="Arial" w:hAnsi="Arial"/>
          <w:sz w:val="17"/>
          <w:szCs w:val="17"/>
          <w:color w:val="auto"/>
        </w:rPr>
        <w:t>The online meeting format for the Annual Meeting will enable full and equal participation by all our stockholders from any place in the world at little to no cost. We believe that holding the Annual Meeting online provides the opportunity for participation by a broader group of stockholders while reducing environmental impacts and the costs associated with planning, arranging logistics and holding in-person meeting proceedings.</w:t>
      </w:r>
    </w:p>
    <w:p>
      <w:pPr>
        <w:spacing w:after="0" w:line="123" w:lineRule="exact"/>
        <w:rPr>
          <w:sz w:val="20"/>
          <w:szCs w:val="20"/>
          <w:color w:val="auto"/>
        </w:rPr>
      </w:pPr>
    </w:p>
    <w:p>
      <w:pPr>
        <w:ind w:left="80" w:right="119"/>
        <w:spacing w:after="0" w:line="244" w:lineRule="auto"/>
        <w:rPr>
          <w:sz w:val="20"/>
          <w:szCs w:val="20"/>
          <w:color w:val="auto"/>
        </w:rPr>
      </w:pPr>
      <w:r>
        <w:rPr>
          <w:rFonts w:ascii="Arial" w:cs="Arial" w:eastAsia="Arial" w:hAnsi="Arial"/>
          <w:sz w:val="17"/>
          <w:szCs w:val="17"/>
          <w:color w:val="auto"/>
        </w:rPr>
        <w:t>We designed the format of the virtual Annual Meeting to ensure that our stockholders who attend our Annual Meeting will be afforded the same rights and opportunities to participate as they would at an in-person meeting and to enhance stockholder access, participation and communication through online tools. We will take the following steps to ensure such an experience:</w:t>
      </w:r>
    </w:p>
    <w:p>
      <w:pPr>
        <w:spacing w:after="0" w:line="69" w:lineRule="exact"/>
        <w:rPr>
          <w:sz w:val="20"/>
          <w:szCs w:val="20"/>
          <w:color w:val="auto"/>
        </w:rPr>
      </w:pPr>
    </w:p>
    <w:p>
      <w:pPr>
        <w:ind w:left="900" w:right="99" w:hanging="356"/>
        <w:spacing w:after="0" w:line="267" w:lineRule="auto"/>
        <w:tabs>
          <w:tab w:leader="none" w:pos="900" w:val="left"/>
        </w:tabs>
        <w:numPr>
          <w:ilvl w:val="0"/>
          <w:numId w:val="123"/>
        </w:numPr>
        <w:rPr>
          <w:rFonts w:ascii="Arial" w:cs="Arial" w:eastAsia="Arial" w:hAnsi="Arial"/>
          <w:sz w:val="17"/>
          <w:szCs w:val="17"/>
          <w:color w:val="F0533D"/>
        </w:rPr>
      </w:pPr>
      <w:r>
        <w:rPr>
          <w:rFonts w:ascii="Arial" w:cs="Arial" w:eastAsia="Arial" w:hAnsi="Arial"/>
          <w:sz w:val="17"/>
          <w:szCs w:val="17"/>
          <w:color w:val="auto"/>
        </w:rPr>
        <w:t>providing stockholders with the ability to submit appropriate questions in advance of the meeting to ensure thoughtful responses from management and the Board;</w:t>
      </w:r>
    </w:p>
    <w:p>
      <w:pPr>
        <w:spacing w:after="0" w:line="51" w:lineRule="exact"/>
        <w:rPr>
          <w:rFonts w:ascii="Arial" w:cs="Arial" w:eastAsia="Arial" w:hAnsi="Arial"/>
          <w:sz w:val="17"/>
          <w:szCs w:val="17"/>
          <w:color w:val="F0533D"/>
        </w:rPr>
      </w:pPr>
    </w:p>
    <w:p>
      <w:pPr>
        <w:ind w:left="900" w:right="279" w:hanging="356"/>
        <w:spacing w:after="0" w:line="267" w:lineRule="auto"/>
        <w:tabs>
          <w:tab w:leader="none" w:pos="900" w:val="left"/>
        </w:tabs>
        <w:numPr>
          <w:ilvl w:val="0"/>
          <w:numId w:val="123"/>
        </w:numPr>
        <w:rPr>
          <w:rFonts w:ascii="Arial" w:cs="Arial" w:eastAsia="Arial" w:hAnsi="Arial"/>
          <w:sz w:val="17"/>
          <w:szCs w:val="17"/>
          <w:color w:val="F0533D"/>
        </w:rPr>
      </w:pPr>
      <w:r>
        <w:rPr>
          <w:rFonts w:ascii="Arial" w:cs="Arial" w:eastAsia="Arial" w:hAnsi="Arial"/>
          <w:sz w:val="17"/>
          <w:szCs w:val="17"/>
          <w:color w:val="auto"/>
        </w:rPr>
        <w:t>providing stockholders with the ability to submit appropriate questions real-time via the meeting website, limiting questions to one per stockholder unless time otherwise permits; and</w:t>
      </w:r>
    </w:p>
    <w:p>
      <w:pPr>
        <w:spacing w:after="0" w:line="51" w:lineRule="exact"/>
        <w:rPr>
          <w:rFonts w:ascii="Arial" w:cs="Arial" w:eastAsia="Arial" w:hAnsi="Arial"/>
          <w:sz w:val="17"/>
          <w:szCs w:val="17"/>
          <w:color w:val="F0533D"/>
        </w:rPr>
      </w:pPr>
    </w:p>
    <w:p>
      <w:pPr>
        <w:ind w:left="900" w:right="339" w:hanging="356"/>
        <w:spacing w:after="0" w:line="267" w:lineRule="auto"/>
        <w:tabs>
          <w:tab w:leader="none" w:pos="900" w:val="left"/>
        </w:tabs>
        <w:numPr>
          <w:ilvl w:val="0"/>
          <w:numId w:val="123"/>
        </w:numPr>
        <w:rPr>
          <w:rFonts w:ascii="Arial" w:cs="Arial" w:eastAsia="Arial" w:hAnsi="Arial"/>
          <w:sz w:val="17"/>
          <w:szCs w:val="17"/>
          <w:color w:val="F0533D"/>
        </w:rPr>
      </w:pPr>
      <w:r>
        <w:rPr>
          <w:rFonts w:ascii="Arial" w:cs="Arial" w:eastAsia="Arial" w:hAnsi="Arial"/>
          <w:sz w:val="17"/>
          <w:szCs w:val="17"/>
          <w:color w:val="auto"/>
        </w:rPr>
        <w:t>answering as many questions submitted in accordance with the meeting rules of conduct as possible in the time allotted for the meeting without discrimination.</w:t>
      </w:r>
    </w:p>
    <w:p>
      <w:pPr>
        <w:spacing w:after="0" w:line="105" w:lineRule="exact"/>
        <w:rPr>
          <w:sz w:val="20"/>
          <w:szCs w:val="20"/>
          <w:color w:val="auto"/>
        </w:rPr>
      </w:pPr>
    </w:p>
    <w:p>
      <w:pPr>
        <w:ind w:left="80" w:right="179"/>
        <w:spacing w:after="0" w:line="249" w:lineRule="auto"/>
        <w:rPr>
          <w:sz w:val="20"/>
          <w:szCs w:val="20"/>
          <w:color w:val="auto"/>
        </w:rPr>
      </w:pPr>
      <w:r>
        <w:rPr>
          <w:rFonts w:ascii="Arial" w:cs="Arial" w:eastAsia="Arial" w:hAnsi="Arial"/>
          <w:sz w:val="17"/>
          <w:szCs w:val="17"/>
          <w:color w:val="auto"/>
        </w:rPr>
        <w:t>Questions pertinent to meeting matters will be answered during the designated portion of the Annual Meeting, subject to time limitations. Questions regarding claims or personal matters are not pertinent to meeting matters and therefore will not be answered. The rules of conduct and procedures will be available on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184785</wp:posOffset>
            </wp:positionV>
            <wp:extent cx="213995" cy="342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5.  What is the “record date” for the Annual Meeting?</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record date for the Annual Meeting is the close of business on June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207010</wp:posOffset>
            </wp:positionV>
            <wp:extent cx="213995" cy="342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47"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6.  Which Kyndryl shares will be entitled to vote at the Annual Meeting?</w:t>
      </w:r>
    </w:p>
    <w:p>
      <w:pPr>
        <w:spacing w:after="0" w:line="156" w:lineRule="exact"/>
        <w:rPr>
          <w:sz w:val="20"/>
          <w:szCs w:val="20"/>
          <w:color w:val="auto"/>
        </w:rPr>
      </w:pPr>
    </w:p>
    <w:p>
      <w:pPr>
        <w:ind w:left="80" w:right="359"/>
        <w:spacing w:after="0" w:line="267" w:lineRule="auto"/>
        <w:rPr>
          <w:sz w:val="20"/>
          <w:szCs w:val="20"/>
          <w:color w:val="auto"/>
        </w:rPr>
      </w:pPr>
      <w:r>
        <w:rPr>
          <w:rFonts w:ascii="Arial" w:cs="Arial" w:eastAsia="Arial" w:hAnsi="Arial"/>
          <w:sz w:val="17"/>
          <w:szCs w:val="17"/>
          <w:color w:val="auto"/>
        </w:rPr>
        <w:t>Stockholders as of the close of business on the record date of June 3, 2026, may vote at the Annual Meeting. You have one vote for each share of common stock held by you as of June 3, 2026, including shares:</w:t>
      </w:r>
    </w:p>
    <w:p>
      <w:pPr>
        <w:spacing w:after="0" w:line="51" w:lineRule="exact"/>
        <w:rPr>
          <w:sz w:val="20"/>
          <w:szCs w:val="20"/>
          <w:color w:val="auto"/>
        </w:rPr>
      </w:pPr>
    </w:p>
    <w:p>
      <w:pPr>
        <w:ind w:left="900" w:right="639" w:hanging="356"/>
        <w:spacing w:after="0" w:line="267" w:lineRule="auto"/>
        <w:tabs>
          <w:tab w:leader="none" w:pos="900" w:val="left"/>
        </w:tabs>
        <w:numPr>
          <w:ilvl w:val="0"/>
          <w:numId w:val="124"/>
        </w:numPr>
        <w:rPr>
          <w:rFonts w:ascii="Arial" w:cs="Arial" w:eastAsia="Arial" w:hAnsi="Arial"/>
          <w:sz w:val="17"/>
          <w:szCs w:val="17"/>
          <w:color w:val="F0533D"/>
        </w:rPr>
      </w:pPr>
      <w:r>
        <w:rPr>
          <w:rFonts w:ascii="Arial" w:cs="Arial" w:eastAsia="Arial" w:hAnsi="Arial"/>
          <w:sz w:val="17"/>
          <w:szCs w:val="17"/>
          <w:color w:val="auto"/>
        </w:rPr>
        <w:t>Held directly in your name as “stockholder of record” (also referred to as “registered stockholder” or “record owner”); and</w:t>
      </w:r>
    </w:p>
    <w:p>
      <w:pPr>
        <w:spacing w:after="0" w:line="51" w:lineRule="exact"/>
        <w:rPr>
          <w:rFonts w:ascii="Arial" w:cs="Arial" w:eastAsia="Arial" w:hAnsi="Arial"/>
          <w:sz w:val="17"/>
          <w:szCs w:val="17"/>
          <w:color w:val="F0533D"/>
        </w:rPr>
      </w:pPr>
    </w:p>
    <w:p>
      <w:pPr>
        <w:ind w:left="900" w:right="519" w:hanging="356"/>
        <w:spacing w:after="0" w:line="249" w:lineRule="auto"/>
        <w:tabs>
          <w:tab w:leader="none" w:pos="900" w:val="left"/>
        </w:tabs>
        <w:numPr>
          <w:ilvl w:val="0"/>
          <w:numId w:val="124"/>
        </w:numPr>
        <w:rPr>
          <w:rFonts w:ascii="Arial" w:cs="Arial" w:eastAsia="Arial" w:hAnsi="Arial"/>
          <w:sz w:val="17"/>
          <w:szCs w:val="17"/>
          <w:color w:val="F0533D"/>
        </w:rPr>
      </w:pPr>
      <w:r>
        <w:rPr>
          <w:rFonts w:ascii="Arial" w:cs="Arial" w:eastAsia="Arial" w:hAnsi="Arial"/>
          <w:sz w:val="17"/>
          <w:szCs w:val="17"/>
          <w:color w:val="auto"/>
        </w:rPr>
        <w:t>Held beneficially for you in an account with a broker, bank, or other nominee (shares held in “street name”). Street name holders generally cannot vote their shares directly and instead must instruct the brokerage firm, bank or nominee how to vote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184785</wp:posOffset>
            </wp:positionV>
            <wp:extent cx="213995" cy="342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26"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7.  Which Kyndryl shares are included in the proxy card?</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7"/>
          <w:szCs w:val="17"/>
          <w:color w:val="auto"/>
        </w:rPr>
        <w:t>For record owners, the proxy card covers the number of shares to be voted in your account as of the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198755</wp:posOffset>
            </wp:positionV>
            <wp:extent cx="213995" cy="342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3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8.  Can I vote my shares without attending the Annual Meeting?</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7"/>
          <w:szCs w:val="17"/>
          <w:color w:val="auto"/>
        </w:rPr>
        <w:t>If you are a record owner, you may vote by authorizing a proxy to vote on your behalf at the Annual Meeting.</w:t>
      </w:r>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FOR RECORD OWNERS</w:t>
      </w:r>
    </w:p>
    <w:p>
      <w:pPr>
        <w:spacing w:after="0" w:line="154" w:lineRule="exact"/>
        <w:rPr>
          <w:sz w:val="20"/>
          <w:szCs w:val="20"/>
          <w:color w:val="auto"/>
        </w:rPr>
      </w:pPr>
    </w:p>
    <w:p>
      <w:pPr>
        <w:jc w:val="both"/>
        <w:ind w:left="80" w:right="619"/>
        <w:spacing w:after="0" w:line="244" w:lineRule="auto"/>
        <w:rPr>
          <w:sz w:val="20"/>
          <w:szCs w:val="20"/>
          <w:color w:val="auto"/>
        </w:rPr>
      </w:pPr>
      <w:r>
        <w:rPr>
          <w:rFonts w:ascii="Arial" w:cs="Arial" w:eastAsia="Arial" w:hAnsi="Arial"/>
          <w:sz w:val="17"/>
          <w:szCs w:val="17"/>
          <w:color w:val="auto"/>
        </w:rPr>
        <w:t>Your shares cannot be voted unless a signed proxy card is returned, shares are voted using the Internet or the telephone, or other specific arrangements are made to have your shares represented at the meeting. You are encouraged to specify your choices by checking the appropriate boxes on the proxy card. Shares will be voted following your written instructions.</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96 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1" w:name="page102"/>
    <w:bookmarkEnd w:id="10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619"/>
        <w:spacing w:after="0" w:line="249" w:lineRule="auto"/>
        <w:rPr>
          <w:sz w:val="20"/>
          <w:szCs w:val="20"/>
          <w:color w:val="auto"/>
        </w:rPr>
      </w:pPr>
      <w:r>
        <w:rPr>
          <w:rFonts w:ascii="Arial" w:cs="Arial" w:eastAsia="Arial" w:hAnsi="Arial"/>
          <w:sz w:val="17"/>
          <w:szCs w:val="17"/>
          <w:color w:val="auto"/>
        </w:rPr>
        <w:t>However, it is not necessary to check any boxes if you wish to vote in accordance with the Board’s recommendations; in that case, merely sign, date and return the proxy card in the enclosed envelope, or if you received a Notice, follow the instructions on how to access the proxy materials and vote online.</w:t>
      </w:r>
    </w:p>
    <w:p>
      <w:pPr>
        <w:spacing w:after="0" w:line="121" w:lineRule="exact"/>
        <w:rPr>
          <w:sz w:val="20"/>
          <w:szCs w:val="20"/>
          <w:color w:val="auto"/>
        </w:rPr>
      </w:pPr>
    </w:p>
    <w:p>
      <w:pPr>
        <w:ind w:left="80" w:right="119"/>
        <w:spacing w:after="0" w:line="241" w:lineRule="auto"/>
        <w:rPr>
          <w:sz w:val="20"/>
          <w:szCs w:val="20"/>
          <w:color w:val="auto"/>
        </w:rPr>
      </w:pPr>
      <w:r>
        <w:rPr>
          <w:rFonts w:ascii="Arial" w:cs="Arial" w:eastAsia="Arial" w:hAnsi="Arial"/>
          <w:sz w:val="17"/>
          <w:szCs w:val="17"/>
          <w:color w:val="auto"/>
        </w:rPr>
        <w:t>You can also vote your shares over the Internet, or by calling a designated telephone number. These Internet and telephone voting procedures are designed to authenticate your identity to allow you to provide your voting instructions, and to confirm that your instructions have been recorded properly. The procedures that have been put in place are consistent with the requirements of applicable law. Specific instructions for record owners who wish to use the Internet or telephone voting procedures are set forth on the proxy card.</w:t>
      </w:r>
    </w:p>
    <w:p>
      <w:pPr>
        <w:spacing w:after="0" w:line="337" w:lineRule="exact"/>
        <w:rPr>
          <w:sz w:val="20"/>
          <w:szCs w:val="20"/>
          <w:color w:val="auto"/>
        </w:rPr>
      </w:pPr>
    </w:p>
    <w:tbl>
      <w:tblPr>
        <w:tblLayout w:type="fixed"/>
        <w:tblInd w:w="80" w:type="dxa"/>
        <w:tblCellMar>
          <w:top w:w="0" w:type="dxa"/>
          <w:left w:w="0" w:type="dxa"/>
          <w:bottom w:w="0" w:type="dxa"/>
          <w:right w:w="0" w:type="dxa"/>
        </w:tblCellMar>
      </w:tblPr>
      <w:tr>
        <w:trPr>
          <w:trHeight w:val="527"/>
        </w:trPr>
        <w:tc>
          <w:tcPr>
            <w:tcW w:w="100" w:type="dxa"/>
            <w:vAlign w:val="bottom"/>
          </w:tcPr>
          <w:p>
            <w:pPr>
              <w:spacing w:after="0"/>
              <w:rPr>
                <w:sz w:val="24"/>
                <w:szCs w:val="24"/>
                <w:color w:val="auto"/>
              </w:rPr>
            </w:pPr>
          </w:p>
        </w:tc>
        <w:tc>
          <w:tcPr>
            <w:tcW w:w="1760" w:type="dxa"/>
            <w:vAlign w:val="bottom"/>
            <w:gridSpan w:val="2"/>
          </w:tcPr>
          <w:p>
            <w:pPr>
              <w:ind w:left="700"/>
              <w:spacing w:after="0"/>
              <w:rPr>
                <w:sz w:val="20"/>
                <w:szCs w:val="20"/>
                <w:color w:val="auto"/>
              </w:rPr>
            </w:pPr>
            <w:r>
              <w:rPr>
                <w:rFonts w:ascii="Arial" w:cs="Arial" w:eastAsia="Arial" w:hAnsi="Arial"/>
                <w:sz w:val="18"/>
                <w:szCs w:val="18"/>
                <w:b w:val="1"/>
                <w:bCs w:val="1"/>
                <w:color w:val="F0533D"/>
                <w:w w:val="99"/>
              </w:rPr>
              <w:t>How to Vote</w:t>
            </w: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80" w:type="dxa"/>
            <w:vAlign w:val="bottom"/>
            <w:gridSpan w:val="3"/>
            <w:shd w:val="clear" w:color="auto" w:fill="F0533D"/>
          </w:tcPr>
          <w:p>
            <w:pPr>
              <w:ind w:left="380"/>
              <w:spacing w:after="0"/>
              <w:rPr>
                <w:sz w:val="20"/>
                <w:szCs w:val="20"/>
                <w:color w:val="auto"/>
              </w:rPr>
            </w:pPr>
            <w:r>
              <w:rPr>
                <w:rFonts w:ascii="Arial" w:cs="Arial" w:eastAsia="Arial" w:hAnsi="Arial"/>
                <w:sz w:val="18"/>
                <w:szCs w:val="18"/>
                <w:b w:val="1"/>
                <w:bCs w:val="1"/>
                <w:i w:val="1"/>
                <w:iCs w:val="1"/>
                <w:color w:val="FFFFFF"/>
              </w:rPr>
              <w:t>Your Vote Is Important</w:t>
            </w:r>
          </w:p>
        </w:tc>
        <w:tc>
          <w:tcPr>
            <w:tcW w:w="120" w:type="dxa"/>
            <w:vAlign w:val="bottom"/>
            <w:shd w:val="clear" w:color="auto" w:fill="F0533D"/>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F0533D"/>
            </w:tcBorders>
          </w:tcPr>
          <w:p>
            <w:pPr>
              <w:spacing w:after="0"/>
              <w:rPr>
                <w:sz w:val="3"/>
                <w:szCs w:val="3"/>
                <w:color w:val="auto"/>
              </w:rPr>
            </w:pPr>
          </w:p>
        </w:tc>
        <w:tc>
          <w:tcPr>
            <w:tcW w:w="1560" w:type="dxa"/>
            <w:vAlign w:val="bottom"/>
            <w:tcBorders>
              <w:bottom w:val="single" w:sz="8" w:color="F0533D"/>
            </w:tcBorders>
          </w:tcPr>
          <w:p>
            <w:pPr>
              <w:spacing w:after="0"/>
              <w:rPr>
                <w:sz w:val="3"/>
                <w:szCs w:val="3"/>
                <w:color w:val="auto"/>
              </w:rPr>
            </w:pPr>
          </w:p>
        </w:tc>
        <w:tc>
          <w:tcPr>
            <w:tcW w:w="200" w:type="dxa"/>
            <w:vAlign w:val="bottom"/>
            <w:tcBorders>
              <w:bottom w:val="single" w:sz="8" w:color="F0533D"/>
            </w:tcBorders>
          </w:tcPr>
          <w:p>
            <w:pPr>
              <w:spacing w:after="0"/>
              <w:rPr>
                <w:sz w:val="3"/>
                <w:szCs w:val="3"/>
                <w:color w:val="auto"/>
              </w:rPr>
            </w:pPr>
          </w:p>
        </w:tc>
        <w:tc>
          <w:tcPr>
            <w:tcW w:w="20" w:type="dxa"/>
            <w:vAlign w:val="bottom"/>
            <w:tcBorders>
              <w:bottom w:val="single" w:sz="8" w:color="F0533D"/>
            </w:tcBorders>
          </w:tcPr>
          <w:p>
            <w:pPr>
              <w:spacing w:after="0"/>
              <w:rPr>
                <w:sz w:val="3"/>
                <w:szCs w:val="3"/>
                <w:color w:val="auto"/>
              </w:rPr>
            </w:pPr>
          </w:p>
        </w:tc>
        <w:tc>
          <w:tcPr>
            <w:tcW w:w="1540" w:type="dxa"/>
            <w:vAlign w:val="bottom"/>
            <w:tcBorders>
              <w:bottom w:val="single" w:sz="8" w:color="F0533D"/>
            </w:tcBorders>
          </w:tcPr>
          <w:p>
            <w:pPr>
              <w:spacing w:after="0"/>
              <w:rPr>
                <w:sz w:val="3"/>
                <w:szCs w:val="3"/>
                <w:color w:val="auto"/>
              </w:rPr>
            </w:pPr>
          </w:p>
        </w:tc>
        <w:tc>
          <w:tcPr>
            <w:tcW w:w="220" w:type="dxa"/>
            <w:vAlign w:val="bottom"/>
            <w:tcBorders>
              <w:bottom w:val="single" w:sz="8" w:color="F0533D"/>
            </w:tcBorders>
          </w:tcPr>
          <w:p>
            <w:pPr>
              <w:spacing w:after="0"/>
              <w:rPr>
                <w:sz w:val="3"/>
                <w:szCs w:val="3"/>
                <w:color w:val="auto"/>
              </w:rPr>
            </w:pPr>
          </w:p>
        </w:tc>
        <w:tc>
          <w:tcPr>
            <w:tcW w:w="1560" w:type="dxa"/>
            <w:vAlign w:val="bottom"/>
            <w:tcBorders>
              <w:bottom w:val="single" w:sz="8" w:color="F0533D"/>
            </w:tcBorders>
          </w:tcPr>
          <w:p>
            <w:pPr>
              <w:spacing w:after="0"/>
              <w:rPr>
                <w:sz w:val="3"/>
                <w:szCs w:val="3"/>
                <w:color w:val="auto"/>
              </w:rPr>
            </w:pPr>
          </w:p>
        </w:tc>
        <w:tc>
          <w:tcPr>
            <w:tcW w:w="200" w:type="dxa"/>
            <w:vAlign w:val="bottom"/>
            <w:tcBorders>
              <w:bottom w:val="single" w:sz="8" w:color="F0533D"/>
            </w:tcBorders>
          </w:tcPr>
          <w:p>
            <w:pPr>
              <w:spacing w:after="0"/>
              <w:rPr>
                <w:sz w:val="3"/>
                <w:szCs w:val="3"/>
                <w:color w:val="auto"/>
              </w:rPr>
            </w:pPr>
          </w:p>
        </w:tc>
        <w:tc>
          <w:tcPr>
            <w:tcW w:w="120" w:type="dxa"/>
            <w:vAlign w:val="bottom"/>
            <w:tcBorders>
              <w:bottom w:val="single" w:sz="8" w:color="F0533D"/>
            </w:tcBorders>
          </w:tcPr>
          <w:p>
            <w:pPr>
              <w:spacing w:after="0"/>
              <w:rPr>
                <w:sz w:val="3"/>
                <w:szCs w:val="3"/>
                <w:color w:val="auto"/>
              </w:rPr>
            </w:pPr>
          </w:p>
        </w:tc>
        <w:tc>
          <w:tcPr>
            <w:tcW w:w="640" w:type="dxa"/>
            <w:vAlign w:val="bottom"/>
            <w:tcBorders>
              <w:bottom w:val="single" w:sz="8" w:color="F0533D"/>
            </w:tcBorders>
          </w:tcPr>
          <w:p>
            <w:pPr>
              <w:spacing w:after="0"/>
              <w:rPr>
                <w:sz w:val="3"/>
                <w:szCs w:val="3"/>
                <w:color w:val="auto"/>
              </w:rPr>
            </w:pPr>
          </w:p>
        </w:tc>
        <w:tc>
          <w:tcPr>
            <w:tcW w:w="800" w:type="dxa"/>
            <w:vAlign w:val="bottom"/>
            <w:tcBorders>
              <w:bottom w:val="single" w:sz="8" w:color="F0533D"/>
            </w:tcBorders>
            <w:shd w:val="clear" w:color="auto" w:fill="F0533D"/>
          </w:tcPr>
          <w:p>
            <w:pPr>
              <w:spacing w:after="0"/>
              <w:rPr>
                <w:sz w:val="3"/>
                <w:szCs w:val="3"/>
                <w:color w:val="auto"/>
              </w:rPr>
            </w:pPr>
          </w:p>
        </w:tc>
        <w:tc>
          <w:tcPr>
            <w:tcW w:w="220" w:type="dxa"/>
            <w:vAlign w:val="bottom"/>
            <w:tcBorders>
              <w:bottom w:val="single" w:sz="8" w:color="F0533D"/>
            </w:tcBorders>
            <w:shd w:val="clear" w:color="auto" w:fill="F0533D"/>
          </w:tcPr>
          <w:p>
            <w:pPr>
              <w:spacing w:after="0"/>
              <w:rPr>
                <w:sz w:val="3"/>
                <w:szCs w:val="3"/>
                <w:color w:val="auto"/>
              </w:rPr>
            </w:pPr>
          </w:p>
        </w:tc>
        <w:tc>
          <w:tcPr>
            <w:tcW w:w="1560" w:type="dxa"/>
            <w:vAlign w:val="bottom"/>
            <w:tcBorders>
              <w:bottom w:val="single" w:sz="8" w:color="F0533D"/>
            </w:tcBorders>
            <w:shd w:val="clear" w:color="auto" w:fill="F0533D"/>
          </w:tcPr>
          <w:p>
            <w:pPr>
              <w:spacing w:after="0"/>
              <w:rPr>
                <w:sz w:val="3"/>
                <w:szCs w:val="3"/>
                <w:color w:val="auto"/>
              </w:rPr>
            </w:pPr>
          </w:p>
        </w:tc>
        <w:tc>
          <w:tcPr>
            <w:tcW w:w="120" w:type="dxa"/>
            <w:vAlign w:val="bottom"/>
            <w:tcBorders>
              <w:bottom w:val="single" w:sz="8" w:color="F0533D"/>
            </w:tcBorders>
            <w:shd w:val="clear" w:color="auto" w:fill="F0533D"/>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00" w:type="dxa"/>
            <w:vAlign w:val="bottom"/>
            <w:shd w:val="clear" w:color="auto" w:fill="F1F2F2"/>
          </w:tcPr>
          <w:p>
            <w:pPr>
              <w:spacing w:after="0"/>
              <w:rPr>
                <w:sz w:val="9"/>
                <w:szCs w:val="9"/>
                <w:color w:val="auto"/>
              </w:rPr>
            </w:pPr>
          </w:p>
        </w:tc>
        <w:tc>
          <w:tcPr>
            <w:tcW w:w="1760" w:type="dxa"/>
            <w:vAlign w:val="bottom"/>
            <w:gridSpan w:val="2"/>
            <w:vMerge w:val="restart"/>
            <w:shd w:val="clear" w:color="auto" w:fill="F1F2F2"/>
          </w:tcPr>
          <w:p>
            <w:pPr>
              <w:ind w:left="220"/>
              <w:spacing w:after="0"/>
              <w:rPr>
                <w:sz w:val="20"/>
                <w:szCs w:val="20"/>
                <w:color w:val="auto"/>
              </w:rPr>
            </w:pPr>
            <w:r>
              <w:rPr>
                <w:rFonts w:ascii="Arial" w:cs="Arial" w:eastAsia="Arial" w:hAnsi="Arial"/>
                <w:sz w:val="14"/>
                <w:szCs w:val="14"/>
                <w:b w:val="1"/>
                <w:bCs w:val="1"/>
                <w:color w:val="auto"/>
              </w:rPr>
              <w:t xml:space="preserve">  </w:t>
            </w:r>
          </w:p>
        </w:tc>
        <w:tc>
          <w:tcPr>
            <w:tcW w:w="1560" w:type="dxa"/>
            <w:vAlign w:val="bottom"/>
            <w:gridSpan w:val="2"/>
            <w:vMerge w:val="restart"/>
            <w:shd w:val="clear" w:color="auto" w:fill="F1F2F2"/>
          </w:tcPr>
          <w:p>
            <w:pPr>
              <w:ind w:left="20"/>
              <w:spacing w:after="0"/>
              <w:rPr>
                <w:sz w:val="20"/>
                <w:szCs w:val="20"/>
                <w:color w:val="auto"/>
              </w:rPr>
            </w:pPr>
            <w:r>
              <w:rPr>
                <w:rFonts w:ascii="Arial" w:cs="Arial" w:eastAsia="Arial" w:hAnsi="Arial"/>
                <w:sz w:val="16"/>
                <w:szCs w:val="16"/>
                <w:b w:val="1"/>
                <w:bCs w:val="1"/>
                <w:color w:val="auto"/>
              </w:rPr>
              <w:t xml:space="preserve">  </w:t>
            </w:r>
          </w:p>
        </w:tc>
        <w:tc>
          <w:tcPr>
            <w:tcW w:w="220" w:type="dxa"/>
            <w:vAlign w:val="bottom"/>
            <w:shd w:val="clear" w:color="auto" w:fill="F1F2F2"/>
          </w:tcPr>
          <w:p>
            <w:pPr>
              <w:spacing w:after="0"/>
              <w:rPr>
                <w:sz w:val="9"/>
                <w:szCs w:val="9"/>
                <w:color w:val="auto"/>
              </w:rPr>
            </w:pPr>
          </w:p>
        </w:tc>
        <w:tc>
          <w:tcPr>
            <w:tcW w:w="1560" w:type="dxa"/>
            <w:vAlign w:val="bottom"/>
            <w:vMerge w:val="restart"/>
            <w:shd w:val="clear" w:color="auto" w:fill="F1F2F2"/>
          </w:tcPr>
          <w:p>
            <w:pPr>
              <w:spacing w:after="0"/>
              <w:rPr>
                <w:sz w:val="20"/>
                <w:szCs w:val="20"/>
                <w:color w:val="auto"/>
              </w:rPr>
            </w:pPr>
            <w:r>
              <w:rPr>
                <w:rFonts w:ascii="Arial" w:cs="Arial" w:eastAsia="Arial" w:hAnsi="Arial"/>
                <w:sz w:val="16"/>
                <w:szCs w:val="16"/>
                <w:b w:val="1"/>
                <w:bCs w:val="1"/>
                <w:color w:val="auto"/>
              </w:rPr>
              <w:t xml:space="preserve">  </w:t>
            </w:r>
          </w:p>
        </w:tc>
        <w:tc>
          <w:tcPr>
            <w:tcW w:w="320" w:type="dxa"/>
            <w:vAlign w:val="bottom"/>
            <w:gridSpan w:val="2"/>
            <w:vMerge w:val="restart"/>
            <w:shd w:val="clear" w:color="auto" w:fill="F1F2F2"/>
          </w:tcPr>
          <w:p>
            <w:pPr>
              <w:ind w:left="200"/>
              <w:spacing w:after="0"/>
              <w:rPr>
                <w:sz w:val="20"/>
                <w:szCs w:val="20"/>
                <w:color w:val="auto"/>
              </w:rPr>
            </w:pPr>
            <w:r>
              <w:rPr>
                <w:rFonts w:ascii="Arial" w:cs="Arial" w:eastAsia="Arial" w:hAnsi="Arial"/>
                <w:sz w:val="16"/>
                <w:szCs w:val="16"/>
                <w:b w:val="1"/>
                <w:bCs w:val="1"/>
                <w:color w:val="auto"/>
              </w:rPr>
              <w:t xml:space="preserve">  </w:t>
            </w:r>
          </w:p>
        </w:tc>
        <w:tc>
          <w:tcPr>
            <w:tcW w:w="640" w:type="dxa"/>
            <w:vAlign w:val="bottom"/>
            <w:shd w:val="clear" w:color="auto" w:fill="F1F2F2"/>
          </w:tcPr>
          <w:p>
            <w:pPr>
              <w:spacing w:after="0"/>
              <w:rPr>
                <w:sz w:val="9"/>
                <w:szCs w:val="9"/>
                <w:color w:val="auto"/>
              </w:rPr>
            </w:pPr>
          </w:p>
        </w:tc>
        <w:tc>
          <w:tcPr>
            <w:tcW w:w="800" w:type="dxa"/>
            <w:vAlign w:val="bottom"/>
            <w:shd w:val="clear" w:color="auto" w:fill="F1F2F2"/>
          </w:tcPr>
          <w:p>
            <w:pPr>
              <w:spacing w:after="0"/>
              <w:rPr>
                <w:sz w:val="9"/>
                <w:szCs w:val="9"/>
                <w:color w:val="auto"/>
              </w:rPr>
            </w:pPr>
          </w:p>
        </w:tc>
        <w:tc>
          <w:tcPr>
            <w:tcW w:w="220" w:type="dxa"/>
            <w:vAlign w:val="bottom"/>
            <w:shd w:val="clear" w:color="auto" w:fill="F1F2F2"/>
          </w:tcPr>
          <w:p>
            <w:pPr>
              <w:spacing w:after="0"/>
              <w:rPr>
                <w:sz w:val="9"/>
                <w:szCs w:val="9"/>
                <w:color w:val="auto"/>
              </w:rPr>
            </w:pPr>
          </w:p>
        </w:tc>
        <w:tc>
          <w:tcPr>
            <w:tcW w:w="1680" w:type="dxa"/>
            <w:vAlign w:val="bottom"/>
            <w:gridSpan w:val="2"/>
            <w:vMerge w:val="restart"/>
            <w:shd w:val="clear" w:color="auto" w:fill="F1F2F2"/>
          </w:tcPr>
          <w:p>
            <w:pPr>
              <w:spacing w:after="0"/>
              <w:rPr>
                <w:sz w:val="20"/>
                <w:szCs w:val="20"/>
                <w:color w:val="auto"/>
              </w:rPr>
            </w:pPr>
            <w:r>
              <w:rPr>
                <w:rFonts w:ascii="Arial" w:cs="Arial" w:eastAsia="Arial" w:hAnsi="Arial"/>
                <w:sz w:val="16"/>
                <w:szCs w:val="16"/>
                <w:b w:val="1"/>
                <w:bCs w:val="1"/>
                <w:color w:val="auto"/>
              </w:rPr>
              <w:t xml:space="preserve">  </w:t>
            </w:r>
          </w:p>
        </w:tc>
        <w:tc>
          <w:tcPr>
            <w:tcW w:w="0" w:type="dxa"/>
            <w:vAlign w:val="bottom"/>
          </w:tcPr>
          <w:p>
            <w:pPr>
              <w:spacing w:after="0"/>
              <w:rPr>
                <w:sz w:val="1"/>
                <w:szCs w:val="1"/>
                <w:color w:val="auto"/>
              </w:rPr>
            </w:pPr>
          </w:p>
        </w:tc>
      </w:tr>
      <w:tr>
        <w:trPr>
          <w:trHeight w:val="478"/>
        </w:trPr>
        <w:tc>
          <w:tcPr>
            <w:tcW w:w="100" w:type="dxa"/>
            <w:vAlign w:val="bottom"/>
          </w:tcPr>
          <w:p>
            <w:pPr>
              <w:spacing w:after="0"/>
              <w:rPr>
                <w:sz w:val="24"/>
                <w:szCs w:val="24"/>
                <w:color w:val="auto"/>
              </w:rPr>
            </w:pPr>
          </w:p>
        </w:tc>
        <w:tc>
          <w:tcPr>
            <w:tcW w:w="1760" w:type="dxa"/>
            <w:vAlign w:val="bottom"/>
            <w:gridSpan w:val="2"/>
            <w:vMerge w:val="continue"/>
            <w:shd w:val="clear" w:color="auto" w:fill="F1F2F2"/>
          </w:tcPr>
          <w:p>
            <w:pPr>
              <w:spacing w:after="0"/>
              <w:rPr>
                <w:sz w:val="24"/>
                <w:szCs w:val="24"/>
                <w:color w:val="auto"/>
              </w:rPr>
            </w:pPr>
          </w:p>
        </w:tc>
        <w:tc>
          <w:tcPr>
            <w:tcW w:w="1560" w:type="dxa"/>
            <w:vAlign w:val="bottom"/>
            <w:gridSpan w:val="2"/>
            <w:vMerge w:val="continue"/>
            <w:shd w:val="clear" w:color="auto" w:fill="F1F2F2"/>
          </w:tcPr>
          <w:p>
            <w:pPr>
              <w:spacing w:after="0"/>
              <w:rPr>
                <w:sz w:val="24"/>
                <w:szCs w:val="24"/>
                <w:color w:val="auto"/>
              </w:rPr>
            </w:pPr>
          </w:p>
        </w:tc>
        <w:tc>
          <w:tcPr>
            <w:tcW w:w="220" w:type="dxa"/>
            <w:vAlign w:val="bottom"/>
            <w:shd w:val="clear" w:color="auto" w:fill="F1F2F2"/>
          </w:tcPr>
          <w:p>
            <w:pPr>
              <w:spacing w:after="0"/>
              <w:rPr>
                <w:sz w:val="24"/>
                <w:szCs w:val="24"/>
                <w:color w:val="auto"/>
              </w:rPr>
            </w:pPr>
          </w:p>
        </w:tc>
        <w:tc>
          <w:tcPr>
            <w:tcW w:w="1560" w:type="dxa"/>
            <w:vAlign w:val="bottom"/>
            <w:vMerge w:val="continue"/>
            <w:shd w:val="clear" w:color="auto" w:fill="F1F2F2"/>
          </w:tcPr>
          <w:p>
            <w:pPr>
              <w:spacing w:after="0"/>
              <w:rPr>
                <w:sz w:val="24"/>
                <w:szCs w:val="24"/>
                <w:color w:val="auto"/>
              </w:rPr>
            </w:pPr>
          </w:p>
        </w:tc>
        <w:tc>
          <w:tcPr>
            <w:tcW w:w="320" w:type="dxa"/>
            <w:vAlign w:val="bottom"/>
            <w:gridSpan w:val="2"/>
            <w:vMerge w:val="continue"/>
            <w:shd w:val="clear" w:color="auto" w:fill="F1F2F2"/>
          </w:tcPr>
          <w:p>
            <w:pPr>
              <w:spacing w:after="0"/>
              <w:rPr>
                <w:sz w:val="24"/>
                <w:szCs w:val="24"/>
                <w:color w:val="auto"/>
              </w:rPr>
            </w:pPr>
          </w:p>
        </w:tc>
        <w:tc>
          <w:tcPr>
            <w:tcW w:w="640" w:type="dxa"/>
            <w:vAlign w:val="bottom"/>
            <w:shd w:val="clear" w:color="auto" w:fill="F1F2F2"/>
          </w:tcPr>
          <w:p>
            <w:pPr>
              <w:spacing w:after="0"/>
              <w:rPr>
                <w:sz w:val="24"/>
                <w:szCs w:val="24"/>
                <w:color w:val="auto"/>
              </w:rPr>
            </w:pPr>
          </w:p>
        </w:tc>
        <w:tc>
          <w:tcPr>
            <w:tcW w:w="800" w:type="dxa"/>
            <w:vAlign w:val="bottom"/>
            <w:shd w:val="clear" w:color="auto" w:fill="F1F2F2"/>
          </w:tcPr>
          <w:p>
            <w:pPr>
              <w:spacing w:after="0"/>
              <w:rPr>
                <w:sz w:val="24"/>
                <w:szCs w:val="24"/>
                <w:color w:val="auto"/>
              </w:rPr>
            </w:pPr>
          </w:p>
        </w:tc>
        <w:tc>
          <w:tcPr>
            <w:tcW w:w="220" w:type="dxa"/>
            <w:vAlign w:val="bottom"/>
            <w:shd w:val="clear" w:color="auto" w:fill="F1F2F2"/>
          </w:tcPr>
          <w:p>
            <w:pPr>
              <w:spacing w:after="0"/>
              <w:rPr>
                <w:sz w:val="24"/>
                <w:szCs w:val="24"/>
                <w:color w:val="auto"/>
              </w:rPr>
            </w:pPr>
          </w:p>
        </w:tc>
        <w:tc>
          <w:tcPr>
            <w:tcW w:w="1680" w:type="dxa"/>
            <w:vAlign w:val="bottom"/>
            <w:gridSpan w:val="2"/>
            <w:vMerge w:val="continue"/>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1560" w:type="dxa"/>
            <w:vAlign w:val="bottom"/>
            <w:shd w:val="clear" w:color="auto" w:fill="F1F2F2"/>
          </w:tcPr>
          <w:p>
            <w:pPr>
              <w:spacing w:after="0"/>
              <w:rPr>
                <w:sz w:val="9"/>
                <w:szCs w:val="9"/>
                <w:color w:val="auto"/>
              </w:rPr>
            </w:pPr>
          </w:p>
        </w:tc>
        <w:tc>
          <w:tcPr>
            <w:tcW w:w="200" w:type="dxa"/>
            <w:vAlign w:val="bottom"/>
            <w:shd w:val="clear" w:color="auto" w:fill="F1F2F2"/>
          </w:tcPr>
          <w:p>
            <w:pPr>
              <w:spacing w:after="0"/>
              <w:rPr>
                <w:sz w:val="9"/>
                <w:szCs w:val="9"/>
                <w:color w:val="auto"/>
              </w:rPr>
            </w:pPr>
          </w:p>
        </w:tc>
        <w:tc>
          <w:tcPr>
            <w:tcW w:w="1560" w:type="dxa"/>
            <w:vAlign w:val="bottom"/>
            <w:gridSpan w:val="2"/>
            <w:vMerge w:val="continue"/>
            <w:shd w:val="clear" w:color="auto" w:fill="F1F2F2"/>
          </w:tcPr>
          <w:p>
            <w:pPr>
              <w:spacing w:after="0"/>
              <w:rPr>
                <w:sz w:val="9"/>
                <w:szCs w:val="9"/>
                <w:color w:val="auto"/>
              </w:rPr>
            </w:pPr>
          </w:p>
        </w:tc>
        <w:tc>
          <w:tcPr>
            <w:tcW w:w="220" w:type="dxa"/>
            <w:vAlign w:val="bottom"/>
            <w:shd w:val="clear" w:color="auto" w:fill="F1F2F2"/>
          </w:tcPr>
          <w:p>
            <w:pPr>
              <w:spacing w:after="0"/>
              <w:rPr>
                <w:sz w:val="9"/>
                <w:szCs w:val="9"/>
                <w:color w:val="auto"/>
              </w:rPr>
            </w:pPr>
          </w:p>
        </w:tc>
        <w:tc>
          <w:tcPr>
            <w:tcW w:w="1560" w:type="dxa"/>
            <w:vAlign w:val="bottom"/>
            <w:shd w:val="clear" w:color="auto" w:fill="F1F2F2"/>
          </w:tcPr>
          <w:p>
            <w:pPr>
              <w:spacing w:after="0"/>
              <w:rPr>
                <w:sz w:val="9"/>
                <w:szCs w:val="9"/>
                <w:color w:val="auto"/>
              </w:rPr>
            </w:pPr>
          </w:p>
        </w:tc>
        <w:tc>
          <w:tcPr>
            <w:tcW w:w="320" w:type="dxa"/>
            <w:vAlign w:val="bottom"/>
            <w:gridSpan w:val="2"/>
            <w:vMerge w:val="continue"/>
            <w:shd w:val="clear" w:color="auto" w:fill="F1F2F2"/>
          </w:tcPr>
          <w:p>
            <w:pPr>
              <w:spacing w:after="0"/>
              <w:rPr>
                <w:sz w:val="9"/>
                <w:szCs w:val="9"/>
                <w:color w:val="auto"/>
              </w:rPr>
            </w:pPr>
          </w:p>
        </w:tc>
        <w:tc>
          <w:tcPr>
            <w:tcW w:w="640" w:type="dxa"/>
            <w:vAlign w:val="bottom"/>
            <w:shd w:val="clear" w:color="auto" w:fill="F1F2F2"/>
          </w:tcPr>
          <w:p>
            <w:pPr>
              <w:spacing w:after="0"/>
              <w:rPr>
                <w:sz w:val="9"/>
                <w:szCs w:val="9"/>
                <w:color w:val="auto"/>
              </w:rPr>
            </w:pPr>
          </w:p>
        </w:tc>
        <w:tc>
          <w:tcPr>
            <w:tcW w:w="800" w:type="dxa"/>
            <w:vAlign w:val="bottom"/>
            <w:shd w:val="clear" w:color="auto" w:fill="F1F2F2"/>
          </w:tcPr>
          <w:p>
            <w:pPr>
              <w:spacing w:after="0"/>
              <w:rPr>
                <w:sz w:val="9"/>
                <w:szCs w:val="9"/>
                <w:color w:val="auto"/>
              </w:rPr>
            </w:pPr>
          </w:p>
        </w:tc>
        <w:tc>
          <w:tcPr>
            <w:tcW w:w="220" w:type="dxa"/>
            <w:vAlign w:val="bottom"/>
            <w:shd w:val="clear" w:color="auto" w:fill="F1F2F2"/>
          </w:tcPr>
          <w:p>
            <w:pPr>
              <w:spacing w:after="0"/>
              <w:rPr>
                <w:sz w:val="9"/>
                <w:szCs w:val="9"/>
                <w:color w:val="auto"/>
              </w:rPr>
            </w:pPr>
          </w:p>
        </w:tc>
        <w:tc>
          <w:tcPr>
            <w:tcW w:w="1680" w:type="dxa"/>
            <w:vAlign w:val="bottom"/>
            <w:gridSpan w:val="2"/>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560" w:type="dxa"/>
            <w:vAlign w:val="bottom"/>
            <w:shd w:val="clear" w:color="auto" w:fill="F1F2F2"/>
          </w:tcPr>
          <w:p>
            <w:pPr>
              <w:spacing w:after="0"/>
              <w:rPr>
                <w:sz w:val="6"/>
                <w:szCs w:val="6"/>
                <w:color w:val="auto"/>
              </w:rPr>
            </w:pPr>
          </w:p>
        </w:tc>
        <w:tc>
          <w:tcPr>
            <w:tcW w:w="200" w:type="dxa"/>
            <w:vAlign w:val="bottom"/>
            <w:shd w:val="clear" w:color="auto" w:fill="F1F2F2"/>
          </w:tcPr>
          <w:p>
            <w:pPr>
              <w:spacing w:after="0"/>
              <w:rPr>
                <w:sz w:val="6"/>
                <w:szCs w:val="6"/>
                <w:color w:val="auto"/>
              </w:rPr>
            </w:pPr>
          </w:p>
        </w:tc>
        <w:tc>
          <w:tcPr>
            <w:tcW w:w="20" w:type="dxa"/>
            <w:vAlign w:val="bottom"/>
            <w:shd w:val="clear" w:color="auto" w:fill="F1F2F2"/>
          </w:tcPr>
          <w:p>
            <w:pPr>
              <w:spacing w:after="0"/>
              <w:rPr>
                <w:sz w:val="6"/>
                <w:szCs w:val="6"/>
                <w:color w:val="auto"/>
              </w:rPr>
            </w:pPr>
          </w:p>
        </w:tc>
        <w:tc>
          <w:tcPr>
            <w:tcW w:w="1540" w:type="dxa"/>
            <w:vAlign w:val="bottom"/>
            <w:shd w:val="clear" w:color="auto" w:fill="F1F2F2"/>
          </w:tcPr>
          <w:p>
            <w:pPr>
              <w:spacing w:after="0"/>
              <w:rPr>
                <w:sz w:val="6"/>
                <w:szCs w:val="6"/>
                <w:color w:val="auto"/>
              </w:rPr>
            </w:pPr>
          </w:p>
        </w:tc>
        <w:tc>
          <w:tcPr>
            <w:tcW w:w="220" w:type="dxa"/>
            <w:vAlign w:val="bottom"/>
            <w:shd w:val="clear" w:color="auto" w:fill="F1F2F2"/>
          </w:tcPr>
          <w:p>
            <w:pPr>
              <w:spacing w:after="0"/>
              <w:rPr>
                <w:sz w:val="6"/>
                <w:szCs w:val="6"/>
                <w:color w:val="auto"/>
              </w:rPr>
            </w:pPr>
          </w:p>
        </w:tc>
        <w:tc>
          <w:tcPr>
            <w:tcW w:w="1560" w:type="dxa"/>
            <w:vAlign w:val="bottom"/>
            <w:shd w:val="clear" w:color="auto" w:fill="F1F2F2"/>
          </w:tcPr>
          <w:p>
            <w:pPr>
              <w:spacing w:after="0"/>
              <w:rPr>
                <w:sz w:val="6"/>
                <w:szCs w:val="6"/>
                <w:color w:val="auto"/>
              </w:rPr>
            </w:pPr>
          </w:p>
        </w:tc>
        <w:tc>
          <w:tcPr>
            <w:tcW w:w="200" w:type="dxa"/>
            <w:vAlign w:val="bottom"/>
            <w:shd w:val="clear" w:color="auto" w:fill="F1F2F2"/>
          </w:tcPr>
          <w:p>
            <w:pPr>
              <w:spacing w:after="0"/>
              <w:rPr>
                <w:sz w:val="6"/>
                <w:szCs w:val="6"/>
                <w:color w:val="auto"/>
              </w:rPr>
            </w:pPr>
          </w:p>
        </w:tc>
        <w:tc>
          <w:tcPr>
            <w:tcW w:w="120" w:type="dxa"/>
            <w:vAlign w:val="bottom"/>
            <w:shd w:val="clear" w:color="auto" w:fill="F1F2F2"/>
          </w:tcPr>
          <w:p>
            <w:pPr>
              <w:spacing w:after="0"/>
              <w:rPr>
                <w:sz w:val="6"/>
                <w:szCs w:val="6"/>
                <w:color w:val="auto"/>
              </w:rPr>
            </w:pPr>
          </w:p>
        </w:tc>
        <w:tc>
          <w:tcPr>
            <w:tcW w:w="640" w:type="dxa"/>
            <w:vAlign w:val="bottom"/>
            <w:shd w:val="clear" w:color="auto" w:fill="F1F2F2"/>
          </w:tcPr>
          <w:p>
            <w:pPr>
              <w:spacing w:after="0"/>
              <w:rPr>
                <w:sz w:val="6"/>
                <w:szCs w:val="6"/>
                <w:color w:val="auto"/>
              </w:rPr>
            </w:pPr>
          </w:p>
        </w:tc>
        <w:tc>
          <w:tcPr>
            <w:tcW w:w="800" w:type="dxa"/>
            <w:vAlign w:val="bottom"/>
            <w:shd w:val="clear" w:color="auto" w:fill="F1F2F2"/>
          </w:tcPr>
          <w:p>
            <w:pPr>
              <w:spacing w:after="0"/>
              <w:rPr>
                <w:sz w:val="6"/>
                <w:szCs w:val="6"/>
                <w:color w:val="auto"/>
              </w:rPr>
            </w:pPr>
          </w:p>
        </w:tc>
        <w:tc>
          <w:tcPr>
            <w:tcW w:w="220" w:type="dxa"/>
            <w:vAlign w:val="bottom"/>
            <w:shd w:val="clear" w:color="auto" w:fill="F1F2F2"/>
          </w:tcPr>
          <w:p>
            <w:pPr>
              <w:spacing w:after="0"/>
              <w:rPr>
                <w:sz w:val="6"/>
                <w:szCs w:val="6"/>
                <w:color w:val="auto"/>
              </w:rPr>
            </w:pPr>
          </w:p>
        </w:tc>
        <w:tc>
          <w:tcPr>
            <w:tcW w:w="1560" w:type="dxa"/>
            <w:vAlign w:val="bottom"/>
            <w:shd w:val="clear" w:color="auto" w:fill="F1F2F2"/>
          </w:tcPr>
          <w:p>
            <w:pPr>
              <w:spacing w:after="0"/>
              <w:rPr>
                <w:sz w:val="6"/>
                <w:szCs w:val="6"/>
                <w:color w:val="auto"/>
              </w:rPr>
            </w:pPr>
          </w:p>
        </w:tc>
        <w:tc>
          <w:tcPr>
            <w:tcW w:w="120" w:type="dxa"/>
            <w:vAlign w:val="bottom"/>
            <w:shd w:val="clear" w:color="auto" w:fill="F1F2F2"/>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F0533D"/>
              </w:rPr>
              <w:t>INTERNET</w:t>
            </w:r>
          </w:p>
        </w:tc>
        <w:tc>
          <w:tcPr>
            <w:tcW w:w="200" w:type="dxa"/>
            <w:vAlign w:val="bottom"/>
            <w:shd w:val="clear" w:color="auto" w:fill="F1F2F2"/>
          </w:tcPr>
          <w:p>
            <w:pPr>
              <w:spacing w:after="0"/>
              <w:rPr>
                <w:sz w:val="17"/>
                <w:szCs w:val="17"/>
                <w:color w:val="auto"/>
              </w:rPr>
            </w:pPr>
          </w:p>
        </w:tc>
        <w:tc>
          <w:tcPr>
            <w:tcW w:w="20" w:type="dxa"/>
            <w:vAlign w:val="bottom"/>
            <w:shd w:val="clear" w:color="auto" w:fill="F1F2F2"/>
          </w:tcPr>
          <w:p>
            <w:pPr>
              <w:spacing w:after="0"/>
              <w:rPr>
                <w:sz w:val="17"/>
                <w:szCs w:val="17"/>
                <w:color w:val="auto"/>
              </w:rPr>
            </w:pPr>
          </w:p>
        </w:tc>
        <w:tc>
          <w:tcPr>
            <w:tcW w:w="1540" w:type="dxa"/>
            <w:vAlign w:val="bottom"/>
            <w:vMerge w:val="restart"/>
            <w:shd w:val="clear" w:color="auto" w:fill="F1F2F2"/>
          </w:tcPr>
          <w:p>
            <w:pPr>
              <w:jc w:val="center"/>
              <w:spacing w:after="0"/>
              <w:rPr>
                <w:sz w:val="20"/>
                <w:szCs w:val="20"/>
                <w:color w:val="auto"/>
              </w:rPr>
            </w:pPr>
            <w:r>
              <w:rPr>
                <w:rFonts w:ascii="Arial" w:cs="Arial" w:eastAsia="Arial" w:hAnsi="Arial"/>
                <w:sz w:val="16"/>
                <w:szCs w:val="16"/>
                <w:b w:val="1"/>
                <w:bCs w:val="1"/>
                <w:color w:val="F0533D"/>
              </w:rPr>
              <w:t>PHONE</w:t>
            </w:r>
          </w:p>
        </w:tc>
        <w:tc>
          <w:tcPr>
            <w:tcW w:w="220" w:type="dxa"/>
            <w:vAlign w:val="bottom"/>
            <w:shd w:val="clear" w:color="auto" w:fill="F1F2F2"/>
          </w:tcPr>
          <w:p>
            <w:pPr>
              <w:spacing w:after="0"/>
              <w:rPr>
                <w:sz w:val="17"/>
                <w:szCs w:val="17"/>
                <w:color w:val="auto"/>
              </w:rPr>
            </w:pPr>
          </w:p>
        </w:tc>
        <w:tc>
          <w:tcPr>
            <w:tcW w:w="1560" w:type="dxa"/>
            <w:vAlign w:val="bottom"/>
            <w:vMerge w:val="restart"/>
            <w:shd w:val="clear" w:color="auto" w:fill="F1F2F2"/>
          </w:tcPr>
          <w:p>
            <w:pPr>
              <w:jc w:val="center"/>
              <w:spacing w:after="0"/>
              <w:rPr>
                <w:sz w:val="20"/>
                <w:szCs w:val="20"/>
                <w:color w:val="auto"/>
              </w:rPr>
            </w:pPr>
            <w:r>
              <w:rPr>
                <w:rFonts w:ascii="Arial" w:cs="Arial" w:eastAsia="Arial" w:hAnsi="Arial"/>
                <w:sz w:val="16"/>
                <w:szCs w:val="16"/>
                <w:b w:val="1"/>
                <w:bCs w:val="1"/>
                <w:color w:val="F0533D"/>
              </w:rPr>
              <w:t>MAIL</w:t>
            </w:r>
          </w:p>
        </w:tc>
        <w:tc>
          <w:tcPr>
            <w:tcW w:w="200" w:type="dxa"/>
            <w:vAlign w:val="bottom"/>
            <w:shd w:val="clear" w:color="auto" w:fill="F1F2F2"/>
          </w:tcPr>
          <w:p>
            <w:pPr>
              <w:spacing w:after="0"/>
              <w:rPr>
                <w:sz w:val="17"/>
                <w:szCs w:val="17"/>
                <w:color w:val="auto"/>
              </w:rPr>
            </w:pPr>
          </w:p>
        </w:tc>
        <w:tc>
          <w:tcPr>
            <w:tcW w:w="120" w:type="dxa"/>
            <w:vAlign w:val="bottom"/>
            <w:shd w:val="clear" w:color="auto" w:fill="F1F2F2"/>
          </w:tcPr>
          <w:p>
            <w:pPr>
              <w:spacing w:after="0"/>
              <w:rPr>
                <w:sz w:val="17"/>
                <w:szCs w:val="17"/>
                <w:color w:val="auto"/>
              </w:rPr>
            </w:pPr>
          </w:p>
        </w:tc>
        <w:tc>
          <w:tcPr>
            <w:tcW w:w="1440" w:type="dxa"/>
            <w:vAlign w:val="bottom"/>
            <w:gridSpan w:val="2"/>
            <w:vMerge w:val="restart"/>
            <w:shd w:val="clear" w:color="auto" w:fill="F1F2F2"/>
          </w:tcPr>
          <w:p>
            <w:pPr>
              <w:jc w:val="center"/>
              <w:ind w:right="30"/>
              <w:spacing w:after="0"/>
              <w:rPr>
                <w:sz w:val="20"/>
                <w:szCs w:val="20"/>
                <w:color w:val="auto"/>
              </w:rPr>
            </w:pPr>
            <w:r>
              <w:rPr>
                <w:rFonts w:ascii="Arial" w:cs="Arial" w:eastAsia="Arial" w:hAnsi="Arial"/>
                <w:sz w:val="16"/>
                <w:szCs w:val="16"/>
                <w:b w:val="1"/>
                <w:bCs w:val="1"/>
                <w:color w:val="F0533D"/>
              </w:rPr>
              <w:t>MOBILE DEVICE</w:t>
            </w:r>
          </w:p>
        </w:tc>
        <w:tc>
          <w:tcPr>
            <w:tcW w:w="220" w:type="dxa"/>
            <w:vAlign w:val="bottom"/>
            <w:shd w:val="clear" w:color="auto" w:fill="F1F2F2"/>
          </w:tcPr>
          <w:p>
            <w:pPr>
              <w:spacing w:after="0"/>
              <w:rPr>
                <w:sz w:val="17"/>
                <w:szCs w:val="17"/>
                <w:color w:val="auto"/>
              </w:rPr>
            </w:pPr>
          </w:p>
        </w:tc>
        <w:tc>
          <w:tcPr>
            <w:tcW w:w="1680" w:type="dxa"/>
            <w:vAlign w:val="bottom"/>
            <w:gridSpan w:val="2"/>
            <w:vMerge w:val="restart"/>
            <w:shd w:val="clear" w:color="auto" w:fill="F1F2F2"/>
          </w:tcPr>
          <w:p>
            <w:pPr>
              <w:jc w:val="center"/>
              <w:ind w:right="120"/>
              <w:spacing w:after="0"/>
              <w:rPr>
                <w:sz w:val="20"/>
                <w:szCs w:val="20"/>
                <w:color w:val="auto"/>
              </w:rPr>
            </w:pPr>
            <w:r>
              <w:rPr>
                <w:rFonts w:ascii="Arial" w:cs="Arial" w:eastAsia="Arial" w:hAnsi="Arial"/>
                <w:sz w:val="16"/>
                <w:szCs w:val="16"/>
                <w:b w:val="1"/>
                <w:bCs w:val="1"/>
                <w:color w:val="F0533D"/>
              </w:rPr>
              <w:t>LIVE</w:t>
            </w: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0" w:type="dxa"/>
            <w:vAlign w:val="bottom"/>
            <w:tcBorders>
              <w:bottom w:val="single" w:sz="8" w:color="F1F2F2"/>
            </w:tcBorders>
            <w:shd w:val="clear" w:color="auto" w:fill="F1F2F2"/>
          </w:tcPr>
          <w:p>
            <w:pPr>
              <w:spacing w:after="0"/>
              <w:rPr>
                <w:sz w:val="9"/>
                <w:szCs w:val="9"/>
                <w:color w:val="auto"/>
              </w:rPr>
            </w:pPr>
          </w:p>
        </w:tc>
        <w:tc>
          <w:tcPr>
            <w:tcW w:w="20" w:type="dxa"/>
            <w:vAlign w:val="bottom"/>
            <w:tcBorders>
              <w:bottom w:val="single" w:sz="8" w:color="F1F2F2"/>
            </w:tcBorders>
            <w:shd w:val="clear" w:color="auto" w:fill="F1F2F2"/>
          </w:tcPr>
          <w:p>
            <w:pPr>
              <w:spacing w:after="0"/>
              <w:rPr>
                <w:sz w:val="9"/>
                <w:szCs w:val="9"/>
                <w:color w:val="auto"/>
              </w:rPr>
            </w:pPr>
          </w:p>
        </w:tc>
        <w:tc>
          <w:tcPr>
            <w:tcW w:w="1540" w:type="dxa"/>
            <w:vAlign w:val="bottom"/>
            <w:tcBorders>
              <w:bottom w:val="single" w:sz="8" w:color="F1F2F2"/>
            </w:tcBorders>
            <w:vMerge w:val="continue"/>
            <w:shd w:val="clear" w:color="auto" w:fill="F1F2F2"/>
          </w:tcPr>
          <w:p>
            <w:pPr>
              <w:spacing w:after="0"/>
              <w:rPr>
                <w:sz w:val="9"/>
                <w:szCs w:val="9"/>
                <w:color w:val="auto"/>
              </w:rPr>
            </w:pPr>
          </w:p>
        </w:tc>
        <w:tc>
          <w:tcPr>
            <w:tcW w:w="220" w:type="dxa"/>
            <w:vAlign w:val="bottom"/>
            <w:tcBorders>
              <w:bottom w:val="single" w:sz="8" w:color="F1F2F2"/>
            </w:tcBorders>
            <w:shd w:val="clear" w:color="auto" w:fill="F1F2F2"/>
          </w:tcPr>
          <w:p>
            <w:pPr>
              <w:spacing w:after="0"/>
              <w:rPr>
                <w:sz w:val="9"/>
                <w:szCs w:val="9"/>
                <w:color w:val="auto"/>
              </w:rPr>
            </w:pPr>
          </w:p>
        </w:tc>
        <w:tc>
          <w:tcPr>
            <w:tcW w:w="1560" w:type="dxa"/>
            <w:vAlign w:val="bottom"/>
            <w:tcBorders>
              <w:bottom w:val="single" w:sz="8" w:color="F1F2F2"/>
            </w:tcBorders>
            <w:vMerge w:val="continue"/>
            <w:shd w:val="clear" w:color="auto" w:fill="F1F2F2"/>
          </w:tcPr>
          <w:p>
            <w:pPr>
              <w:spacing w:after="0"/>
              <w:rPr>
                <w:sz w:val="9"/>
                <w:szCs w:val="9"/>
                <w:color w:val="auto"/>
              </w:rPr>
            </w:pPr>
          </w:p>
        </w:tc>
        <w:tc>
          <w:tcPr>
            <w:tcW w:w="200" w:type="dxa"/>
            <w:vAlign w:val="bottom"/>
            <w:tcBorders>
              <w:bottom w:val="single" w:sz="8" w:color="F1F2F2"/>
            </w:tcBorders>
            <w:shd w:val="clear" w:color="auto" w:fill="F1F2F2"/>
          </w:tcPr>
          <w:p>
            <w:pPr>
              <w:spacing w:after="0"/>
              <w:rPr>
                <w:sz w:val="9"/>
                <w:szCs w:val="9"/>
                <w:color w:val="auto"/>
              </w:rPr>
            </w:pPr>
          </w:p>
        </w:tc>
        <w:tc>
          <w:tcPr>
            <w:tcW w:w="120" w:type="dxa"/>
            <w:vAlign w:val="bottom"/>
            <w:tcBorders>
              <w:bottom w:val="single" w:sz="8" w:color="F1F2F2"/>
            </w:tcBorders>
            <w:shd w:val="clear" w:color="auto" w:fill="F1F2F2"/>
          </w:tcPr>
          <w:p>
            <w:pPr>
              <w:spacing w:after="0"/>
              <w:rPr>
                <w:sz w:val="9"/>
                <w:szCs w:val="9"/>
                <w:color w:val="auto"/>
              </w:rPr>
            </w:pPr>
          </w:p>
        </w:tc>
        <w:tc>
          <w:tcPr>
            <w:tcW w:w="1440" w:type="dxa"/>
            <w:vAlign w:val="bottom"/>
            <w:tcBorders>
              <w:bottom w:val="single" w:sz="8" w:color="F1F2F2"/>
            </w:tcBorders>
            <w:gridSpan w:val="2"/>
            <w:vMerge w:val="continue"/>
            <w:shd w:val="clear" w:color="auto" w:fill="F1F2F2"/>
          </w:tcPr>
          <w:p>
            <w:pPr>
              <w:spacing w:after="0"/>
              <w:rPr>
                <w:sz w:val="9"/>
                <w:szCs w:val="9"/>
                <w:color w:val="auto"/>
              </w:rPr>
            </w:pPr>
          </w:p>
        </w:tc>
        <w:tc>
          <w:tcPr>
            <w:tcW w:w="220" w:type="dxa"/>
            <w:vAlign w:val="bottom"/>
            <w:tcBorders>
              <w:bottom w:val="single" w:sz="8" w:color="F1F2F2"/>
            </w:tcBorders>
            <w:shd w:val="clear" w:color="auto" w:fill="F1F2F2"/>
          </w:tcPr>
          <w:p>
            <w:pPr>
              <w:spacing w:after="0"/>
              <w:rPr>
                <w:sz w:val="9"/>
                <w:szCs w:val="9"/>
                <w:color w:val="auto"/>
              </w:rPr>
            </w:pPr>
          </w:p>
        </w:tc>
        <w:tc>
          <w:tcPr>
            <w:tcW w:w="1680" w:type="dxa"/>
            <w:vAlign w:val="bottom"/>
            <w:tcBorders>
              <w:bottom w:val="single" w:sz="8" w:color="F1F2F2"/>
            </w:tcBorders>
            <w:gridSpan w:val="2"/>
            <w:vMerge w:val="continue"/>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1560" w:type="dxa"/>
            <w:vAlign w:val="bottom"/>
            <w:tcBorders>
              <w:top w:val="single" w:sz="8" w:color="F0533D"/>
            </w:tcBorders>
          </w:tcPr>
          <w:p>
            <w:pPr>
              <w:jc w:val="center"/>
              <w:spacing w:after="0"/>
              <w:rPr>
                <w:sz w:val="20"/>
                <w:szCs w:val="20"/>
                <w:color w:val="auto"/>
              </w:rPr>
            </w:pPr>
            <w:r>
              <w:rPr>
                <w:rFonts w:ascii="Arial" w:cs="Arial" w:eastAsia="Arial" w:hAnsi="Arial"/>
                <w:sz w:val="14"/>
                <w:szCs w:val="14"/>
                <w:color w:val="auto"/>
              </w:rPr>
              <w:t>Go to</w:t>
            </w:r>
          </w:p>
        </w:tc>
        <w:tc>
          <w:tcPr>
            <w:tcW w:w="200" w:type="dxa"/>
            <w:vAlign w:val="bottom"/>
            <w:tcBorders>
              <w:top w:val="single" w:sz="8" w:color="F1F2F2"/>
            </w:tcBorders>
          </w:tcPr>
          <w:p>
            <w:pPr>
              <w:spacing w:after="0"/>
              <w:rPr>
                <w:sz w:val="16"/>
                <w:szCs w:val="16"/>
                <w:color w:val="auto"/>
              </w:rPr>
            </w:pPr>
          </w:p>
        </w:tc>
        <w:tc>
          <w:tcPr>
            <w:tcW w:w="20" w:type="dxa"/>
            <w:vAlign w:val="bottom"/>
            <w:tcBorders>
              <w:top w:val="single" w:sz="8" w:color="F1F2F2"/>
            </w:tcBorders>
          </w:tcPr>
          <w:p>
            <w:pPr>
              <w:spacing w:after="0"/>
              <w:rPr>
                <w:sz w:val="16"/>
                <w:szCs w:val="16"/>
                <w:color w:val="auto"/>
              </w:rPr>
            </w:pPr>
          </w:p>
        </w:tc>
        <w:tc>
          <w:tcPr>
            <w:tcW w:w="1540" w:type="dxa"/>
            <w:vAlign w:val="bottom"/>
            <w:tcBorders>
              <w:top w:val="single" w:sz="8" w:color="F0533D"/>
            </w:tcBorders>
          </w:tcPr>
          <w:p>
            <w:pPr>
              <w:jc w:val="center"/>
              <w:spacing w:after="0"/>
              <w:rPr>
                <w:sz w:val="20"/>
                <w:szCs w:val="20"/>
                <w:color w:val="auto"/>
              </w:rPr>
            </w:pPr>
            <w:r>
              <w:rPr>
                <w:rFonts w:ascii="Arial" w:cs="Arial" w:eastAsia="Arial" w:hAnsi="Arial"/>
                <w:sz w:val="14"/>
                <w:szCs w:val="14"/>
                <w:color w:val="auto"/>
              </w:rPr>
              <w:t>Call toll-free, 24/7</w:t>
            </w:r>
          </w:p>
        </w:tc>
        <w:tc>
          <w:tcPr>
            <w:tcW w:w="220" w:type="dxa"/>
            <w:vAlign w:val="bottom"/>
            <w:tcBorders>
              <w:top w:val="single" w:sz="8" w:color="F1F2F2"/>
            </w:tcBorders>
          </w:tcPr>
          <w:p>
            <w:pPr>
              <w:spacing w:after="0"/>
              <w:rPr>
                <w:sz w:val="16"/>
                <w:szCs w:val="16"/>
                <w:color w:val="auto"/>
              </w:rPr>
            </w:pPr>
          </w:p>
        </w:tc>
        <w:tc>
          <w:tcPr>
            <w:tcW w:w="1560" w:type="dxa"/>
            <w:vAlign w:val="bottom"/>
            <w:tcBorders>
              <w:top w:val="single" w:sz="8" w:color="F0533D"/>
            </w:tcBorders>
          </w:tcPr>
          <w:p>
            <w:pPr>
              <w:jc w:val="center"/>
              <w:spacing w:after="0"/>
              <w:rPr>
                <w:sz w:val="20"/>
                <w:szCs w:val="20"/>
                <w:color w:val="auto"/>
              </w:rPr>
            </w:pPr>
            <w:r>
              <w:rPr>
                <w:rFonts w:ascii="Arial" w:cs="Arial" w:eastAsia="Arial" w:hAnsi="Arial"/>
                <w:sz w:val="14"/>
                <w:szCs w:val="14"/>
                <w:color w:val="auto"/>
              </w:rPr>
              <w:t>Complete, date and</w:t>
            </w:r>
          </w:p>
        </w:tc>
        <w:tc>
          <w:tcPr>
            <w:tcW w:w="200" w:type="dxa"/>
            <w:vAlign w:val="bottom"/>
            <w:tcBorders>
              <w:top w:val="single" w:sz="8" w:color="F1F2F2"/>
            </w:tcBorders>
          </w:tcPr>
          <w:p>
            <w:pPr>
              <w:spacing w:after="0"/>
              <w:rPr>
                <w:sz w:val="16"/>
                <w:szCs w:val="16"/>
                <w:color w:val="auto"/>
              </w:rPr>
            </w:pPr>
          </w:p>
        </w:tc>
        <w:tc>
          <w:tcPr>
            <w:tcW w:w="120" w:type="dxa"/>
            <w:vAlign w:val="bottom"/>
            <w:tcBorders>
              <w:top w:val="single" w:sz="8" w:color="F0533D"/>
            </w:tcBorders>
          </w:tcPr>
          <w:p>
            <w:pPr>
              <w:spacing w:after="0"/>
              <w:rPr>
                <w:sz w:val="16"/>
                <w:szCs w:val="16"/>
                <w:color w:val="auto"/>
              </w:rPr>
            </w:pPr>
          </w:p>
        </w:tc>
        <w:tc>
          <w:tcPr>
            <w:tcW w:w="1440" w:type="dxa"/>
            <w:vAlign w:val="bottom"/>
            <w:tcBorders>
              <w:top w:val="single" w:sz="8" w:color="F0533D"/>
            </w:tcBorders>
            <w:gridSpan w:val="2"/>
          </w:tcPr>
          <w:p>
            <w:pPr>
              <w:jc w:val="center"/>
              <w:ind w:right="50"/>
              <w:spacing w:after="0"/>
              <w:rPr>
                <w:sz w:val="20"/>
                <w:szCs w:val="20"/>
                <w:color w:val="auto"/>
              </w:rPr>
            </w:pPr>
            <w:r>
              <w:rPr>
                <w:rFonts w:ascii="Arial" w:cs="Arial" w:eastAsia="Arial" w:hAnsi="Arial"/>
                <w:sz w:val="14"/>
                <w:szCs w:val="14"/>
                <w:color w:val="auto"/>
              </w:rPr>
              <w:t>Scan the QR code</w:t>
            </w:r>
          </w:p>
        </w:tc>
        <w:tc>
          <w:tcPr>
            <w:tcW w:w="220" w:type="dxa"/>
            <w:vAlign w:val="bottom"/>
            <w:tcBorders>
              <w:top w:val="single" w:sz="8" w:color="F1F2F2"/>
            </w:tcBorders>
          </w:tcPr>
          <w:p>
            <w:pPr>
              <w:spacing w:after="0"/>
              <w:rPr>
                <w:sz w:val="16"/>
                <w:szCs w:val="16"/>
                <w:color w:val="auto"/>
              </w:rPr>
            </w:pPr>
          </w:p>
        </w:tc>
        <w:tc>
          <w:tcPr>
            <w:tcW w:w="1560" w:type="dxa"/>
            <w:vAlign w:val="bottom"/>
            <w:tcBorders>
              <w:top w:val="single" w:sz="8" w:color="F0533D"/>
            </w:tcBorders>
          </w:tcPr>
          <w:p>
            <w:pPr>
              <w:jc w:val="center"/>
              <w:spacing w:after="0"/>
              <w:rPr>
                <w:sz w:val="20"/>
                <w:szCs w:val="20"/>
                <w:color w:val="auto"/>
              </w:rPr>
            </w:pPr>
            <w:r>
              <w:rPr>
                <w:rFonts w:ascii="Arial" w:cs="Arial" w:eastAsia="Arial" w:hAnsi="Arial"/>
                <w:sz w:val="14"/>
                <w:szCs w:val="14"/>
                <w:color w:val="auto"/>
              </w:rPr>
              <w:t>Attend the Annual</w:t>
            </w:r>
          </w:p>
        </w:tc>
        <w:tc>
          <w:tcPr>
            <w:tcW w:w="120" w:type="dxa"/>
            <w:vAlign w:val="bottom"/>
            <w:tcBorders>
              <w:top w:val="single" w:sz="8" w:color="F1F2F2"/>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4"/>
                <w:szCs w:val="14"/>
                <w:b w:val="1"/>
                <w:bCs w:val="1"/>
                <w:i w:val="1"/>
                <w:iCs w:val="1"/>
                <w:color w:val="auto"/>
              </w:rPr>
              <w:t>www.proxyvote.com</w:t>
            </w:r>
            <w:r>
              <w:rPr>
                <w:rFonts w:ascii="Arial" w:cs="Arial" w:eastAsia="Arial" w:hAnsi="Arial"/>
                <w:sz w:val="14"/>
                <w:szCs w:val="14"/>
                <w:color w:val="auto"/>
              </w:rPr>
              <w:t>,</w:t>
            </w: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rPr>
              <w:t>1-800-690-6903</w:t>
            </w:r>
          </w:p>
        </w:tc>
        <w:tc>
          <w:tcPr>
            <w:tcW w:w="2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sign your proxy card or</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rPr>
              <w:t>Meeting virtually and</w:t>
            </w:r>
          </w:p>
        </w:tc>
        <w:tc>
          <w:tcPr>
            <w:tcW w:w="0" w:type="dxa"/>
            <w:vAlign w:val="bottom"/>
          </w:tcPr>
          <w:p>
            <w:pPr>
              <w:spacing w:after="0"/>
              <w:rPr>
                <w:sz w:val="1"/>
                <w:szCs w:val="1"/>
                <w:color w:val="auto"/>
              </w:rPr>
            </w:pPr>
          </w:p>
        </w:tc>
      </w:tr>
      <w:tr>
        <w:trPr>
          <w:trHeight w:val="176"/>
        </w:trPr>
        <w:tc>
          <w:tcPr>
            <w:tcW w:w="1660" w:type="dxa"/>
            <w:vAlign w:val="bottom"/>
            <w:gridSpan w:val="2"/>
          </w:tcPr>
          <w:p>
            <w:pPr>
              <w:jc w:val="center"/>
              <w:ind w:left="28"/>
              <w:spacing w:after="0"/>
              <w:rPr>
                <w:sz w:val="20"/>
                <w:szCs w:val="20"/>
                <w:color w:val="auto"/>
              </w:rPr>
            </w:pPr>
            <w:r>
              <w:rPr>
                <w:rFonts w:ascii="Arial" w:cs="Arial" w:eastAsia="Arial" w:hAnsi="Arial"/>
                <w:sz w:val="14"/>
                <w:szCs w:val="14"/>
                <w:color w:val="auto"/>
              </w:rPr>
              <w:t>24/7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voting instruction form</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color w:val="auto"/>
              </w:rPr>
              <w:t>cast your ballot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-1348105</wp:posOffset>
            </wp:positionV>
            <wp:extent cx="5623560" cy="180022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5623560" cy="1800225"/>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14"/>
          <w:szCs w:val="14"/>
          <w:color w:val="auto"/>
        </w:rPr>
        <w:t>and mail in the postage-</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paid envelope</w:t>
      </w:r>
    </w:p>
    <w:p>
      <w:pPr>
        <w:spacing w:after="0" w:line="163" w:lineRule="exact"/>
        <w:rPr>
          <w:sz w:val="20"/>
          <w:szCs w:val="20"/>
          <w:color w:val="auto"/>
        </w:rPr>
      </w:pPr>
    </w:p>
    <w:p>
      <w:pPr>
        <w:ind w:left="5480"/>
        <w:spacing w:after="0"/>
        <w:rPr>
          <w:sz w:val="20"/>
          <w:szCs w:val="20"/>
          <w:color w:val="auto"/>
        </w:rPr>
      </w:pPr>
      <w:r>
        <w:rPr>
          <w:rFonts w:ascii="Arial" w:cs="Arial" w:eastAsia="Arial" w:hAnsi="Arial"/>
          <w:sz w:val="14"/>
          <w:szCs w:val="14"/>
          <w:color w:val="auto"/>
        </w:rPr>
        <w:t> </w:t>
      </w:r>
    </w:p>
    <w:p>
      <w:pPr>
        <w:spacing w:after="0" w:line="234" w:lineRule="exact"/>
        <w:rPr>
          <w:sz w:val="20"/>
          <w:szCs w:val="20"/>
          <w:color w:val="auto"/>
        </w:rPr>
      </w:pPr>
    </w:p>
    <w:p>
      <w:pPr>
        <w:ind w:left="80" w:right="579"/>
        <w:spacing w:after="0" w:line="271" w:lineRule="auto"/>
        <w:rPr>
          <w:sz w:val="20"/>
          <w:szCs w:val="20"/>
          <w:color w:val="auto"/>
        </w:rPr>
      </w:pPr>
      <w:r>
        <w:rPr>
          <w:rFonts w:ascii="Arial" w:cs="Arial" w:eastAsia="Arial" w:hAnsi="Arial"/>
          <w:sz w:val="18"/>
          <w:szCs w:val="18"/>
          <w:color w:val="F0533D"/>
        </w:rPr>
        <w:t>WHETHER OR NOT YOU ATTEND THE MEETING, WE ENCOURAGE YOU TO VOTE YOUR SHARES PROMPTLY.</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FOR HOLDERS IN STREET NAME</w:t>
      </w:r>
    </w:p>
    <w:p>
      <w:pPr>
        <w:spacing w:after="0" w:line="154" w:lineRule="exact"/>
        <w:rPr>
          <w:sz w:val="20"/>
          <w:szCs w:val="20"/>
          <w:color w:val="auto"/>
        </w:rPr>
      </w:pPr>
    </w:p>
    <w:p>
      <w:pPr>
        <w:ind w:left="80" w:right="339"/>
        <w:spacing w:after="0" w:line="267" w:lineRule="auto"/>
        <w:rPr>
          <w:sz w:val="20"/>
          <w:szCs w:val="20"/>
          <w:color w:val="auto"/>
        </w:rPr>
      </w:pPr>
      <w:r>
        <w:rPr>
          <w:rFonts w:ascii="Arial" w:cs="Arial" w:eastAsia="Arial" w:hAnsi="Arial"/>
          <w:sz w:val="17"/>
          <w:szCs w:val="17"/>
          <w:color w:val="auto"/>
        </w:rPr>
        <w:t>You must timely deliver your voting instructions to your respective bank, broker or other intermediary, following the specific instructions that have been provided to you by your bank, broker or other intermediary.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175260</wp:posOffset>
            </wp:positionV>
            <wp:extent cx="213995" cy="342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97"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9.  May I change or revoke my proxy?</w:t>
      </w:r>
    </w:p>
    <w:p>
      <w:pPr>
        <w:spacing w:after="0" w:line="156" w:lineRule="exact"/>
        <w:rPr>
          <w:sz w:val="20"/>
          <w:szCs w:val="20"/>
          <w:color w:val="auto"/>
        </w:rPr>
      </w:pPr>
    </w:p>
    <w:p>
      <w:pPr>
        <w:ind w:left="80" w:right="579"/>
        <w:spacing w:after="0" w:line="267" w:lineRule="auto"/>
        <w:rPr>
          <w:sz w:val="20"/>
          <w:szCs w:val="20"/>
          <w:color w:val="auto"/>
        </w:rPr>
      </w:pPr>
      <w:r>
        <w:rPr>
          <w:rFonts w:ascii="Arial" w:cs="Arial" w:eastAsia="Arial" w:hAnsi="Arial"/>
          <w:sz w:val="17"/>
          <w:szCs w:val="17"/>
          <w:color w:val="auto"/>
        </w:rPr>
        <w:t>Yes. Whether you have submitted your proxy by Internet, telephone or mail, if you are a record owner, you may revoke your proxy or change your vote by:</w:t>
      </w:r>
    </w:p>
    <w:p>
      <w:pPr>
        <w:spacing w:after="0" w:line="51" w:lineRule="exact"/>
        <w:rPr>
          <w:sz w:val="20"/>
          <w:szCs w:val="20"/>
          <w:color w:val="auto"/>
        </w:rPr>
      </w:pPr>
    </w:p>
    <w:p>
      <w:pPr>
        <w:ind w:left="900" w:right="159" w:hanging="356"/>
        <w:spacing w:after="0" w:line="267" w:lineRule="auto"/>
        <w:tabs>
          <w:tab w:leader="none" w:pos="900" w:val="left"/>
        </w:tabs>
        <w:numPr>
          <w:ilvl w:val="0"/>
          <w:numId w:val="125"/>
        </w:numPr>
        <w:rPr>
          <w:rFonts w:ascii="Arial" w:cs="Arial" w:eastAsia="Arial" w:hAnsi="Arial"/>
          <w:sz w:val="17"/>
          <w:szCs w:val="17"/>
          <w:color w:val="F0533D"/>
        </w:rPr>
      </w:pPr>
      <w:r>
        <w:rPr>
          <w:rFonts w:ascii="Arial" w:cs="Arial" w:eastAsia="Arial" w:hAnsi="Arial"/>
          <w:sz w:val="17"/>
          <w:szCs w:val="17"/>
          <w:color w:val="auto"/>
        </w:rPr>
        <w:t>Sending a written statement that you wish to revoke your proxy to our Corporate Secretary, provided such statement is received no later than July 29, 2026;</w:t>
      </w:r>
    </w:p>
    <w:p>
      <w:pPr>
        <w:spacing w:after="0" w:line="51" w:lineRule="exact"/>
        <w:rPr>
          <w:rFonts w:ascii="Arial" w:cs="Arial" w:eastAsia="Arial" w:hAnsi="Arial"/>
          <w:sz w:val="17"/>
          <w:szCs w:val="17"/>
          <w:color w:val="F0533D"/>
        </w:rPr>
      </w:pPr>
    </w:p>
    <w:p>
      <w:pPr>
        <w:ind w:left="900" w:right="239" w:hanging="356"/>
        <w:spacing w:after="0" w:line="267" w:lineRule="auto"/>
        <w:tabs>
          <w:tab w:leader="none" w:pos="900" w:val="left"/>
        </w:tabs>
        <w:numPr>
          <w:ilvl w:val="0"/>
          <w:numId w:val="125"/>
        </w:numPr>
        <w:rPr>
          <w:rFonts w:ascii="Arial" w:cs="Arial" w:eastAsia="Arial" w:hAnsi="Arial"/>
          <w:sz w:val="17"/>
          <w:szCs w:val="17"/>
          <w:color w:val="F0533D"/>
        </w:rPr>
      </w:pPr>
      <w:r>
        <w:rPr>
          <w:rFonts w:ascii="Arial" w:cs="Arial" w:eastAsia="Arial" w:hAnsi="Arial"/>
          <w:sz w:val="17"/>
          <w:szCs w:val="17"/>
          <w:color w:val="auto"/>
        </w:rPr>
        <w:t>Voting again by Internet (</w:t>
      </w:r>
      <w:r>
        <w:rPr>
          <w:rFonts w:ascii="Arial" w:cs="Arial" w:eastAsia="Arial" w:hAnsi="Arial"/>
          <w:sz w:val="17"/>
          <w:szCs w:val="17"/>
          <w:b w:val="1"/>
          <w:bCs w:val="1"/>
          <w:i w:val="1"/>
          <w:iCs w:val="1"/>
          <w:color w:val="auto"/>
        </w:rPr>
        <w:t>www.proxyvote.com</w:t>
      </w:r>
      <w:r>
        <w:rPr>
          <w:rFonts w:ascii="Arial" w:cs="Arial" w:eastAsia="Arial" w:hAnsi="Arial"/>
          <w:sz w:val="17"/>
          <w:szCs w:val="17"/>
          <w:color w:val="auto"/>
        </w:rPr>
        <w:t>) or telephone (1-800-690-6903) at a later time before the closing of those voting facilities at 11:59 p.m. (Eastern Daylight Time) on July 29, 2026;</w:t>
      </w:r>
    </w:p>
    <w:p>
      <w:pPr>
        <w:spacing w:after="0" w:line="51" w:lineRule="exact"/>
        <w:rPr>
          <w:rFonts w:ascii="Arial" w:cs="Arial" w:eastAsia="Arial" w:hAnsi="Arial"/>
          <w:sz w:val="17"/>
          <w:szCs w:val="17"/>
          <w:color w:val="F0533D"/>
        </w:rPr>
      </w:pPr>
    </w:p>
    <w:p>
      <w:pPr>
        <w:ind w:left="900" w:hanging="356"/>
        <w:spacing w:after="0"/>
        <w:tabs>
          <w:tab w:leader="none" w:pos="900" w:val="left"/>
        </w:tabs>
        <w:numPr>
          <w:ilvl w:val="0"/>
          <w:numId w:val="125"/>
        </w:numPr>
        <w:rPr>
          <w:rFonts w:ascii="Arial" w:cs="Arial" w:eastAsia="Arial" w:hAnsi="Arial"/>
          <w:sz w:val="17"/>
          <w:szCs w:val="17"/>
          <w:color w:val="F0533D"/>
        </w:rPr>
      </w:pPr>
      <w:r>
        <w:rPr>
          <w:rFonts w:ascii="Arial" w:cs="Arial" w:eastAsia="Arial" w:hAnsi="Arial"/>
          <w:sz w:val="17"/>
          <w:szCs w:val="17"/>
          <w:color w:val="auto"/>
        </w:rPr>
        <w:t>Submitting a properly signed proxy card with a later date that is received no later than July 29, 2026; or</w:t>
      </w:r>
    </w:p>
    <w:p>
      <w:pPr>
        <w:spacing w:after="0" w:line="101" w:lineRule="exact"/>
        <w:rPr>
          <w:rFonts w:ascii="Arial" w:cs="Arial" w:eastAsia="Arial" w:hAnsi="Arial"/>
          <w:sz w:val="17"/>
          <w:szCs w:val="17"/>
          <w:color w:val="F0533D"/>
        </w:rPr>
      </w:pPr>
    </w:p>
    <w:p>
      <w:pPr>
        <w:ind w:left="900" w:right="339" w:hanging="356"/>
        <w:spacing w:after="0" w:line="267" w:lineRule="auto"/>
        <w:tabs>
          <w:tab w:leader="none" w:pos="900" w:val="left"/>
        </w:tabs>
        <w:numPr>
          <w:ilvl w:val="0"/>
          <w:numId w:val="125"/>
        </w:numPr>
        <w:rPr>
          <w:rFonts w:ascii="Arial" w:cs="Arial" w:eastAsia="Arial" w:hAnsi="Arial"/>
          <w:sz w:val="17"/>
          <w:szCs w:val="17"/>
          <w:color w:val="F0533D"/>
        </w:rPr>
      </w:pPr>
      <w:r>
        <w:rPr>
          <w:rFonts w:ascii="Arial" w:cs="Arial" w:eastAsia="Arial" w:hAnsi="Arial"/>
          <w:sz w:val="17"/>
          <w:szCs w:val="17"/>
          <w:color w:val="auto"/>
        </w:rPr>
        <w:t>Voting at the virtual-only Annual Meeting. Attendance at the meeting via the Internet will not cause your previously granted proxy to be revoked unless you specifically so request.</w:t>
      </w:r>
    </w:p>
    <w:p>
      <w:pPr>
        <w:spacing w:after="0" w:line="105" w:lineRule="exact"/>
        <w:rPr>
          <w:sz w:val="20"/>
          <w:szCs w:val="20"/>
          <w:color w:val="auto"/>
        </w:rPr>
      </w:pPr>
    </w:p>
    <w:p>
      <w:pPr>
        <w:ind w:left="80" w:right="119"/>
        <w:spacing w:after="0" w:line="249" w:lineRule="auto"/>
        <w:rPr>
          <w:sz w:val="20"/>
          <w:szCs w:val="20"/>
          <w:color w:val="auto"/>
        </w:rPr>
      </w:pPr>
      <w:r>
        <w:rPr>
          <w:rFonts w:ascii="Arial" w:cs="Arial" w:eastAsia="Arial" w:hAnsi="Arial"/>
          <w:sz w:val="17"/>
          <w:szCs w:val="17"/>
          <w:color w:val="auto"/>
        </w:rPr>
        <w:t>If you hold shares in street name, you may change your vote by submitting new voting instructions to your broker, trustee, or nominee following the instruction it has provided, or, if you have obtained a legal proxy from your broker or nominee giving you the right to vote your shares, by attending the Annual Meeting via the Internet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184785</wp:posOffset>
            </wp:positionV>
            <wp:extent cx="213995" cy="342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right="539"/>
        <w:spacing w:after="0" w:line="270" w:lineRule="auto"/>
        <w:rPr>
          <w:sz w:val="20"/>
          <w:szCs w:val="20"/>
          <w:color w:val="auto"/>
        </w:rPr>
      </w:pPr>
      <w:r>
        <w:rPr>
          <w:rFonts w:ascii="Arial" w:cs="Arial" w:eastAsia="Arial" w:hAnsi="Arial"/>
          <w:sz w:val="22"/>
          <w:szCs w:val="22"/>
          <w:b w:val="1"/>
          <w:bCs w:val="1"/>
          <w:i w:val="1"/>
          <w:iCs w:val="1"/>
          <w:color w:val="auto"/>
        </w:rPr>
        <w:t>10.  Other than the items in the Proxy Statement, what other items of business will be addressed at the Annual Meeting?</w:t>
      </w:r>
    </w:p>
    <w:p>
      <w:pPr>
        <w:spacing w:after="0" w:line="83" w:lineRule="exact"/>
        <w:rPr>
          <w:sz w:val="20"/>
          <w:szCs w:val="20"/>
          <w:color w:val="auto"/>
        </w:rPr>
      </w:pPr>
    </w:p>
    <w:p>
      <w:pPr>
        <w:ind w:left="80" w:right="119"/>
        <w:spacing w:after="0" w:line="249" w:lineRule="auto"/>
        <w:rPr>
          <w:sz w:val="20"/>
          <w:szCs w:val="20"/>
          <w:color w:val="auto"/>
        </w:rPr>
      </w:pPr>
      <w:r>
        <w:rPr>
          <w:rFonts w:ascii="Arial" w:cs="Arial" w:eastAsia="Arial" w:hAnsi="Arial"/>
          <w:sz w:val="17"/>
          <w:szCs w:val="17"/>
          <w:color w:val="auto"/>
        </w:rPr>
        <w:t>Management knows of no other matters that may be properly presented at the meeting. If other proper matters are introduced at the meeting, the individuals named as proxies on the proxy card are also authorized to vote upon those matters using their own discretion.</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2" w:name="page103"/>
    <w:bookmarkEnd w:id="10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11.  Who tabulates the votes?</w:t>
      </w:r>
    </w:p>
    <w:p>
      <w:pPr>
        <w:spacing w:after="0" w:line="156" w:lineRule="exact"/>
        <w:rPr>
          <w:sz w:val="20"/>
          <w:szCs w:val="20"/>
          <w:color w:val="auto"/>
        </w:rPr>
      </w:pPr>
    </w:p>
    <w:p>
      <w:pPr>
        <w:ind w:left="80" w:right="519"/>
        <w:spacing w:after="0" w:line="267" w:lineRule="auto"/>
        <w:rPr>
          <w:sz w:val="20"/>
          <w:szCs w:val="20"/>
          <w:color w:val="auto"/>
        </w:rPr>
      </w:pPr>
      <w:r>
        <w:rPr>
          <w:rFonts w:ascii="Arial" w:cs="Arial" w:eastAsia="Arial" w:hAnsi="Arial"/>
          <w:sz w:val="17"/>
          <w:szCs w:val="17"/>
          <w:color w:val="auto"/>
        </w:rPr>
        <w:t>Votes are counted by employees of Broadridge Financial Solutions, Inc., Kyndryl’s tabulator, and certified by the Inspector of Election (who is an agent of Broadridge Financial Solutions,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3995" cy="342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97" w:lineRule="exact"/>
        <w:rPr>
          <w:sz w:val="20"/>
          <w:szCs w:val="20"/>
          <w:color w:val="auto"/>
        </w:rPr>
      </w:pPr>
    </w:p>
    <w:p>
      <w:pPr>
        <w:ind w:left="80" w:right="679"/>
        <w:spacing w:after="0" w:line="295" w:lineRule="auto"/>
        <w:rPr>
          <w:sz w:val="20"/>
          <w:szCs w:val="20"/>
          <w:color w:val="auto"/>
        </w:rPr>
      </w:pPr>
      <w:r>
        <w:rPr>
          <w:rFonts w:ascii="Arial" w:cs="Arial" w:eastAsia="Arial" w:hAnsi="Arial"/>
          <w:sz w:val="21"/>
          <w:szCs w:val="21"/>
          <w:b w:val="1"/>
          <w:bCs w:val="1"/>
          <w:i w:val="1"/>
          <w:iCs w:val="1"/>
          <w:color w:val="auto"/>
        </w:rPr>
        <w:t>12.  I understand that a “quorum” of stockholders is required in order for Kyndryl to transact business at the Annual Meeting. What constitutes a quorum?</w:t>
      </w:r>
    </w:p>
    <w:p>
      <w:pPr>
        <w:spacing w:after="0" w:line="59"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The presence, in person or represented by proxy, of a majority of the voting power of all outstanding shares of our common stock entitled to vote at the meeting, constitutes a quorum for the transaction of business at the Annual Meeting. Abstentions and shares represented by “broker non-votes,” as described below, are counted as present and entitled to vote for purposes of determining a quorum. On the record date of June 3, 2026, there were 220,517,208 shares of the Company’s common stock outstanding, and each share is entitled to one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179705</wp:posOffset>
            </wp:positionV>
            <wp:extent cx="213995" cy="342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0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13.  What is a broker non-vote, and what is “broker discretionary voting”?</w:t>
      </w:r>
    </w:p>
    <w:p>
      <w:pPr>
        <w:spacing w:after="0" w:line="156" w:lineRule="exact"/>
        <w:rPr>
          <w:sz w:val="20"/>
          <w:szCs w:val="20"/>
          <w:color w:val="auto"/>
        </w:rPr>
      </w:pPr>
    </w:p>
    <w:p>
      <w:pPr>
        <w:ind w:left="80" w:right="659"/>
        <w:spacing w:after="0" w:line="249" w:lineRule="auto"/>
        <w:rPr>
          <w:sz w:val="20"/>
          <w:szCs w:val="20"/>
          <w:color w:val="auto"/>
        </w:rPr>
      </w:pPr>
      <w:r>
        <w:rPr>
          <w:rFonts w:ascii="Arial" w:cs="Arial" w:eastAsia="Arial" w:hAnsi="Arial"/>
          <w:sz w:val="17"/>
          <w:szCs w:val="17"/>
          <w:color w:val="auto"/>
        </w:rPr>
        <w:t>A broker non-vote occurs when shares held through a broker (shares held “in street name”) are not voted with respect to a proposal because (1) the broker has not received voting instructions from the stockholder who beneficially owns the shares, and (2) the broker lacks the authority to vote the shares at its discretion.</w:t>
      </w:r>
    </w:p>
    <w:p>
      <w:pPr>
        <w:spacing w:after="0" w:line="121" w:lineRule="exact"/>
        <w:rPr>
          <w:sz w:val="20"/>
          <w:szCs w:val="20"/>
          <w:color w:val="auto"/>
        </w:rPr>
      </w:pPr>
    </w:p>
    <w:p>
      <w:pPr>
        <w:ind w:left="80" w:right="139"/>
        <w:spacing w:after="0" w:line="238" w:lineRule="auto"/>
        <w:rPr>
          <w:sz w:val="20"/>
          <w:szCs w:val="20"/>
          <w:color w:val="auto"/>
        </w:rPr>
      </w:pPr>
      <w:r>
        <w:rPr>
          <w:rFonts w:ascii="Arial" w:cs="Arial" w:eastAsia="Arial" w:hAnsi="Arial"/>
          <w:sz w:val="17"/>
          <w:szCs w:val="17"/>
          <w:color w:val="auto"/>
        </w:rPr>
        <w:t>Broker discretionary voting refers to the NYSE rule allowing brokers to vote their customers’ shares on certain “routine” matters in the Proxy Statement at the brokers’ discretion when they have not received timely voting instructions from their customers. The NYSE rules on broker discretionary voting prohibit banks, brokers and other intermediaries from voting uninstructed shares on certain matters, including the Proposal on the Election of Directors and the Say-on-Pay Proposal. Therefore, if you hold your stock in street name and you do not instruct your bank, broker or other intermediary how to vote regarding the Election of Directors and Say-on-Pay and Plan Proposals, no votes will be cast on your behalf.</w:t>
      </w:r>
    </w:p>
    <w:p>
      <w:pPr>
        <w:spacing w:after="0" w:line="169"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NYSE rules allow broker discretionary voting on the Auditor Ratification Proposal.</w:t>
      </w:r>
    </w:p>
    <w:p>
      <w:pPr>
        <w:spacing w:after="0" w:line="23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98 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3" w:name="page104"/>
    <w:bookmarkEnd w:id="10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right="539"/>
        <w:spacing w:after="0" w:line="270" w:lineRule="auto"/>
        <w:rPr>
          <w:sz w:val="20"/>
          <w:szCs w:val="20"/>
          <w:color w:val="auto"/>
        </w:rPr>
      </w:pPr>
      <w:r>
        <w:rPr>
          <w:rFonts w:ascii="Arial" w:cs="Arial" w:eastAsia="Arial" w:hAnsi="Arial"/>
          <w:sz w:val="22"/>
          <w:szCs w:val="22"/>
          <w:b w:val="1"/>
          <w:bCs w:val="1"/>
          <w:i w:val="1"/>
          <w:iCs w:val="1"/>
          <w:color w:val="auto"/>
        </w:rPr>
        <w:t>14.  What am I voting on, how many votes are required to approve each item, how are votes counted, and how does the Board recommend I vote?</w:t>
      </w:r>
    </w:p>
    <w:p>
      <w:pPr>
        <w:spacing w:after="0" w:line="83" w:lineRule="exact"/>
        <w:rPr>
          <w:sz w:val="20"/>
          <w:szCs w:val="20"/>
          <w:color w:val="auto"/>
        </w:rPr>
      </w:pPr>
    </w:p>
    <w:p>
      <w:pPr>
        <w:ind w:left="80" w:right="259"/>
        <w:spacing w:after="0" w:line="267" w:lineRule="auto"/>
        <w:rPr>
          <w:sz w:val="20"/>
          <w:szCs w:val="20"/>
          <w:color w:val="auto"/>
        </w:rPr>
      </w:pPr>
      <w:r>
        <w:rPr>
          <w:rFonts w:ascii="Arial" w:cs="Arial" w:eastAsia="Arial" w:hAnsi="Arial"/>
          <w:sz w:val="17"/>
          <w:szCs w:val="17"/>
          <w:color w:val="auto"/>
        </w:rPr>
        <w:t>The table below summarizes the proposals that will be voted on, the vote required to approve each item, how votes are counted, and how the Board recommends you vote:</w:t>
      </w: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ind w:left="380"/>
              <w:spacing w:after="0"/>
              <w:rPr>
                <w:sz w:val="20"/>
                <w:szCs w:val="20"/>
                <w:color w:val="auto"/>
              </w:rPr>
            </w:pPr>
            <w:r>
              <w:rPr>
                <w:rFonts w:ascii="Arial" w:cs="Arial" w:eastAsia="Arial" w:hAnsi="Arial"/>
                <w:sz w:val="14"/>
                <w:szCs w:val="14"/>
                <w:b w:val="1"/>
                <w:bCs w:val="1"/>
                <w:color w:val="F0533D"/>
              </w:rPr>
              <w:t>Do</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Is Broker</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F0533D"/>
              </w:rPr>
              <w:t>Abstentions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Discretionary</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F0533D"/>
              </w:rPr>
              <w:t>Voting</w:t>
            </w: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F0533D"/>
              </w:rPr>
              <w:t>Board</w:t>
            </w:r>
          </w:p>
        </w:tc>
        <w:tc>
          <w:tcPr>
            <w:tcW w:w="1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F0533D"/>
              </w:rPr>
              <w:t>Count as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F0533D"/>
              </w:rPr>
              <w:t>Voting</w:t>
            </w:r>
          </w:p>
        </w:tc>
        <w:tc>
          <w:tcPr>
            <w:tcW w:w="0" w:type="dxa"/>
            <w:vAlign w:val="bottom"/>
          </w:tcPr>
          <w:p>
            <w:pPr>
              <w:spacing w:after="0"/>
              <w:rPr>
                <w:sz w:val="1"/>
                <w:szCs w:val="1"/>
                <w:color w:val="auto"/>
              </w:rPr>
            </w:pPr>
          </w:p>
        </w:tc>
      </w:tr>
      <w:tr>
        <w:trPr>
          <w:trHeight w:val="257"/>
        </w:trPr>
        <w:tc>
          <w:tcPr>
            <w:tcW w:w="2940" w:type="dxa"/>
            <w:vAlign w:val="bottom"/>
            <w:tcBorders>
              <w:bottom w:val="single" w:sz="8" w:color="F0533D"/>
            </w:tcBorders>
            <w:gridSpan w:val="2"/>
          </w:tcPr>
          <w:p>
            <w:pPr>
              <w:spacing w:after="0"/>
              <w:rPr>
                <w:sz w:val="20"/>
                <w:szCs w:val="20"/>
                <w:color w:val="auto"/>
              </w:rPr>
            </w:pPr>
            <w:r>
              <w:rPr>
                <w:rFonts w:ascii="Arial" w:cs="Arial" w:eastAsia="Arial" w:hAnsi="Arial"/>
                <w:sz w:val="14"/>
                <w:szCs w:val="14"/>
                <w:b w:val="1"/>
                <w:bCs w:val="1"/>
                <w:color w:val="F0533D"/>
              </w:rPr>
              <w:t>Proposal</w:t>
            </w:r>
          </w:p>
        </w:tc>
        <w:tc>
          <w:tcPr>
            <w:tcW w:w="780" w:type="dxa"/>
            <w:vAlign w:val="bottom"/>
            <w:tcBorders>
              <w:bottom w:val="single" w:sz="8" w:color="F0533D"/>
            </w:tcBorders>
          </w:tcPr>
          <w:p>
            <w:pPr>
              <w:spacing w:after="0"/>
              <w:rPr>
                <w:sz w:val="20"/>
                <w:szCs w:val="20"/>
                <w:color w:val="auto"/>
              </w:rPr>
            </w:pPr>
            <w:r>
              <w:rPr>
                <w:rFonts w:ascii="Arial" w:cs="Arial" w:eastAsia="Arial" w:hAnsi="Arial"/>
                <w:sz w:val="14"/>
                <w:szCs w:val="14"/>
                <w:b w:val="1"/>
                <w:bCs w:val="1"/>
                <w:color w:val="F0533D"/>
              </w:rPr>
              <w:t>Options</w:t>
            </w:r>
          </w:p>
        </w:tc>
        <w:tc>
          <w:tcPr>
            <w:tcW w:w="1540" w:type="dxa"/>
            <w:vAlign w:val="bottom"/>
            <w:tcBorders>
              <w:bottom w:val="single" w:sz="8" w:color="F0533D"/>
            </w:tcBorders>
            <w:gridSpan w:val="2"/>
          </w:tcPr>
          <w:p>
            <w:pPr>
              <w:ind w:left="20"/>
              <w:spacing w:after="0" w:line="256" w:lineRule="exact"/>
              <w:rPr>
                <w:sz w:val="20"/>
                <w:szCs w:val="20"/>
                <w:color w:val="auto"/>
              </w:rPr>
            </w:pPr>
            <w:r>
              <w:rPr>
                <w:rFonts w:ascii="Arial" w:cs="Arial" w:eastAsia="Arial" w:hAnsi="Arial"/>
                <w:sz w:val="14"/>
                <w:szCs w:val="14"/>
                <w:b w:val="1"/>
                <w:bCs w:val="1"/>
                <w:color w:val="F0533D"/>
              </w:rPr>
              <w:t>Recommendations</w:t>
            </w:r>
            <w:r>
              <w:rPr>
                <w:rFonts w:ascii="Arial" w:cs="Arial" w:eastAsia="Arial" w:hAnsi="Arial"/>
                <w:sz w:val="23"/>
                <w:szCs w:val="23"/>
                <w:b w:val="1"/>
                <w:bCs w:val="1"/>
                <w:color w:val="F0533D"/>
                <w:vertAlign w:val="superscript"/>
              </w:rPr>
              <w:t>(1)</w:t>
            </w:r>
          </w:p>
        </w:tc>
        <w:tc>
          <w:tcPr>
            <w:tcW w:w="158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Vote Required</w:t>
            </w:r>
          </w:p>
        </w:tc>
        <w:tc>
          <w:tcPr>
            <w:tcW w:w="1020" w:type="dxa"/>
            <w:vAlign w:val="bottom"/>
            <w:tcBorders>
              <w:bottom w:val="single" w:sz="8" w:color="F0533D"/>
            </w:tcBorders>
          </w:tcPr>
          <w:p>
            <w:pPr>
              <w:jc w:val="center"/>
              <w:spacing w:after="0"/>
              <w:rPr>
                <w:sz w:val="20"/>
                <w:szCs w:val="20"/>
                <w:color w:val="auto"/>
              </w:rPr>
            </w:pPr>
            <w:r>
              <w:rPr>
                <w:rFonts w:ascii="Arial" w:cs="Arial" w:eastAsia="Arial" w:hAnsi="Arial"/>
                <w:sz w:val="14"/>
                <w:szCs w:val="14"/>
                <w:b w:val="1"/>
                <w:bCs w:val="1"/>
                <w:color w:val="F0533D"/>
              </w:rPr>
              <w:t>Votes Cast?</w:t>
            </w:r>
          </w:p>
        </w:tc>
        <w:tc>
          <w:tcPr>
            <w:tcW w:w="1000" w:type="dxa"/>
            <w:vAlign w:val="bottom"/>
            <w:tcBorders>
              <w:bottom w:val="single" w:sz="8" w:color="F0533D"/>
            </w:tcBorders>
          </w:tcPr>
          <w:p>
            <w:pPr>
              <w:jc w:val="center"/>
              <w:spacing w:after="0" w:line="256" w:lineRule="exact"/>
              <w:rPr>
                <w:sz w:val="20"/>
                <w:szCs w:val="20"/>
                <w:color w:val="auto"/>
              </w:rPr>
            </w:pPr>
            <w:r>
              <w:rPr>
                <w:rFonts w:ascii="Arial" w:cs="Arial" w:eastAsia="Arial" w:hAnsi="Arial"/>
                <w:sz w:val="14"/>
                <w:szCs w:val="14"/>
                <w:b w:val="1"/>
                <w:bCs w:val="1"/>
                <w:color w:val="F0533D"/>
                <w:w w:val="93"/>
              </w:rPr>
              <w:t>Allowed</w:t>
            </w:r>
            <w:r>
              <w:rPr>
                <w:rFonts w:ascii="Arial" w:cs="Arial" w:eastAsia="Arial" w:hAnsi="Arial"/>
                <w:sz w:val="23"/>
                <w:szCs w:val="23"/>
                <w:b w:val="1"/>
                <w:bCs w:val="1"/>
                <w:color w:val="F0533D"/>
                <w:w w:val="93"/>
                <w:vertAlign w:val="superscript"/>
              </w:rPr>
              <w:t>(2)</w:t>
            </w:r>
          </w:p>
        </w:tc>
        <w:tc>
          <w:tcPr>
            <w:tcW w:w="0" w:type="dxa"/>
            <w:vAlign w:val="bottom"/>
          </w:tcPr>
          <w:p>
            <w:pPr>
              <w:spacing w:after="0"/>
              <w:rPr>
                <w:sz w:val="1"/>
                <w:szCs w:val="1"/>
                <w:color w:val="auto"/>
              </w:rPr>
            </w:pPr>
          </w:p>
        </w:tc>
      </w:tr>
      <w:tr>
        <w:trPr>
          <w:trHeight w:val="209"/>
        </w:trPr>
        <w:tc>
          <w:tcPr>
            <w:tcW w:w="180" w:type="dxa"/>
            <w:vAlign w:val="bottom"/>
          </w:tcPr>
          <w:p>
            <w:pPr>
              <w:spacing w:after="0" w:line="209" w:lineRule="exact"/>
              <w:rPr>
                <w:sz w:val="20"/>
                <w:szCs w:val="20"/>
                <w:color w:val="auto"/>
              </w:rPr>
            </w:pPr>
            <w:r>
              <w:rPr>
                <w:rFonts w:ascii="Arial" w:cs="Arial" w:eastAsia="Arial" w:hAnsi="Arial"/>
                <w:sz w:val="22"/>
                <w:szCs w:val="22"/>
                <w:b w:val="1"/>
                <w:bCs w:val="1"/>
                <w:color w:val="F0533D"/>
              </w:rPr>
              <w:t>1</w:t>
            </w:r>
          </w:p>
        </w:tc>
        <w:tc>
          <w:tcPr>
            <w:tcW w:w="2760" w:type="dxa"/>
            <w:vAlign w:val="bottom"/>
            <w:tcBorders>
              <w:right w:val="single" w:sz="8" w:color="A6A6A6"/>
            </w:tcBorders>
          </w:tcPr>
          <w:p>
            <w:pPr>
              <w:ind w:left="60"/>
              <w:spacing w:after="0"/>
              <w:rPr>
                <w:sz w:val="20"/>
                <w:szCs w:val="20"/>
                <w:color w:val="auto"/>
              </w:rPr>
            </w:pPr>
            <w:r>
              <w:rPr>
                <w:rFonts w:ascii="Arial" w:cs="Arial" w:eastAsia="Arial" w:hAnsi="Arial"/>
                <w:sz w:val="14"/>
                <w:szCs w:val="14"/>
                <w:color w:val="auto"/>
              </w:rPr>
              <w:t>Election of the six director nominees</w:t>
            </w:r>
          </w:p>
        </w:tc>
        <w:tc>
          <w:tcPr>
            <w:tcW w:w="780" w:type="dxa"/>
            <w:vAlign w:val="bottom"/>
            <w:tcBorders>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“For”</w:t>
            </w:r>
          </w:p>
        </w:tc>
        <w:tc>
          <w:tcPr>
            <w:tcW w:w="220" w:type="dxa"/>
            <w:vAlign w:val="bottom"/>
          </w:tcPr>
          <w:p>
            <w:pPr>
              <w:spacing w:after="0"/>
              <w:rPr>
                <w:sz w:val="18"/>
                <w:szCs w:val="18"/>
                <w:color w:val="auto"/>
              </w:rPr>
            </w:pPr>
          </w:p>
        </w:tc>
        <w:tc>
          <w:tcPr>
            <w:tcW w:w="1320" w:type="dxa"/>
            <w:vAlign w:val="bottom"/>
            <w:tcBorders>
              <w:right w:val="single" w:sz="8" w:color="A6A6A6"/>
            </w:tcBorders>
          </w:tcPr>
          <w:p>
            <w:pPr>
              <w:ind w:left="120"/>
              <w:spacing w:after="0"/>
              <w:rPr>
                <w:sz w:val="20"/>
                <w:szCs w:val="20"/>
                <w:color w:val="auto"/>
              </w:rPr>
            </w:pPr>
            <w:r>
              <w:rPr>
                <w:rFonts w:ascii="Arial" w:cs="Arial" w:eastAsia="Arial" w:hAnsi="Arial"/>
                <w:sz w:val="14"/>
                <w:szCs w:val="14"/>
                <w:b w:val="1"/>
                <w:bCs w:val="1"/>
                <w:color w:val="F0533D"/>
              </w:rPr>
              <w:t xml:space="preserve">FOR </w:t>
            </w:r>
            <w:r>
              <w:rPr>
                <w:rFonts w:ascii="Arial" w:cs="Arial" w:eastAsia="Arial" w:hAnsi="Arial"/>
                <w:sz w:val="14"/>
                <w:szCs w:val="14"/>
                <w:color w:val="000000"/>
              </w:rPr>
              <w:t>each</w:t>
            </w: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Majority of votes cast —</w:t>
            </w:r>
          </w:p>
        </w:tc>
        <w:tc>
          <w:tcPr>
            <w:tcW w:w="102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No</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2760" w:type="dxa"/>
            <w:vAlign w:val="bottom"/>
            <w:tcBorders>
              <w:right w:val="single" w:sz="8" w:color="A6A6A6"/>
            </w:tcBorders>
          </w:tcPr>
          <w:p>
            <w:pPr>
              <w:ind w:left="60"/>
              <w:spacing w:after="0" w:line="149" w:lineRule="exact"/>
              <w:rPr>
                <w:sz w:val="20"/>
                <w:szCs w:val="20"/>
                <w:color w:val="auto"/>
              </w:rPr>
            </w:pPr>
            <w:r>
              <w:rPr>
                <w:rFonts w:ascii="Arial" w:cs="Arial" w:eastAsia="Arial" w:hAnsi="Arial"/>
                <w:sz w:val="14"/>
                <w:szCs w:val="14"/>
                <w:color w:val="auto"/>
              </w:rPr>
              <w:t>named in the Proxy Statement</w:t>
            </w:r>
          </w:p>
        </w:tc>
        <w:tc>
          <w:tcPr>
            <w:tcW w:w="780" w:type="dxa"/>
            <w:vAlign w:val="bottom"/>
            <w:tcBorders>
              <w:right w:val="single" w:sz="8" w:color="A6A6A6"/>
            </w:tcBorders>
          </w:tcPr>
          <w:p>
            <w:pPr>
              <w:spacing w:after="0" w:line="149" w:lineRule="exact"/>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“Against”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p>
        </w:tc>
        <w:tc>
          <w:tcPr>
            <w:tcW w:w="1320" w:type="dxa"/>
            <w:vAlign w:val="bottom"/>
            <w:tcBorders>
              <w:right w:val="single" w:sz="8" w:color="A6A6A6"/>
            </w:tcBorders>
          </w:tcPr>
          <w:p>
            <w:pPr>
              <w:ind w:left="120"/>
              <w:spacing w:after="0" w:line="149" w:lineRule="exact"/>
              <w:rPr>
                <w:sz w:val="20"/>
                <w:szCs w:val="20"/>
                <w:color w:val="auto"/>
              </w:rPr>
            </w:pPr>
            <w:r>
              <w:rPr>
                <w:rFonts w:ascii="Arial" w:cs="Arial" w:eastAsia="Arial" w:hAnsi="Arial"/>
                <w:sz w:val="14"/>
                <w:szCs w:val="14"/>
                <w:color w:val="auto"/>
              </w:rPr>
              <w:t>nominee</w:t>
            </w:r>
          </w:p>
        </w:tc>
        <w:tc>
          <w:tcPr>
            <w:tcW w:w="1580" w:type="dxa"/>
            <w:vAlign w:val="bottom"/>
            <w:tcBorders>
              <w:right w:val="single" w:sz="8" w:color="A6A6A6"/>
            </w:tcBorders>
          </w:tcPr>
          <w:p>
            <w:pPr>
              <w:jc w:val="center"/>
              <w:spacing w:after="0" w:line="149" w:lineRule="exact"/>
              <w:rPr>
                <w:sz w:val="20"/>
                <w:szCs w:val="20"/>
                <w:color w:val="auto"/>
              </w:rPr>
            </w:pPr>
            <w:r>
              <w:rPr>
                <w:rFonts w:ascii="Arial" w:cs="Arial" w:eastAsia="Arial" w:hAnsi="Arial"/>
                <w:sz w:val="14"/>
                <w:szCs w:val="14"/>
                <w:b w:val="1"/>
                <w:bCs w:val="1"/>
                <w:color w:val="F0533D"/>
              </w:rPr>
              <w:t xml:space="preserve">FOR </w:t>
            </w:r>
            <w:r>
              <w:rPr>
                <w:rFonts w:ascii="Arial" w:cs="Arial" w:eastAsia="Arial" w:hAnsi="Arial"/>
                <w:sz w:val="14"/>
                <w:szCs w:val="14"/>
                <w:color w:val="000000"/>
              </w:rPr>
              <w:t>must exceed</w:t>
            </w:r>
          </w:p>
        </w:tc>
        <w:tc>
          <w:tcPr>
            <w:tcW w:w="1020" w:type="dxa"/>
            <w:vAlign w:val="bottom"/>
            <w:tcBorders>
              <w:right w:val="single" w:sz="8" w:color="A6A6A6"/>
            </w:tcBorders>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A6A6A6"/>
            </w:tcBorders>
          </w:tcPr>
          <w:p>
            <w:pPr>
              <w:spacing w:after="0"/>
              <w:rPr>
                <w:sz w:val="23"/>
                <w:szCs w:val="23"/>
                <w:color w:val="auto"/>
              </w:rPr>
            </w:pPr>
          </w:p>
        </w:tc>
        <w:tc>
          <w:tcPr>
            <w:tcW w:w="2760" w:type="dxa"/>
            <w:vAlign w:val="bottom"/>
            <w:tcBorders>
              <w:bottom w:val="single" w:sz="8" w:color="A6A6A6"/>
              <w:right w:val="single" w:sz="8" w:color="A6A6A6"/>
            </w:tcBorders>
          </w:tcPr>
          <w:p>
            <w:pPr>
              <w:spacing w:after="0"/>
              <w:rPr>
                <w:sz w:val="23"/>
                <w:szCs w:val="23"/>
                <w:color w:val="auto"/>
              </w:rPr>
            </w:pPr>
          </w:p>
        </w:tc>
        <w:tc>
          <w:tcPr>
            <w:tcW w:w="780" w:type="dxa"/>
            <w:vAlign w:val="bottom"/>
            <w:tcBorders>
              <w:bottom w:val="single" w:sz="8" w:color="A6A6A6"/>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“Abstain”</w:t>
            </w:r>
          </w:p>
        </w:tc>
        <w:tc>
          <w:tcPr>
            <w:tcW w:w="220" w:type="dxa"/>
            <w:vAlign w:val="bottom"/>
            <w:tcBorders>
              <w:bottom w:val="single" w:sz="8" w:color="A6A6A6"/>
            </w:tcBorders>
            <w:vMerge w:val="continue"/>
          </w:tcPr>
          <w:p>
            <w:pPr>
              <w:spacing w:after="0"/>
              <w:rPr>
                <w:sz w:val="23"/>
                <w:szCs w:val="23"/>
                <w:color w:val="auto"/>
              </w:rPr>
            </w:pPr>
          </w:p>
        </w:tc>
        <w:tc>
          <w:tcPr>
            <w:tcW w:w="1320" w:type="dxa"/>
            <w:vAlign w:val="bottom"/>
            <w:tcBorders>
              <w:bottom w:val="single" w:sz="8" w:color="A6A6A6"/>
              <w:right w:val="single" w:sz="8" w:color="A6A6A6"/>
            </w:tcBorders>
          </w:tcPr>
          <w:p>
            <w:pPr>
              <w:spacing w:after="0"/>
              <w:rPr>
                <w:sz w:val="23"/>
                <w:szCs w:val="23"/>
                <w:color w:val="auto"/>
              </w:rPr>
            </w:pPr>
          </w:p>
        </w:tc>
        <w:tc>
          <w:tcPr>
            <w:tcW w:w="158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4"/>
                <w:szCs w:val="14"/>
                <w:b w:val="1"/>
                <w:bCs w:val="1"/>
                <w:color w:val="auto"/>
                <w:w w:val="99"/>
              </w:rPr>
              <w:t xml:space="preserve">AGAINST </w:t>
            </w:r>
            <w:r>
              <w:rPr>
                <w:rFonts w:ascii="Arial" w:cs="Arial" w:eastAsia="Arial" w:hAnsi="Arial"/>
                <w:sz w:val="14"/>
                <w:szCs w:val="14"/>
                <w:color w:val="auto"/>
                <w:w w:val="99"/>
              </w:rPr>
              <w:t>votes</w:t>
            </w:r>
            <w:r>
              <w:rPr>
                <w:rFonts w:ascii="Arial" w:cs="Arial" w:eastAsia="Arial" w:hAnsi="Arial"/>
                <w:sz w:val="23"/>
                <w:szCs w:val="23"/>
                <w:color w:val="auto"/>
                <w:w w:val="99"/>
                <w:vertAlign w:val="superscript"/>
              </w:rPr>
              <w:t>(3)</w:t>
            </w:r>
          </w:p>
        </w:tc>
        <w:tc>
          <w:tcPr>
            <w:tcW w:w="1020" w:type="dxa"/>
            <w:vAlign w:val="bottom"/>
            <w:tcBorders>
              <w:bottom w:val="single" w:sz="8" w:color="A6A6A6"/>
              <w:right w:val="single" w:sz="8" w:color="A6A6A6"/>
            </w:tcBorders>
          </w:tcPr>
          <w:p>
            <w:pPr>
              <w:spacing w:after="0"/>
              <w:rPr>
                <w:sz w:val="23"/>
                <w:szCs w:val="23"/>
                <w:color w:val="auto"/>
              </w:rPr>
            </w:pPr>
          </w:p>
        </w:tc>
        <w:tc>
          <w:tcPr>
            <w:tcW w:w="1000" w:type="dxa"/>
            <w:vAlign w:val="bottom"/>
            <w:tcBorders>
              <w:bottom w:val="single" w:sz="8" w:color="A6A6A6"/>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line="214" w:lineRule="exact"/>
              <w:rPr>
                <w:sz w:val="20"/>
                <w:szCs w:val="20"/>
                <w:color w:val="auto"/>
              </w:rPr>
            </w:pPr>
            <w:r>
              <w:rPr>
                <w:rFonts w:ascii="Arial" w:cs="Arial" w:eastAsia="Arial" w:hAnsi="Arial"/>
                <w:sz w:val="22"/>
                <w:szCs w:val="22"/>
                <w:b w:val="1"/>
                <w:bCs w:val="1"/>
                <w:color w:val="F0533D"/>
              </w:rPr>
              <w:t>2</w:t>
            </w:r>
          </w:p>
        </w:tc>
        <w:tc>
          <w:tcPr>
            <w:tcW w:w="2760" w:type="dxa"/>
            <w:vAlign w:val="bottom"/>
            <w:tcBorders>
              <w:right w:val="single" w:sz="8" w:color="A6A6A6"/>
            </w:tcBorders>
          </w:tcPr>
          <w:p>
            <w:pPr>
              <w:ind w:left="60"/>
              <w:spacing w:after="0"/>
              <w:rPr>
                <w:sz w:val="20"/>
                <w:szCs w:val="20"/>
                <w:color w:val="auto"/>
              </w:rPr>
            </w:pPr>
            <w:r>
              <w:rPr>
                <w:rFonts w:ascii="Arial" w:cs="Arial" w:eastAsia="Arial" w:hAnsi="Arial"/>
                <w:sz w:val="14"/>
                <w:szCs w:val="14"/>
                <w:color w:val="auto"/>
              </w:rPr>
              <w:t>Approval (in an advisory, non-binding</w:t>
            </w:r>
          </w:p>
        </w:tc>
        <w:tc>
          <w:tcPr>
            <w:tcW w:w="780" w:type="dxa"/>
            <w:vAlign w:val="bottom"/>
            <w:tcBorders>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“For”</w:t>
            </w:r>
          </w:p>
        </w:tc>
        <w:tc>
          <w:tcPr>
            <w:tcW w:w="220" w:type="dxa"/>
            <w:vAlign w:val="bottom"/>
          </w:tcPr>
          <w:p>
            <w:pPr>
              <w:spacing w:after="0"/>
              <w:rPr>
                <w:sz w:val="18"/>
                <w:szCs w:val="18"/>
                <w:color w:val="auto"/>
              </w:rPr>
            </w:pPr>
          </w:p>
        </w:tc>
        <w:tc>
          <w:tcPr>
            <w:tcW w:w="1320" w:type="dxa"/>
            <w:vAlign w:val="bottom"/>
            <w:tcBorders>
              <w:right w:val="single" w:sz="8" w:color="A6A6A6"/>
            </w:tcBorders>
          </w:tcPr>
          <w:p>
            <w:pPr>
              <w:ind w:left="120"/>
              <w:spacing w:after="0"/>
              <w:rPr>
                <w:sz w:val="20"/>
                <w:szCs w:val="20"/>
                <w:color w:val="auto"/>
              </w:rPr>
            </w:pPr>
            <w:r>
              <w:rPr>
                <w:rFonts w:ascii="Arial" w:cs="Arial" w:eastAsia="Arial" w:hAnsi="Arial"/>
                <w:sz w:val="14"/>
                <w:szCs w:val="14"/>
                <w:b w:val="1"/>
                <w:bCs w:val="1"/>
                <w:color w:val="F0533D"/>
              </w:rPr>
              <w:t>FOR</w:t>
            </w: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Majority of votes</w:t>
            </w:r>
          </w:p>
        </w:tc>
        <w:tc>
          <w:tcPr>
            <w:tcW w:w="102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w w:val="99"/>
              </w:rPr>
              <w:t>Yes</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760" w:type="dxa"/>
            <w:vAlign w:val="bottom"/>
            <w:tcBorders>
              <w:right w:val="single" w:sz="8" w:color="A6A6A6"/>
            </w:tcBorders>
          </w:tcPr>
          <w:p>
            <w:pPr>
              <w:ind w:left="60"/>
              <w:spacing w:after="0" w:line="148" w:lineRule="exact"/>
              <w:rPr>
                <w:sz w:val="20"/>
                <w:szCs w:val="20"/>
                <w:color w:val="auto"/>
              </w:rPr>
            </w:pPr>
            <w:r>
              <w:rPr>
                <w:rFonts w:ascii="Arial" w:cs="Arial" w:eastAsia="Arial" w:hAnsi="Arial"/>
                <w:sz w:val="14"/>
                <w:szCs w:val="14"/>
                <w:color w:val="auto"/>
              </w:rPr>
              <w:t>vote) of compensation of named</w:t>
            </w:r>
          </w:p>
        </w:tc>
        <w:tc>
          <w:tcPr>
            <w:tcW w:w="780" w:type="dxa"/>
            <w:vAlign w:val="bottom"/>
            <w:tcBorders>
              <w:right w:val="single" w:sz="8" w:color="A6A6A6"/>
            </w:tcBorders>
          </w:tcPr>
          <w:p>
            <w:pPr>
              <w:spacing w:after="0" w:line="148" w:lineRule="exact"/>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“Against”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p>
        </w:tc>
        <w:tc>
          <w:tcPr>
            <w:tcW w:w="1320" w:type="dxa"/>
            <w:vAlign w:val="bottom"/>
            <w:tcBorders>
              <w:right w:val="single" w:sz="8" w:color="A6A6A6"/>
            </w:tcBorders>
          </w:tcPr>
          <w:p>
            <w:pPr>
              <w:spacing w:after="0"/>
              <w:rPr>
                <w:sz w:val="12"/>
                <w:szCs w:val="12"/>
                <w:color w:val="auto"/>
              </w:rPr>
            </w:pPr>
          </w:p>
        </w:tc>
        <w:tc>
          <w:tcPr>
            <w:tcW w:w="1580" w:type="dxa"/>
            <w:vAlign w:val="bottom"/>
            <w:tcBorders>
              <w:right w:val="single" w:sz="8" w:color="A6A6A6"/>
            </w:tcBorders>
          </w:tcPr>
          <w:p>
            <w:pPr>
              <w:jc w:val="center"/>
              <w:spacing w:after="0" w:line="148" w:lineRule="exact"/>
              <w:rPr>
                <w:sz w:val="20"/>
                <w:szCs w:val="20"/>
                <w:color w:val="auto"/>
              </w:rPr>
            </w:pPr>
            <w:r>
              <w:rPr>
                <w:rFonts w:ascii="Arial" w:cs="Arial" w:eastAsia="Arial" w:hAnsi="Arial"/>
                <w:sz w:val="14"/>
                <w:szCs w:val="14"/>
                <w:color w:val="auto"/>
              </w:rPr>
              <w:t>present and entitled to</w:t>
            </w:r>
          </w:p>
        </w:tc>
        <w:tc>
          <w:tcPr>
            <w:tcW w:w="1020" w:type="dxa"/>
            <w:vAlign w:val="bottom"/>
            <w:tcBorders>
              <w:right w:val="single" w:sz="8" w:color="A6A6A6"/>
            </w:tcBorders>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760" w:type="dxa"/>
            <w:vAlign w:val="bottom"/>
            <w:tcBorders>
              <w:right w:val="single" w:sz="8" w:color="A6A6A6"/>
            </w:tcBorders>
          </w:tcPr>
          <w:p>
            <w:pPr>
              <w:ind w:left="60"/>
              <w:spacing w:after="0"/>
              <w:rPr>
                <w:sz w:val="20"/>
                <w:szCs w:val="20"/>
                <w:color w:val="auto"/>
              </w:rPr>
            </w:pPr>
            <w:r>
              <w:rPr>
                <w:rFonts w:ascii="Arial" w:cs="Arial" w:eastAsia="Arial" w:hAnsi="Arial"/>
                <w:sz w:val="14"/>
                <w:szCs w:val="14"/>
                <w:color w:val="auto"/>
              </w:rPr>
              <w:t>executive officers</w:t>
            </w:r>
          </w:p>
        </w:tc>
        <w:tc>
          <w:tcPr>
            <w:tcW w:w="780" w:type="dxa"/>
            <w:vAlign w:val="bottom"/>
            <w:tcBorders>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“Abstain”</w:t>
            </w:r>
          </w:p>
        </w:tc>
        <w:tc>
          <w:tcPr>
            <w:tcW w:w="220" w:type="dxa"/>
            <w:vAlign w:val="bottom"/>
            <w:vMerge w:val="continue"/>
          </w:tcPr>
          <w:p>
            <w:pPr>
              <w:spacing w:after="0"/>
              <w:rPr>
                <w:sz w:val="14"/>
                <w:szCs w:val="14"/>
                <w:color w:val="auto"/>
              </w:rPr>
            </w:pPr>
          </w:p>
        </w:tc>
        <w:tc>
          <w:tcPr>
            <w:tcW w:w="1320" w:type="dxa"/>
            <w:vAlign w:val="bottom"/>
            <w:tcBorders>
              <w:right w:val="single" w:sz="8" w:color="A6A6A6"/>
            </w:tcBorders>
          </w:tcPr>
          <w:p>
            <w:pPr>
              <w:spacing w:after="0"/>
              <w:rPr>
                <w:sz w:val="14"/>
                <w:szCs w:val="14"/>
                <w:color w:val="auto"/>
              </w:rPr>
            </w:pP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vote on this item of</w:t>
            </w:r>
          </w:p>
        </w:tc>
        <w:tc>
          <w:tcPr>
            <w:tcW w:w="1020" w:type="dxa"/>
            <w:vAlign w:val="bottom"/>
            <w:tcBorders>
              <w:right w:val="single" w:sz="8" w:color="A6A6A6"/>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760" w:type="dxa"/>
            <w:vAlign w:val="bottom"/>
            <w:tcBorders>
              <w:right w:val="single" w:sz="8" w:color="A6A6A6"/>
            </w:tcBorders>
          </w:tcPr>
          <w:p>
            <w:pPr>
              <w:spacing w:after="0"/>
              <w:rPr>
                <w:sz w:val="16"/>
                <w:szCs w:val="16"/>
                <w:color w:val="auto"/>
              </w:rPr>
            </w:pPr>
          </w:p>
        </w:tc>
        <w:tc>
          <w:tcPr>
            <w:tcW w:w="780" w:type="dxa"/>
            <w:vAlign w:val="bottom"/>
            <w:tcBorders>
              <w:right w:val="single" w:sz="8" w:color="A6A6A6"/>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right w:val="single" w:sz="8" w:color="A6A6A6"/>
            </w:tcBorders>
          </w:tcPr>
          <w:p>
            <w:pPr>
              <w:spacing w:after="0"/>
              <w:rPr>
                <w:sz w:val="16"/>
                <w:szCs w:val="16"/>
                <w:color w:val="auto"/>
              </w:rPr>
            </w:pP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business</w:t>
            </w:r>
          </w:p>
        </w:tc>
        <w:tc>
          <w:tcPr>
            <w:tcW w:w="1020" w:type="dxa"/>
            <w:vAlign w:val="bottom"/>
            <w:tcBorders>
              <w:right w:val="single" w:sz="8" w:color="A6A6A6"/>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180" w:type="dxa"/>
            <w:vAlign w:val="bottom"/>
            <w:tcBorders>
              <w:bottom w:val="single" w:sz="8" w:color="A6A6A6"/>
            </w:tcBorders>
          </w:tcPr>
          <w:p>
            <w:pPr>
              <w:spacing w:after="0"/>
              <w:rPr>
                <w:sz w:val="4"/>
                <w:szCs w:val="4"/>
                <w:color w:val="auto"/>
              </w:rPr>
            </w:pPr>
          </w:p>
        </w:tc>
        <w:tc>
          <w:tcPr>
            <w:tcW w:w="2760" w:type="dxa"/>
            <w:vAlign w:val="bottom"/>
            <w:tcBorders>
              <w:bottom w:val="single" w:sz="8" w:color="A6A6A6"/>
              <w:right w:val="single" w:sz="8" w:color="A6A6A6"/>
            </w:tcBorders>
          </w:tcPr>
          <w:p>
            <w:pPr>
              <w:spacing w:after="0"/>
              <w:rPr>
                <w:sz w:val="4"/>
                <w:szCs w:val="4"/>
                <w:color w:val="auto"/>
              </w:rPr>
            </w:pPr>
          </w:p>
        </w:tc>
        <w:tc>
          <w:tcPr>
            <w:tcW w:w="780" w:type="dxa"/>
            <w:vAlign w:val="bottom"/>
            <w:tcBorders>
              <w:bottom w:val="single" w:sz="8" w:color="A6A6A6"/>
              <w:right w:val="single" w:sz="8" w:color="A6A6A6"/>
            </w:tcBorders>
          </w:tcPr>
          <w:p>
            <w:pPr>
              <w:spacing w:after="0"/>
              <w:rPr>
                <w:sz w:val="4"/>
                <w:szCs w:val="4"/>
                <w:color w:val="auto"/>
              </w:rPr>
            </w:pPr>
          </w:p>
        </w:tc>
        <w:tc>
          <w:tcPr>
            <w:tcW w:w="220" w:type="dxa"/>
            <w:vAlign w:val="bottom"/>
            <w:tcBorders>
              <w:bottom w:val="single" w:sz="8" w:color="A6A6A6"/>
            </w:tcBorders>
          </w:tcPr>
          <w:p>
            <w:pPr>
              <w:spacing w:after="0"/>
              <w:rPr>
                <w:sz w:val="4"/>
                <w:szCs w:val="4"/>
                <w:color w:val="auto"/>
              </w:rPr>
            </w:pPr>
          </w:p>
        </w:tc>
        <w:tc>
          <w:tcPr>
            <w:tcW w:w="1320" w:type="dxa"/>
            <w:vAlign w:val="bottom"/>
            <w:tcBorders>
              <w:bottom w:val="single" w:sz="8" w:color="A6A6A6"/>
              <w:right w:val="single" w:sz="8" w:color="A6A6A6"/>
            </w:tcBorders>
          </w:tcPr>
          <w:p>
            <w:pPr>
              <w:spacing w:after="0"/>
              <w:rPr>
                <w:sz w:val="4"/>
                <w:szCs w:val="4"/>
                <w:color w:val="auto"/>
              </w:rPr>
            </w:pPr>
          </w:p>
        </w:tc>
        <w:tc>
          <w:tcPr>
            <w:tcW w:w="1580" w:type="dxa"/>
            <w:vAlign w:val="bottom"/>
            <w:tcBorders>
              <w:bottom w:val="single" w:sz="8" w:color="A6A6A6"/>
              <w:right w:val="single" w:sz="8" w:color="A6A6A6"/>
            </w:tcBorders>
          </w:tcPr>
          <w:p>
            <w:pPr>
              <w:spacing w:after="0"/>
              <w:rPr>
                <w:sz w:val="4"/>
                <w:szCs w:val="4"/>
                <w:color w:val="auto"/>
              </w:rPr>
            </w:pPr>
          </w:p>
        </w:tc>
        <w:tc>
          <w:tcPr>
            <w:tcW w:w="1020" w:type="dxa"/>
            <w:vAlign w:val="bottom"/>
            <w:tcBorders>
              <w:bottom w:val="single" w:sz="8" w:color="A6A6A6"/>
              <w:right w:val="single" w:sz="8" w:color="A6A6A6"/>
            </w:tcBorders>
          </w:tcPr>
          <w:p>
            <w:pPr>
              <w:spacing w:after="0"/>
              <w:rPr>
                <w:sz w:val="4"/>
                <w:szCs w:val="4"/>
                <w:color w:val="auto"/>
              </w:rPr>
            </w:pPr>
          </w:p>
        </w:tc>
        <w:tc>
          <w:tcPr>
            <w:tcW w:w="10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line="214" w:lineRule="exact"/>
              <w:rPr>
                <w:sz w:val="20"/>
                <w:szCs w:val="20"/>
                <w:color w:val="auto"/>
              </w:rPr>
            </w:pPr>
            <w:r>
              <w:rPr>
                <w:rFonts w:ascii="Arial" w:cs="Arial" w:eastAsia="Arial" w:hAnsi="Arial"/>
                <w:sz w:val="22"/>
                <w:szCs w:val="22"/>
                <w:b w:val="1"/>
                <w:bCs w:val="1"/>
                <w:color w:val="F0533D"/>
              </w:rPr>
              <w:t>3</w:t>
            </w:r>
          </w:p>
        </w:tc>
        <w:tc>
          <w:tcPr>
            <w:tcW w:w="2760" w:type="dxa"/>
            <w:vAlign w:val="bottom"/>
            <w:tcBorders>
              <w:right w:val="single" w:sz="8" w:color="A6A6A6"/>
            </w:tcBorders>
          </w:tcPr>
          <w:p>
            <w:pPr>
              <w:ind w:left="60"/>
              <w:spacing w:after="0"/>
              <w:rPr>
                <w:sz w:val="20"/>
                <w:szCs w:val="20"/>
                <w:color w:val="auto"/>
              </w:rPr>
            </w:pPr>
            <w:r>
              <w:rPr>
                <w:rFonts w:ascii="Arial" w:cs="Arial" w:eastAsia="Arial" w:hAnsi="Arial"/>
                <w:sz w:val="14"/>
                <w:szCs w:val="14"/>
                <w:color w:val="auto"/>
              </w:rPr>
              <w:t>Approval of the Amended and Restated</w:t>
            </w:r>
          </w:p>
        </w:tc>
        <w:tc>
          <w:tcPr>
            <w:tcW w:w="780" w:type="dxa"/>
            <w:vAlign w:val="bottom"/>
            <w:tcBorders>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“For”</w:t>
            </w:r>
          </w:p>
        </w:tc>
        <w:tc>
          <w:tcPr>
            <w:tcW w:w="220" w:type="dxa"/>
            <w:vAlign w:val="bottom"/>
          </w:tcPr>
          <w:p>
            <w:pPr>
              <w:spacing w:after="0"/>
              <w:rPr>
                <w:sz w:val="18"/>
                <w:szCs w:val="18"/>
                <w:color w:val="auto"/>
              </w:rPr>
            </w:pPr>
          </w:p>
        </w:tc>
        <w:tc>
          <w:tcPr>
            <w:tcW w:w="1320" w:type="dxa"/>
            <w:vAlign w:val="bottom"/>
            <w:tcBorders>
              <w:right w:val="single" w:sz="8" w:color="A6A6A6"/>
            </w:tcBorders>
          </w:tcPr>
          <w:p>
            <w:pPr>
              <w:ind w:left="120"/>
              <w:spacing w:after="0"/>
              <w:rPr>
                <w:sz w:val="20"/>
                <w:szCs w:val="20"/>
                <w:color w:val="auto"/>
              </w:rPr>
            </w:pPr>
            <w:r>
              <w:rPr>
                <w:rFonts w:ascii="Arial" w:cs="Arial" w:eastAsia="Arial" w:hAnsi="Arial"/>
                <w:sz w:val="14"/>
                <w:szCs w:val="14"/>
                <w:b w:val="1"/>
                <w:bCs w:val="1"/>
                <w:color w:val="F0533D"/>
              </w:rPr>
              <w:t>FOR</w:t>
            </w: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Majority of votes</w:t>
            </w:r>
          </w:p>
        </w:tc>
        <w:tc>
          <w:tcPr>
            <w:tcW w:w="102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w w:val="99"/>
              </w:rPr>
              <w:t>Yes</w:t>
            </w:r>
          </w:p>
        </w:tc>
        <w:tc>
          <w:tcPr>
            <w:tcW w:w="1000" w:type="dxa"/>
            <w:vAlign w:val="bottom"/>
          </w:tcPr>
          <w:p>
            <w:pPr>
              <w:jc w:val="center"/>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2760" w:type="dxa"/>
            <w:vAlign w:val="bottom"/>
            <w:tcBorders>
              <w:right w:val="single" w:sz="8" w:color="A6A6A6"/>
            </w:tcBorders>
          </w:tcPr>
          <w:p>
            <w:pPr>
              <w:ind w:left="60"/>
              <w:spacing w:after="0" w:line="148" w:lineRule="exact"/>
              <w:rPr>
                <w:sz w:val="20"/>
                <w:szCs w:val="20"/>
                <w:color w:val="auto"/>
              </w:rPr>
            </w:pPr>
            <w:r>
              <w:rPr>
                <w:rFonts w:ascii="Arial" w:cs="Arial" w:eastAsia="Arial" w:hAnsi="Arial"/>
                <w:sz w:val="14"/>
                <w:szCs w:val="14"/>
                <w:color w:val="auto"/>
              </w:rPr>
              <w:t>Kyndryl 2021 Long-Term Performance</w:t>
            </w:r>
          </w:p>
        </w:tc>
        <w:tc>
          <w:tcPr>
            <w:tcW w:w="780" w:type="dxa"/>
            <w:vAlign w:val="bottom"/>
            <w:tcBorders>
              <w:right w:val="single" w:sz="8" w:color="A6A6A6"/>
            </w:tcBorders>
          </w:tcPr>
          <w:p>
            <w:pPr>
              <w:spacing w:after="0" w:line="148" w:lineRule="exact"/>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“Against”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p>
        </w:tc>
        <w:tc>
          <w:tcPr>
            <w:tcW w:w="1320" w:type="dxa"/>
            <w:vAlign w:val="bottom"/>
            <w:tcBorders>
              <w:right w:val="single" w:sz="8" w:color="A6A6A6"/>
            </w:tcBorders>
          </w:tcPr>
          <w:p>
            <w:pPr>
              <w:spacing w:after="0"/>
              <w:rPr>
                <w:sz w:val="12"/>
                <w:szCs w:val="12"/>
                <w:color w:val="auto"/>
              </w:rPr>
            </w:pPr>
          </w:p>
        </w:tc>
        <w:tc>
          <w:tcPr>
            <w:tcW w:w="1580" w:type="dxa"/>
            <w:vAlign w:val="bottom"/>
            <w:tcBorders>
              <w:right w:val="single" w:sz="8" w:color="A6A6A6"/>
            </w:tcBorders>
          </w:tcPr>
          <w:p>
            <w:pPr>
              <w:jc w:val="center"/>
              <w:spacing w:after="0" w:line="148" w:lineRule="exact"/>
              <w:rPr>
                <w:sz w:val="20"/>
                <w:szCs w:val="20"/>
                <w:color w:val="auto"/>
              </w:rPr>
            </w:pPr>
            <w:r>
              <w:rPr>
                <w:rFonts w:ascii="Arial" w:cs="Arial" w:eastAsia="Arial" w:hAnsi="Arial"/>
                <w:sz w:val="14"/>
                <w:szCs w:val="14"/>
                <w:color w:val="auto"/>
              </w:rPr>
              <w:t>present and entitled to</w:t>
            </w:r>
          </w:p>
        </w:tc>
        <w:tc>
          <w:tcPr>
            <w:tcW w:w="1020" w:type="dxa"/>
            <w:vAlign w:val="bottom"/>
            <w:tcBorders>
              <w:right w:val="single" w:sz="8" w:color="A6A6A6"/>
            </w:tcBorders>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760" w:type="dxa"/>
            <w:vAlign w:val="bottom"/>
            <w:tcBorders>
              <w:right w:val="single" w:sz="8" w:color="A6A6A6"/>
            </w:tcBorders>
          </w:tcPr>
          <w:p>
            <w:pPr>
              <w:ind w:left="60"/>
              <w:spacing w:after="0"/>
              <w:rPr>
                <w:sz w:val="20"/>
                <w:szCs w:val="20"/>
                <w:color w:val="auto"/>
              </w:rPr>
            </w:pPr>
            <w:r>
              <w:rPr>
                <w:rFonts w:ascii="Arial" w:cs="Arial" w:eastAsia="Arial" w:hAnsi="Arial"/>
                <w:sz w:val="14"/>
                <w:szCs w:val="14"/>
                <w:color w:val="auto"/>
              </w:rPr>
              <w:t>Plan</w:t>
            </w:r>
          </w:p>
        </w:tc>
        <w:tc>
          <w:tcPr>
            <w:tcW w:w="780" w:type="dxa"/>
            <w:vAlign w:val="bottom"/>
            <w:tcBorders>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“Abstain”</w:t>
            </w:r>
          </w:p>
        </w:tc>
        <w:tc>
          <w:tcPr>
            <w:tcW w:w="220" w:type="dxa"/>
            <w:vAlign w:val="bottom"/>
            <w:vMerge w:val="continue"/>
          </w:tcPr>
          <w:p>
            <w:pPr>
              <w:spacing w:after="0"/>
              <w:rPr>
                <w:sz w:val="14"/>
                <w:szCs w:val="14"/>
                <w:color w:val="auto"/>
              </w:rPr>
            </w:pPr>
          </w:p>
        </w:tc>
        <w:tc>
          <w:tcPr>
            <w:tcW w:w="1320" w:type="dxa"/>
            <w:vAlign w:val="bottom"/>
            <w:tcBorders>
              <w:right w:val="single" w:sz="8" w:color="A6A6A6"/>
            </w:tcBorders>
          </w:tcPr>
          <w:p>
            <w:pPr>
              <w:spacing w:after="0"/>
              <w:rPr>
                <w:sz w:val="14"/>
                <w:szCs w:val="14"/>
                <w:color w:val="auto"/>
              </w:rPr>
            </w:pP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vote on this item of</w:t>
            </w:r>
          </w:p>
        </w:tc>
        <w:tc>
          <w:tcPr>
            <w:tcW w:w="1020" w:type="dxa"/>
            <w:vAlign w:val="bottom"/>
            <w:tcBorders>
              <w:right w:val="single" w:sz="8" w:color="A6A6A6"/>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2760" w:type="dxa"/>
            <w:vAlign w:val="bottom"/>
            <w:tcBorders>
              <w:right w:val="single" w:sz="8" w:color="A6A6A6"/>
            </w:tcBorders>
          </w:tcPr>
          <w:p>
            <w:pPr>
              <w:spacing w:after="0"/>
              <w:rPr>
                <w:sz w:val="16"/>
                <w:szCs w:val="16"/>
                <w:color w:val="auto"/>
              </w:rPr>
            </w:pPr>
          </w:p>
        </w:tc>
        <w:tc>
          <w:tcPr>
            <w:tcW w:w="780" w:type="dxa"/>
            <w:vAlign w:val="bottom"/>
            <w:tcBorders>
              <w:right w:val="single" w:sz="8" w:color="A6A6A6"/>
            </w:tcBorders>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right w:val="single" w:sz="8" w:color="A6A6A6"/>
            </w:tcBorders>
          </w:tcPr>
          <w:p>
            <w:pPr>
              <w:spacing w:after="0"/>
              <w:rPr>
                <w:sz w:val="16"/>
                <w:szCs w:val="16"/>
                <w:color w:val="auto"/>
              </w:rPr>
            </w:pP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business</w:t>
            </w:r>
          </w:p>
        </w:tc>
        <w:tc>
          <w:tcPr>
            <w:tcW w:w="1020" w:type="dxa"/>
            <w:vAlign w:val="bottom"/>
            <w:tcBorders>
              <w:right w:val="single" w:sz="8" w:color="A6A6A6"/>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80" w:type="dxa"/>
            <w:vAlign w:val="bottom"/>
            <w:tcBorders>
              <w:bottom w:val="single" w:sz="8" w:color="A6A6A6"/>
            </w:tcBorders>
          </w:tcPr>
          <w:p>
            <w:pPr>
              <w:spacing w:after="0"/>
              <w:rPr>
                <w:sz w:val="4"/>
                <w:szCs w:val="4"/>
                <w:color w:val="auto"/>
              </w:rPr>
            </w:pPr>
          </w:p>
        </w:tc>
        <w:tc>
          <w:tcPr>
            <w:tcW w:w="2760" w:type="dxa"/>
            <w:vAlign w:val="bottom"/>
            <w:tcBorders>
              <w:bottom w:val="single" w:sz="8" w:color="A6A6A6"/>
              <w:right w:val="single" w:sz="8" w:color="A6A6A6"/>
            </w:tcBorders>
          </w:tcPr>
          <w:p>
            <w:pPr>
              <w:spacing w:after="0"/>
              <w:rPr>
                <w:sz w:val="4"/>
                <w:szCs w:val="4"/>
                <w:color w:val="auto"/>
              </w:rPr>
            </w:pPr>
          </w:p>
        </w:tc>
        <w:tc>
          <w:tcPr>
            <w:tcW w:w="780" w:type="dxa"/>
            <w:vAlign w:val="bottom"/>
            <w:tcBorders>
              <w:bottom w:val="single" w:sz="8" w:color="A6A6A6"/>
              <w:right w:val="single" w:sz="8" w:color="A6A6A6"/>
            </w:tcBorders>
          </w:tcPr>
          <w:p>
            <w:pPr>
              <w:spacing w:after="0"/>
              <w:rPr>
                <w:sz w:val="4"/>
                <w:szCs w:val="4"/>
                <w:color w:val="auto"/>
              </w:rPr>
            </w:pPr>
          </w:p>
        </w:tc>
        <w:tc>
          <w:tcPr>
            <w:tcW w:w="220" w:type="dxa"/>
            <w:vAlign w:val="bottom"/>
            <w:tcBorders>
              <w:bottom w:val="single" w:sz="8" w:color="A6A6A6"/>
            </w:tcBorders>
          </w:tcPr>
          <w:p>
            <w:pPr>
              <w:spacing w:after="0"/>
              <w:rPr>
                <w:sz w:val="4"/>
                <w:szCs w:val="4"/>
                <w:color w:val="auto"/>
              </w:rPr>
            </w:pPr>
          </w:p>
        </w:tc>
        <w:tc>
          <w:tcPr>
            <w:tcW w:w="1320" w:type="dxa"/>
            <w:vAlign w:val="bottom"/>
            <w:tcBorders>
              <w:bottom w:val="single" w:sz="8" w:color="A6A6A6"/>
              <w:right w:val="single" w:sz="8" w:color="A6A6A6"/>
            </w:tcBorders>
          </w:tcPr>
          <w:p>
            <w:pPr>
              <w:spacing w:after="0"/>
              <w:rPr>
                <w:sz w:val="4"/>
                <w:szCs w:val="4"/>
                <w:color w:val="auto"/>
              </w:rPr>
            </w:pPr>
          </w:p>
        </w:tc>
        <w:tc>
          <w:tcPr>
            <w:tcW w:w="1580" w:type="dxa"/>
            <w:vAlign w:val="bottom"/>
            <w:tcBorders>
              <w:bottom w:val="single" w:sz="8" w:color="A6A6A6"/>
              <w:right w:val="single" w:sz="8" w:color="A6A6A6"/>
            </w:tcBorders>
          </w:tcPr>
          <w:p>
            <w:pPr>
              <w:spacing w:after="0"/>
              <w:rPr>
                <w:sz w:val="4"/>
                <w:szCs w:val="4"/>
                <w:color w:val="auto"/>
              </w:rPr>
            </w:pPr>
          </w:p>
        </w:tc>
        <w:tc>
          <w:tcPr>
            <w:tcW w:w="1020" w:type="dxa"/>
            <w:vAlign w:val="bottom"/>
            <w:tcBorders>
              <w:bottom w:val="single" w:sz="8" w:color="A6A6A6"/>
              <w:right w:val="single" w:sz="8" w:color="A6A6A6"/>
            </w:tcBorders>
          </w:tcPr>
          <w:p>
            <w:pPr>
              <w:spacing w:after="0"/>
              <w:rPr>
                <w:sz w:val="4"/>
                <w:szCs w:val="4"/>
                <w:color w:val="auto"/>
              </w:rPr>
            </w:pPr>
          </w:p>
        </w:tc>
        <w:tc>
          <w:tcPr>
            <w:tcW w:w="1000" w:type="dxa"/>
            <w:vAlign w:val="bottom"/>
            <w:tcBorders>
              <w:bottom w:val="single" w:sz="8" w:color="A6A6A6"/>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180" w:type="dxa"/>
            <w:vAlign w:val="bottom"/>
          </w:tcPr>
          <w:p>
            <w:pPr>
              <w:spacing w:after="0" w:line="214" w:lineRule="exact"/>
              <w:rPr>
                <w:sz w:val="20"/>
                <w:szCs w:val="20"/>
                <w:color w:val="auto"/>
              </w:rPr>
            </w:pPr>
            <w:r>
              <w:rPr>
                <w:rFonts w:ascii="Arial" w:cs="Arial" w:eastAsia="Arial" w:hAnsi="Arial"/>
                <w:sz w:val="22"/>
                <w:szCs w:val="22"/>
                <w:b w:val="1"/>
                <w:bCs w:val="1"/>
                <w:color w:val="F0533D"/>
              </w:rPr>
              <w:t>4</w:t>
            </w:r>
          </w:p>
        </w:tc>
        <w:tc>
          <w:tcPr>
            <w:tcW w:w="2760" w:type="dxa"/>
            <w:vAlign w:val="bottom"/>
            <w:tcBorders>
              <w:right w:val="single" w:sz="8" w:color="A6A6A6"/>
            </w:tcBorders>
          </w:tcPr>
          <w:p>
            <w:pPr>
              <w:ind w:left="60"/>
              <w:spacing w:after="0"/>
              <w:rPr>
                <w:sz w:val="20"/>
                <w:szCs w:val="20"/>
                <w:color w:val="auto"/>
              </w:rPr>
            </w:pPr>
            <w:r>
              <w:rPr>
                <w:rFonts w:ascii="Arial" w:cs="Arial" w:eastAsia="Arial" w:hAnsi="Arial"/>
                <w:sz w:val="14"/>
                <w:szCs w:val="14"/>
                <w:color w:val="auto"/>
              </w:rPr>
              <w:t>Ratification of the appointment of PwC as</w:t>
            </w:r>
          </w:p>
        </w:tc>
        <w:tc>
          <w:tcPr>
            <w:tcW w:w="780" w:type="dxa"/>
            <w:vAlign w:val="bottom"/>
            <w:tcBorders>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“For”</w:t>
            </w:r>
          </w:p>
        </w:tc>
        <w:tc>
          <w:tcPr>
            <w:tcW w:w="220" w:type="dxa"/>
            <w:vAlign w:val="bottom"/>
          </w:tcPr>
          <w:p>
            <w:pPr>
              <w:spacing w:after="0"/>
              <w:rPr>
                <w:sz w:val="18"/>
                <w:szCs w:val="18"/>
                <w:color w:val="auto"/>
              </w:rPr>
            </w:pPr>
          </w:p>
        </w:tc>
        <w:tc>
          <w:tcPr>
            <w:tcW w:w="1320" w:type="dxa"/>
            <w:vAlign w:val="bottom"/>
            <w:tcBorders>
              <w:right w:val="single" w:sz="8" w:color="A6A6A6"/>
            </w:tcBorders>
          </w:tcPr>
          <w:p>
            <w:pPr>
              <w:ind w:left="120"/>
              <w:spacing w:after="0"/>
              <w:rPr>
                <w:sz w:val="20"/>
                <w:szCs w:val="20"/>
                <w:color w:val="auto"/>
              </w:rPr>
            </w:pPr>
            <w:r>
              <w:rPr>
                <w:rFonts w:ascii="Arial" w:cs="Arial" w:eastAsia="Arial" w:hAnsi="Arial"/>
                <w:sz w:val="14"/>
                <w:szCs w:val="14"/>
                <w:b w:val="1"/>
                <w:bCs w:val="1"/>
                <w:color w:val="F0533D"/>
              </w:rPr>
              <w:t>FOR</w:t>
            </w: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Majority of votes</w:t>
            </w:r>
          </w:p>
        </w:tc>
        <w:tc>
          <w:tcPr>
            <w:tcW w:w="102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w w:val="99"/>
              </w:rPr>
              <w:t>Yes</w:t>
            </w:r>
          </w:p>
        </w:tc>
        <w:tc>
          <w:tcPr>
            <w:tcW w:w="1000" w:type="dxa"/>
            <w:vAlign w:val="bottom"/>
          </w:tcPr>
          <w:p>
            <w:pPr>
              <w:jc w:val="center"/>
              <w:spacing w:after="0"/>
              <w:rPr>
                <w:sz w:val="20"/>
                <w:szCs w:val="20"/>
                <w:color w:val="auto"/>
              </w:rPr>
            </w:pPr>
            <w:r>
              <w:rPr>
                <w:rFonts w:ascii="Arial" w:cs="Arial" w:eastAsia="Arial" w:hAnsi="Arial"/>
                <w:sz w:val="14"/>
                <w:szCs w:val="14"/>
                <w:color w:val="auto"/>
                <w:w w:val="99"/>
              </w:rPr>
              <w:t>Yes</w:t>
            </w: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2760" w:type="dxa"/>
            <w:vAlign w:val="bottom"/>
            <w:tcBorders>
              <w:right w:val="single" w:sz="8" w:color="A6A6A6"/>
            </w:tcBorders>
          </w:tcPr>
          <w:p>
            <w:pPr>
              <w:ind w:left="60"/>
              <w:spacing w:after="0" w:line="145" w:lineRule="exact"/>
              <w:rPr>
                <w:sz w:val="20"/>
                <w:szCs w:val="20"/>
                <w:color w:val="auto"/>
              </w:rPr>
            </w:pPr>
            <w:r>
              <w:rPr>
                <w:rFonts w:ascii="Arial" w:cs="Arial" w:eastAsia="Arial" w:hAnsi="Arial"/>
                <w:sz w:val="14"/>
                <w:szCs w:val="14"/>
                <w:color w:val="auto"/>
              </w:rPr>
              <w:t>our independent registered public</w:t>
            </w:r>
          </w:p>
        </w:tc>
        <w:tc>
          <w:tcPr>
            <w:tcW w:w="780" w:type="dxa"/>
            <w:vAlign w:val="bottom"/>
            <w:tcBorders>
              <w:right w:val="single" w:sz="8" w:color="A6A6A6"/>
            </w:tcBorders>
          </w:tcPr>
          <w:p>
            <w:pPr>
              <w:spacing w:after="0" w:line="145" w:lineRule="exact"/>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“Against”</w:t>
            </w:r>
          </w:p>
        </w:tc>
        <w:tc>
          <w:tcPr>
            <w:tcW w:w="220" w:type="dxa"/>
            <w:vAlign w:val="bottom"/>
            <w:vMerge w:val="restart"/>
          </w:tcPr>
          <w:p>
            <w:pPr>
              <w:ind w:left="20"/>
              <w:spacing w:after="0"/>
              <w:rPr>
                <w:sz w:val="20"/>
                <w:szCs w:val="20"/>
                <w:color w:val="auto"/>
              </w:rPr>
            </w:pPr>
            <w:r>
              <w:rPr>
                <w:rFonts w:ascii="Arial" w:cs="Arial" w:eastAsia="Arial" w:hAnsi="Arial"/>
                <w:sz w:val="14"/>
                <w:szCs w:val="14"/>
                <w:color w:val="auto"/>
              </w:rPr>
              <w:t> </w:t>
            </w:r>
          </w:p>
        </w:tc>
        <w:tc>
          <w:tcPr>
            <w:tcW w:w="1320" w:type="dxa"/>
            <w:vAlign w:val="bottom"/>
            <w:tcBorders>
              <w:right w:val="single" w:sz="8" w:color="A6A6A6"/>
            </w:tcBorders>
          </w:tcPr>
          <w:p>
            <w:pPr>
              <w:spacing w:after="0"/>
              <w:rPr>
                <w:sz w:val="12"/>
                <w:szCs w:val="12"/>
                <w:color w:val="auto"/>
              </w:rPr>
            </w:pPr>
          </w:p>
        </w:tc>
        <w:tc>
          <w:tcPr>
            <w:tcW w:w="1580" w:type="dxa"/>
            <w:vAlign w:val="bottom"/>
            <w:tcBorders>
              <w:right w:val="single" w:sz="8" w:color="A6A6A6"/>
            </w:tcBorders>
          </w:tcPr>
          <w:p>
            <w:pPr>
              <w:jc w:val="center"/>
              <w:spacing w:after="0" w:line="145" w:lineRule="exact"/>
              <w:rPr>
                <w:sz w:val="20"/>
                <w:szCs w:val="20"/>
                <w:color w:val="auto"/>
              </w:rPr>
            </w:pPr>
            <w:r>
              <w:rPr>
                <w:rFonts w:ascii="Arial" w:cs="Arial" w:eastAsia="Arial" w:hAnsi="Arial"/>
                <w:sz w:val="14"/>
                <w:szCs w:val="14"/>
                <w:color w:val="auto"/>
              </w:rPr>
              <w:t>present and entitled to</w:t>
            </w:r>
          </w:p>
        </w:tc>
        <w:tc>
          <w:tcPr>
            <w:tcW w:w="1020" w:type="dxa"/>
            <w:vAlign w:val="bottom"/>
            <w:tcBorders>
              <w:right w:val="single" w:sz="8" w:color="A6A6A6"/>
            </w:tcBorders>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80" w:type="dxa"/>
            <w:vAlign w:val="bottom"/>
          </w:tcPr>
          <w:p>
            <w:pPr>
              <w:spacing w:after="0"/>
              <w:rPr>
                <w:sz w:val="15"/>
                <w:szCs w:val="15"/>
                <w:color w:val="auto"/>
              </w:rPr>
            </w:pPr>
          </w:p>
        </w:tc>
        <w:tc>
          <w:tcPr>
            <w:tcW w:w="2760" w:type="dxa"/>
            <w:vAlign w:val="bottom"/>
            <w:tcBorders>
              <w:right w:val="single" w:sz="8" w:color="A6A6A6"/>
            </w:tcBorders>
          </w:tcPr>
          <w:p>
            <w:pPr>
              <w:ind w:left="60"/>
              <w:spacing w:after="0" w:line="175" w:lineRule="exact"/>
              <w:rPr>
                <w:sz w:val="20"/>
                <w:szCs w:val="20"/>
                <w:color w:val="auto"/>
              </w:rPr>
            </w:pPr>
            <w:r>
              <w:rPr>
                <w:rFonts w:ascii="Arial" w:cs="Arial" w:eastAsia="Arial" w:hAnsi="Arial"/>
                <w:sz w:val="13"/>
                <w:szCs w:val="13"/>
                <w:color w:val="auto"/>
              </w:rPr>
              <w:t>accounting firm for fiscal 2027</w:t>
            </w:r>
            <w:r>
              <w:rPr>
                <w:rFonts w:ascii="Arial" w:cs="Arial" w:eastAsia="Arial" w:hAnsi="Arial"/>
                <w:sz w:val="20"/>
                <w:szCs w:val="20"/>
                <w:color w:val="auto"/>
                <w:vertAlign w:val="superscript"/>
              </w:rPr>
              <w:t>(4)</w:t>
            </w:r>
          </w:p>
        </w:tc>
        <w:tc>
          <w:tcPr>
            <w:tcW w:w="780" w:type="dxa"/>
            <w:vAlign w:val="bottom"/>
            <w:tcBorders>
              <w:right w:val="single" w:sz="8" w:color="A6A6A6"/>
            </w:tcBorders>
          </w:tcPr>
          <w:p>
            <w:pPr>
              <w:spacing w:after="0"/>
              <w:rPr>
                <w:sz w:val="20"/>
                <w:szCs w:val="20"/>
                <w:color w:val="auto"/>
              </w:rPr>
            </w:pPr>
            <w:r>
              <w:rPr>
                <w:rFonts w:ascii="Arial" w:cs="Arial" w:eastAsia="Arial" w:hAnsi="Arial"/>
                <w:sz w:val="14"/>
                <w:szCs w:val="14"/>
                <w:color w:val="F0533D"/>
              </w:rPr>
              <w:t>—</w:t>
            </w:r>
            <w:r>
              <w:rPr>
                <w:rFonts w:ascii="Arial" w:cs="Arial" w:eastAsia="Arial" w:hAnsi="Arial"/>
                <w:sz w:val="14"/>
                <w:szCs w:val="14"/>
                <w:color w:val="000000"/>
              </w:rPr>
              <w:t>“Abstain”</w:t>
            </w:r>
          </w:p>
        </w:tc>
        <w:tc>
          <w:tcPr>
            <w:tcW w:w="220" w:type="dxa"/>
            <w:vAlign w:val="bottom"/>
            <w:vMerge w:val="continue"/>
          </w:tcPr>
          <w:p>
            <w:pPr>
              <w:spacing w:after="0"/>
              <w:rPr>
                <w:sz w:val="15"/>
                <w:szCs w:val="15"/>
                <w:color w:val="auto"/>
              </w:rPr>
            </w:pPr>
          </w:p>
        </w:tc>
        <w:tc>
          <w:tcPr>
            <w:tcW w:w="1320" w:type="dxa"/>
            <w:vAlign w:val="bottom"/>
            <w:tcBorders>
              <w:right w:val="single" w:sz="8" w:color="A6A6A6"/>
            </w:tcBorders>
          </w:tcPr>
          <w:p>
            <w:pPr>
              <w:spacing w:after="0"/>
              <w:rPr>
                <w:sz w:val="15"/>
                <w:szCs w:val="15"/>
                <w:color w:val="auto"/>
              </w:rPr>
            </w:pP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vote on this item of</w:t>
            </w:r>
          </w:p>
        </w:tc>
        <w:tc>
          <w:tcPr>
            <w:tcW w:w="1020" w:type="dxa"/>
            <w:vAlign w:val="bottom"/>
            <w:tcBorders>
              <w:right w:val="single" w:sz="8" w:color="A6A6A6"/>
            </w:tcBorders>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760" w:type="dxa"/>
            <w:vAlign w:val="bottom"/>
            <w:tcBorders>
              <w:right w:val="single" w:sz="8" w:color="A6A6A6"/>
            </w:tcBorders>
          </w:tcPr>
          <w:p>
            <w:pPr>
              <w:spacing w:after="0"/>
              <w:rPr>
                <w:sz w:val="14"/>
                <w:szCs w:val="14"/>
                <w:color w:val="auto"/>
              </w:rPr>
            </w:pPr>
          </w:p>
        </w:tc>
        <w:tc>
          <w:tcPr>
            <w:tcW w:w="780" w:type="dxa"/>
            <w:vAlign w:val="bottom"/>
            <w:tcBorders>
              <w:right w:val="single" w:sz="8" w:color="A6A6A6"/>
            </w:tcBorders>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Borders>
              <w:right w:val="single" w:sz="8" w:color="A6A6A6"/>
            </w:tcBorders>
          </w:tcPr>
          <w:p>
            <w:pPr>
              <w:spacing w:after="0"/>
              <w:rPr>
                <w:sz w:val="14"/>
                <w:szCs w:val="14"/>
                <w:color w:val="auto"/>
              </w:rPr>
            </w:pPr>
          </w:p>
        </w:tc>
        <w:tc>
          <w:tcPr>
            <w:tcW w:w="1580" w:type="dxa"/>
            <w:vAlign w:val="bottom"/>
            <w:tcBorders>
              <w:right w:val="single" w:sz="8" w:color="A6A6A6"/>
            </w:tcBorders>
          </w:tcPr>
          <w:p>
            <w:pPr>
              <w:jc w:val="center"/>
              <w:spacing w:after="0"/>
              <w:rPr>
                <w:sz w:val="20"/>
                <w:szCs w:val="20"/>
                <w:color w:val="auto"/>
              </w:rPr>
            </w:pPr>
            <w:r>
              <w:rPr>
                <w:rFonts w:ascii="Arial" w:cs="Arial" w:eastAsia="Arial" w:hAnsi="Arial"/>
                <w:sz w:val="14"/>
                <w:szCs w:val="14"/>
                <w:color w:val="auto"/>
              </w:rPr>
              <w:t>business</w:t>
            </w:r>
          </w:p>
        </w:tc>
        <w:tc>
          <w:tcPr>
            <w:tcW w:w="1020" w:type="dxa"/>
            <w:vAlign w:val="bottom"/>
            <w:tcBorders>
              <w:right w:val="single" w:sz="8" w:color="A6A6A6"/>
            </w:tcBorders>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80" w:type="dxa"/>
            <w:vAlign w:val="bottom"/>
            <w:tcBorders>
              <w:bottom w:val="single" w:sz="8" w:color="F0533D"/>
            </w:tcBorders>
          </w:tcPr>
          <w:p>
            <w:pPr>
              <w:spacing w:after="0"/>
              <w:rPr>
                <w:sz w:val="3"/>
                <w:szCs w:val="3"/>
                <w:color w:val="auto"/>
              </w:rPr>
            </w:pPr>
          </w:p>
        </w:tc>
        <w:tc>
          <w:tcPr>
            <w:tcW w:w="2760" w:type="dxa"/>
            <w:vAlign w:val="bottom"/>
            <w:tcBorders>
              <w:bottom w:val="single" w:sz="8" w:color="F0533D"/>
            </w:tcBorders>
          </w:tcPr>
          <w:p>
            <w:pPr>
              <w:spacing w:after="0"/>
              <w:rPr>
                <w:sz w:val="3"/>
                <w:szCs w:val="3"/>
                <w:color w:val="auto"/>
              </w:rPr>
            </w:pPr>
          </w:p>
        </w:tc>
        <w:tc>
          <w:tcPr>
            <w:tcW w:w="780" w:type="dxa"/>
            <w:vAlign w:val="bottom"/>
            <w:tcBorders>
              <w:bottom w:val="single" w:sz="8" w:color="F0533D"/>
            </w:tcBorders>
          </w:tcPr>
          <w:p>
            <w:pPr>
              <w:spacing w:after="0"/>
              <w:rPr>
                <w:sz w:val="3"/>
                <w:szCs w:val="3"/>
                <w:color w:val="auto"/>
              </w:rPr>
            </w:pPr>
          </w:p>
        </w:tc>
        <w:tc>
          <w:tcPr>
            <w:tcW w:w="220" w:type="dxa"/>
            <w:vAlign w:val="bottom"/>
            <w:tcBorders>
              <w:bottom w:val="single" w:sz="8" w:color="F0533D"/>
            </w:tcBorders>
          </w:tcPr>
          <w:p>
            <w:pPr>
              <w:spacing w:after="0"/>
              <w:rPr>
                <w:sz w:val="3"/>
                <w:szCs w:val="3"/>
                <w:color w:val="auto"/>
              </w:rPr>
            </w:pPr>
          </w:p>
        </w:tc>
        <w:tc>
          <w:tcPr>
            <w:tcW w:w="1320" w:type="dxa"/>
            <w:vAlign w:val="bottom"/>
            <w:tcBorders>
              <w:bottom w:val="single" w:sz="8" w:color="F0533D"/>
            </w:tcBorders>
          </w:tcPr>
          <w:p>
            <w:pPr>
              <w:spacing w:after="0"/>
              <w:rPr>
                <w:sz w:val="3"/>
                <w:szCs w:val="3"/>
                <w:color w:val="auto"/>
              </w:rPr>
            </w:pPr>
          </w:p>
        </w:tc>
        <w:tc>
          <w:tcPr>
            <w:tcW w:w="1580" w:type="dxa"/>
            <w:vAlign w:val="bottom"/>
            <w:tcBorders>
              <w:bottom w:val="single" w:sz="8" w:color="F0533D"/>
            </w:tcBorders>
          </w:tcPr>
          <w:p>
            <w:pPr>
              <w:spacing w:after="0"/>
              <w:rPr>
                <w:sz w:val="3"/>
                <w:szCs w:val="3"/>
                <w:color w:val="auto"/>
              </w:rPr>
            </w:pPr>
          </w:p>
        </w:tc>
        <w:tc>
          <w:tcPr>
            <w:tcW w:w="1020" w:type="dxa"/>
            <w:vAlign w:val="bottom"/>
            <w:tcBorders>
              <w:bottom w:val="single" w:sz="8" w:color="F0533D"/>
            </w:tcBorders>
          </w:tcPr>
          <w:p>
            <w:pPr>
              <w:spacing w:after="0"/>
              <w:rPr>
                <w:sz w:val="3"/>
                <w:szCs w:val="3"/>
                <w:color w:val="auto"/>
              </w:rPr>
            </w:pPr>
          </w:p>
        </w:tc>
        <w:tc>
          <w:tcPr>
            <w:tcW w:w="1000" w:type="dxa"/>
            <w:vAlign w:val="bottom"/>
            <w:tcBorders>
              <w:bottom w:val="single" w:sz="8" w:color="F0533D"/>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-46355</wp:posOffset>
            </wp:positionV>
            <wp:extent cx="34290" cy="596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-46355</wp:posOffset>
            </wp:positionV>
            <wp:extent cx="34290" cy="596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-46355</wp:posOffset>
            </wp:positionV>
            <wp:extent cx="33655" cy="596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4373245</wp:posOffset>
            </wp:positionH>
            <wp:positionV relativeFrom="paragraph">
              <wp:posOffset>-46355</wp:posOffset>
            </wp:positionV>
            <wp:extent cx="34290" cy="596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-46355</wp:posOffset>
            </wp:positionV>
            <wp:extent cx="33655" cy="596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655" cy="5969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-1851025</wp:posOffset>
            </wp:positionV>
            <wp:extent cx="171450" cy="1714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-1439545</wp:posOffset>
            </wp:positionV>
            <wp:extent cx="171450" cy="1714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-942340</wp:posOffset>
            </wp:positionV>
            <wp:extent cx="171450" cy="1714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0" cy="17145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-445135</wp:posOffset>
            </wp:positionV>
            <wp:extent cx="171450" cy="1714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287" w:lineRule="exact"/>
        <w:rPr>
          <w:sz w:val="20"/>
          <w:szCs w:val="20"/>
          <w:color w:val="auto"/>
        </w:rPr>
      </w:pPr>
    </w:p>
    <w:p>
      <w:pPr>
        <w:ind w:left="540" w:right="279" w:hanging="356"/>
        <w:spacing w:after="0" w:line="199" w:lineRule="auto"/>
        <w:tabs>
          <w:tab w:leader="none" w:pos="540" w:val="left"/>
        </w:tabs>
        <w:numPr>
          <w:ilvl w:val="0"/>
          <w:numId w:val="126"/>
        </w:numPr>
        <w:rPr>
          <w:rFonts w:ascii="Arial" w:cs="Arial" w:eastAsia="Arial" w:hAnsi="Arial"/>
          <w:sz w:val="23"/>
          <w:szCs w:val="23"/>
          <w:color w:val="auto"/>
          <w:vertAlign w:val="superscript"/>
        </w:rPr>
      </w:pPr>
      <w:r>
        <w:rPr>
          <w:rFonts w:ascii="Arial" w:cs="Arial" w:eastAsia="Arial" w:hAnsi="Arial"/>
          <w:sz w:val="15"/>
          <w:szCs w:val="15"/>
          <w:color w:val="auto"/>
        </w:rPr>
        <w:t>If you are a record owner and you sign and submit your proxy card without indicating your voting instructions, your shares will be voted in accordance with the Board’s recommendation.</w:t>
      </w:r>
    </w:p>
    <w:p>
      <w:pPr>
        <w:spacing w:after="0" w:line="5" w:lineRule="exact"/>
        <w:rPr>
          <w:rFonts w:ascii="Arial" w:cs="Arial" w:eastAsia="Arial" w:hAnsi="Arial"/>
          <w:sz w:val="23"/>
          <w:szCs w:val="23"/>
          <w:color w:val="auto"/>
          <w:vertAlign w:val="superscript"/>
        </w:rPr>
      </w:pPr>
    </w:p>
    <w:p>
      <w:pPr>
        <w:ind w:left="540" w:hanging="356"/>
        <w:spacing w:after="0"/>
        <w:tabs>
          <w:tab w:leader="none" w:pos="540" w:val="left"/>
        </w:tabs>
        <w:numPr>
          <w:ilvl w:val="0"/>
          <w:numId w:val="126"/>
        </w:numPr>
        <w:rPr>
          <w:rFonts w:ascii="Arial" w:cs="Arial" w:eastAsia="Arial" w:hAnsi="Arial"/>
          <w:sz w:val="23"/>
          <w:szCs w:val="23"/>
          <w:color w:val="auto"/>
          <w:vertAlign w:val="superscript"/>
        </w:rPr>
      </w:pPr>
      <w:r>
        <w:rPr>
          <w:rFonts w:ascii="Arial" w:cs="Arial" w:eastAsia="Arial" w:hAnsi="Arial"/>
          <w:sz w:val="15"/>
          <w:szCs w:val="15"/>
          <w:color w:val="auto"/>
        </w:rPr>
        <w:t>A broker non-vote will not count as a vote and will have no effect on the outcome Proposals 1, 2 and 3.</w:t>
      </w:r>
    </w:p>
    <w:p>
      <w:pPr>
        <w:spacing w:after="0" w:line="69" w:lineRule="exact"/>
        <w:rPr>
          <w:rFonts w:ascii="Arial" w:cs="Arial" w:eastAsia="Arial" w:hAnsi="Arial"/>
          <w:sz w:val="23"/>
          <w:szCs w:val="23"/>
          <w:color w:val="auto"/>
          <w:vertAlign w:val="superscript"/>
        </w:rPr>
      </w:pPr>
    </w:p>
    <w:p>
      <w:pPr>
        <w:ind w:left="540" w:right="119" w:hanging="356"/>
        <w:spacing w:after="0" w:line="216" w:lineRule="auto"/>
        <w:tabs>
          <w:tab w:leader="none" w:pos="540" w:val="left"/>
        </w:tabs>
        <w:numPr>
          <w:ilvl w:val="0"/>
          <w:numId w:val="126"/>
        </w:numPr>
        <w:rPr>
          <w:rFonts w:ascii="Arial" w:cs="Arial" w:eastAsia="Arial" w:hAnsi="Arial"/>
          <w:sz w:val="23"/>
          <w:szCs w:val="23"/>
          <w:color w:val="auto"/>
          <w:vertAlign w:val="superscript"/>
        </w:rPr>
      </w:pPr>
      <w:r>
        <w:rPr>
          <w:rFonts w:ascii="Arial" w:cs="Arial" w:eastAsia="Arial" w:hAnsi="Arial"/>
          <w:sz w:val="15"/>
          <w:szCs w:val="15"/>
          <w:color w:val="auto"/>
        </w:rPr>
        <w:t>In an uncontested election of directors at which a quorum is present, if any nominee for director receives a greater number of votes “AGAINST” his or her election than votes “FOR” such election, our Bylaws require that such person must tender his or her resignation to the Board, the Chair or the Secretary. Our Bylaws further provide that the independent directors of the Board will then consider the tendered resignation, evaluating the relevant facts and circumstances, and giving due consideration to the best interests of the Company and its stockholders, and shall make a decision within 90 days after the election on whether to accept the tendered resignation. The Board will promptly disclose publicly its decision and, if applicable, the reasons for rejecting the tendered resignation. Cumulative voting in the election of directors is not permitted.</w:t>
      </w:r>
    </w:p>
    <w:p>
      <w:pPr>
        <w:spacing w:after="0" w:line="72" w:lineRule="exact"/>
        <w:rPr>
          <w:rFonts w:ascii="Arial" w:cs="Arial" w:eastAsia="Arial" w:hAnsi="Arial"/>
          <w:sz w:val="23"/>
          <w:szCs w:val="23"/>
          <w:color w:val="auto"/>
          <w:vertAlign w:val="superscript"/>
        </w:rPr>
      </w:pPr>
    </w:p>
    <w:p>
      <w:pPr>
        <w:ind w:left="540" w:right="139" w:hanging="356"/>
        <w:spacing w:after="0" w:line="210" w:lineRule="auto"/>
        <w:tabs>
          <w:tab w:leader="none" w:pos="540" w:val="left"/>
        </w:tabs>
        <w:numPr>
          <w:ilvl w:val="0"/>
          <w:numId w:val="126"/>
        </w:numPr>
        <w:rPr>
          <w:rFonts w:ascii="Arial" w:cs="Arial" w:eastAsia="Arial" w:hAnsi="Arial"/>
          <w:sz w:val="23"/>
          <w:szCs w:val="23"/>
          <w:color w:val="auto"/>
          <w:vertAlign w:val="superscript"/>
        </w:rPr>
      </w:pPr>
      <w:r>
        <w:rPr>
          <w:rFonts w:ascii="Arial" w:cs="Arial" w:eastAsia="Arial" w:hAnsi="Arial"/>
          <w:sz w:val="15"/>
          <w:szCs w:val="15"/>
          <w:color w:val="auto"/>
        </w:rPr>
        <w:t>It is important to note that the Auditor Ratification Proposal (Proposal 4) is non-binding and advisory. While the ratification of the appointment of PwC as our independent registered public accounting firm is not required by our Bylaws or otherwise, if our stockholders fail to ratify the selection, we will consider it notice to the Board and the Audit Committee to consider the selection of a different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193675</wp:posOffset>
            </wp:positionV>
            <wp:extent cx="213995" cy="342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26"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15.  Will my votes be confidential?</w:t>
      </w:r>
    </w:p>
    <w:p>
      <w:pPr>
        <w:spacing w:after="0" w:line="156" w:lineRule="exact"/>
        <w:rPr>
          <w:sz w:val="20"/>
          <w:szCs w:val="20"/>
          <w:color w:val="auto"/>
        </w:rPr>
      </w:pPr>
    </w:p>
    <w:p>
      <w:pPr>
        <w:ind w:left="80" w:right="139"/>
        <w:spacing w:after="0" w:line="249" w:lineRule="auto"/>
        <w:rPr>
          <w:sz w:val="20"/>
          <w:szCs w:val="20"/>
          <w:color w:val="auto"/>
        </w:rPr>
      </w:pPr>
      <w:r>
        <w:rPr>
          <w:rFonts w:ascii="Arial" w:cs="Arial" w:eastAsia="Arial" w:hAnsi="Arial"/>
          <w:sz w:val="17"/>
          <w:szCs w:val="17"/>
          <w:color w:val="auto"/>
        </w:rPr>
        <w:t>Yes. All stockholder meeting proxies, ballots and tabulations that identify individual stockholders are kept confidential and are not available for examination. In addition, the identity or the vote of any stockholder is not disclosed except as required by law.</w:t>
      </w:r>
    </w:p>
    <w:p>
      <w:pPr>
        <w:spacing w:after="0" w:line="196"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KYNDRYL</w:t>
      </w:r>
      <w:r>
        <w:rPr>
          <w:rFonts w:ascii="Arial" w:cs="Arial" w:eastAsia="Arial" w:hAnsi="Arial"/>
          <w:sz w:val="15"/>
          <w:szCs w:val="15"/>
          <w:color w:val="auto"/>
        </w:rPr>
        <w:t xml:space="preserve">  2026 PROXY STATEMENT </w:t>
      </w:r>
      <w:r>
        <w:rPr>
          <w:rFonts w:ascii="Arial" w:cs="Arial" w:eastAsia="Arial" w:hAnsi="Arial"/>
          <w:sz w:val="15"/>
          <w:szCs w:val="15"/>
          <w:b w:val="1"/>
          <w:bCs w:val="1"/>
          <w:color w:val="auto"/>
        </w:rPr>
        <w:t xml:space="preserve"> </w:t>
      </w:r>
      <w:r>
        <w:rPr>
          <w:rFonts w:ascii="Arial" w:cs="Arial" w:eastAsia="Arial" w:hAnsi="Arial"/>
          <w:sz w:val="15"/>
          <w:szCs w:val="15"/>
          <w:color w:val="F0533D"/>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173990</wp:posOffset>
            </wp:positionV>
            <wp:extent cx="699516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4" w:name="page105"/>
    <w:bookmarkEnd w:id="10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right="799"/>
        <w:spacing w:after="0" w:line="270" w:lineRule="auto"/>
        <w:rPr>
          <w:sz w:val="20"/>
          <w:szCs w:val="20"/>
          <w:color w:val="auto"/>
        </w:rPr>
      </w:pPr>
      <w:r>
        <w:rPr>
          <w:rFonts w:ascii="Arial" w:cs="Arial" w:eastAsia="Arial" w:hAnsi="Arial"/>
          <w:sz w:val="22"/>
          <w:szCs w:val="22"/>
          <w:b w:val="1"/>
          <w:bCs w:val="1"/>
          <w:i w:val="1"/>
          <w:iCs w:val="1"/>
          <w:color w:val="auto"/>
        </w:rPr>
        <w:t>16.  I received my proxy materials in hard copy. How may I arrange to receive them electronically?</w:t>
      </w:r>
    </w:p>
    <w:p>
      <w:pPr>
        <w:spacing w:after="0" w:line="83" w:lineRule="exact"/>
        <w:rPr>
          <w:sz w:val="20"/>
          <w:szCs w:val="20"/>
          <w:color w:val="auto"/>
        </w:rPr>
      </w:pPr>
    </w:p>
    <w:p>
      <w:pPr>
        <w:ind w:left="80" w:right="119"/>
        <w:spacing w:after="0" w:line="249" w:lineRule="auto"/>
        <w:rPr>
          <w:sz w:val="20"/>
          <w:szCs w:val="20"/>
          <w:color w:val="auto"/>
        </w:rPr>
      </w:pPr>
      <w:r>
        <w:rPr>
          <w:rFonts w:ascii="Arial" w:cs="Arial" w:eastAsia="Arial" w:hAnsi="Arial"/>
          <w:sz w:val="17"/>
          <w:szCs w:val="17"/>
          <w:color w:val="auto"/>
        </w:rPr>
        <w:t xml:space="preserve">To enroll for electronic delivery, go to our Investor Relations website </w:t>
      </w:r>
      <w:r>
        <w:rPr>
          <w:rFonts w:ascii="Arial" w:cs="Arial" w:eastAsia="Arial" w:hAnsi="Arial"/>
          <w:sz w:val="17"/>
          <w:szCs w:val="17"/>
          <w:b w:val="1"/>
          <w:bCs w:val="1"/>
          <w:i w:val="1"/>
          <w:iCs w:val="1"/>
          <w:color w:val="auto"/>
        </w:rPr>
        <w:t>investors.kyndryl.com</w:t>
      </w:r>
      <w:r>
        <w:rPr>
          <w:rFonts w:ascii="Arial" w:cs="Arial" w:eastAsia="Arial" w:hAnsi="Arial"/>
          <w:sz w:val="17"/>
          <w:szCs w:val="17"/>
          <w:color w:val="auto"/>
        </w:rPr>
        <w:t>, select the “Shareholder Resources” tab, then click on “Consent for materials online” from the dropdown menu and follow the instructions to enroll.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176530</wp:posOffset>
            </wp:positionV>
            <wp:extent cx="213995" cy="342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12"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17.  How do I submit a proposal for inclusion in Kyndryl’s 2027 proxy material?</w:t>
      </w:r>
    </w:p>
    <w:p>
      <w:pPr>
        <w:spacing w:after="0" w:line="156" w:lineRule="exact"/>
        <w:rPr>
          <w:sz w:val="20"/>
          <w:szCs w:val="20"/>
          <w:color w:val="auto"/>
        </w:rPr>
      </w:pPr>
    </w:p>
    <w:p>
      <w:pPr>
        <w:ind w:left="80" w:right="159"/>
        <w:spacing w:after="0" w:line="237" w:lineRule="auto"/>
        <w:rPr>
          <w:sz w:val="20"/>
          <w:szCs w:val="20"/>
          <w:color w:val="auto"/>
        </w:rPr>
      </w:pPr>
      <w:r>
        <w:rPr>
          <w:rFonts w:ascii="Arial" w:cs="Arial" w:eastAsia="Arial" w:hAnsi="Arial"/>
          <w:sz w:val="17"/>
          <w:szCs w:val="17"/>
          <w:color w:val="auto"/>
        </w:rPr>
        <w:t>To be eligible under the SEC’s shareholder proposal rule (Rule 14a-8(e) of the Exchange Act) for inclusion in our 2027 Annual Meeting Proxy Statement and form of proxy, a proposal must be received by our Corporate Secretary on or before February 16, 2027. Failure to deliver a proposal in accordance with this procedure may result in it not being deemed timely received. In addition, for information regarding submission of a director nominee using the Company’s proxy access bylaw, see “Corporate Governance and Board Matters — Director Nomination Process — Stockholder Recommendations and Nominations” in the Corporate Governance and Board Matters section of this Proxy Statement. All proposals or nominations should be sent via registered, certified or express mail to Office of the</w:t>
      </w:r>
    </w:p>
    <w:p>
      <w:pPr>
        <w:ind w:left="80"/>
        <w:spacing w:after="0"/>
        <w:rPr>
          <w:sz w:val="20"/>
          <w:szCs w:val="20"/>
          <w:color w:val="auto"/>
        </w:rPr>
      </w:pPr>
      <w:r>
        <w:rPr>
          <w:rFonts w:ascii="Arial" w:cs="Arial" w:eastAsia="Arial" w:hAnsi="Arial"/>
          <w:sz w:val="17"/>
          <w:szCs w:val="17"/>
          <w:color w:val="auto"/>
        </w:rPr>
        <w:t>Corporate Secretary, Kyndryl Holdings, Inc., One Vanderbilt Avenue,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134620</wp:posOffset>
            </wp:positionV>
            <wp:extent cx="213995" cy="342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33"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18.  How do I submit an item of business for the 2027 Annual Meeting?</w:t>
      </w:r>
    </w:p>
    <w:p>
      <w:pPr>
        <w:spacing w:after="0" w:line="156" w:lineRule="exact"/>
        <w:rPr>
          <w:sz w:val="20"/>
          <w:szCs w:val="20"/>
          <w:color w:val="auto"/>
        </w:rPr>
      </w:pPr>
    </w:p>
    <w:p>
      <w:pPr>
        <w:ind w:left="80" w:right="159"/>
        <w:spacing w:after="0" w:line="237" w:lineRule="auto"/>
        <w:rPr>
          <w:sz w:val="20"/>
          <w:szCs w:val="20"/>
          <w:color w:val="auto"/>
        </w:rPr>
      </w:pPr>
      <w:r>
        <w:rPr>
          <w:rFonts w:ascii="Arial" w:cs="Arial" w:eastAsia="Arial" w:hAnsi="Arial"/>
          <w:sz w:val="17"/>
          <w:szCs w:val="17"/>
          <w:color w:val="auto"/>
        </w:rPr>
        <w:t xml:space="preserve">As set forth in our Bylaws, stockholders who intend to present an appropriate item of business (including director nominations) at the 2027 Annual Meeting of Stockholders (other than a proposal submitted for inclusion in Kyndryl’s Proxy Statement) must provide written notice of such business to Kyndryl’s Corporate Secretary no earlier than March 2, 2027 and no later than April 1, 2027 at the address set forth in Question 17. Our Bylaws, which contain other informational requirements that must be followed in connection with submitting director nominations and any other appropriate items of business for consideration at a meeting of stockholders, are posted on our Investor Relations website at </w:t>
      </w:r>
      <w:r>
        <w:rPr>
          <w:rFonts w:ascii="Arial" w:cs="Arial" w:eastAsia="Arial" w:hAnsi="Arial"/>
          <w:sz w:val="17"/>
          <w:szCs w:val="17"/>
          <w:b w:val="1"/>
          <w:bCs w:val="1"/>
          <w:i w:val="1"/>
          <w:iCs w:val="1"/>
          <w:color w:val="auto"/>
        </w:rPr>
        <w:t>investors.kyndryl.com</w:t>
      </w:r>
      <w:r>
        <w:rPr>
          <w:rFonts w:ascii="Arial" w:cs="Arial" w:eastAsia="Arial" w:hAnsi="Arial"/>
          <w:sz w:val="17"/>
          <w:szCs w:val="17"/>
          <w:color w:val="auto"/>
        </w:rPr>
        <w:t xml:space="preserve"> under Corporate Responsibility: Governance: Governance Documents: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182245</wp:posOffset>
            </wp:positionV>
            <wp:extent cx="213995" cy="342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08" w:lineRule="exact"/>
        <w:rPr>
          <w:sz w:val="20"/>
          <w:szCs w:val="20"/>
          <w:color w:val="auto"/>
        </w:rPr>
      </w:pPr>
    </w:p>
    <w:p>
      <w:pPr>
        <w:ind w:left="480" w:right="799" w:hanging="395"/>
        <w:spacing w:after="0" w:line="250" w:lineRule="auto"/>
        <w:rPr>
          <w:sz w:val="20"/>
          <w:szCs w:val="20"/>
          <w:color w:val="auto"/>
        </w:rPr>
      </w:pPr>
      <w:r>
        <w:rPr>
          <w:rFonts w:ascii="Arial" w:cs="Arial" w:eastAsia="Arial" w:hAnsi="Arial"/>
          <w:sz w:val="22"/>
          <w:szCs w:val="22"/>
          <w:b w:val="1"/>
          <w:bCs w:val="1"/>
          <w:i w:val="1"/>
          <w:iCs w:val="1"/>
          <w:color w:val="auto"/>
        </w:rPr>
        <w:t>19.  What is the deadline to provide my notice pursuant to Rule 14a-19 if I intend to solicit proxies in support of director nominees other than the Company’s nominees at the Company’s 2027 annual meeting?</w:t>
      </w:r>
    </w:p>
    <w:p>
      <w:pPr>
        <w:spacing w:after="0" w:line="105" w:lineRule="exact"/>
        <w:rPr>
          <w:sz w:val="20"/>
          <w:szCs w:val="20"/>
          <w:color w:val="auto"/>
        </w:rPr>
      </w:pPr>
    </w:p>
    <w:p>
      <w:pPr>
        <w:ind w:left="80" w:right="339"/>
        <w:spacing w:after="0" w:line="239" w:lineRule="auto"/>
        <w:rPr>
          <w:sz w:val="20"/>
          <w:szCs w:val="20"/>
          <w:color w:val="auto"/>
        </w:rPr>
      </w:pPr>
      <w:r>
        <w:rPr>
          <w:rFonts w:ascii="Arial" w:cs="Arial" w:eastAsia="Arial" w:hAnsi="Arial"/>
          <w:sz w:val="17"/>
          <w:szCs w:val="17"/>
          <w:color w:val="auto"/>
        </w:rPr>
        <w:t>As set forth in our Bylaws, stockholders who intend to solicit proxies in support of director nominees other than the Company’s nominees must provide a notice that sets forth the information required by Rule 14a-19 under the Exchange Act no earlier than March 2, 2027 and no later than April 1, 2027. The notice should be sent to our Corporate Secretary at the address set forth in Question 17 above via registered, certified or express mail. Our Bylaws also contain other informational requirements that must be followed in connection with submitting director nominations.</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100 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5" w:name="page106"/>
    <w:bookmarkEnd w:id="10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19"/>
          <w:szCs w:val="19"/>
          <w:b w:val="1"/>
          <w:bCs w:val="1"/>
          <w:i w:val="1"/>
          <w:iCs w:val="1"/>
          <w:color w:val="auto"/>
        </w:rPr>
        <w:t>20.  What is “householding” and how does it affect me?</w:t>
      </w:r>
    </w:p>
    <w:p>
      <w:pPr>
        <w:sectPr>
          <w:pgSz w:w="11900" w:h="16838" w:orient="portrait"/>
          <w:cols w:equalWidth="0" w:num="1">
            <w:col w:w="9019"/>
          </w:cols>
          <w:pgMar w:left="1440" w:top="114" w:right="1440" w:bottom="1440" w:gutter="0" w:footer="0" w:header="0"/>
        </w:sectPr>
      </w:pPr>
    </w:p>
    <w:p>
      <w:pPr>
        <w:spacing w:after="0" w:line="191" w:lineRule="exact"/>
        <w:rPr>
          <w:sz w:val="20"/>
          <w:szCs w:val="20"/>
          <w:color w:val="auto"/>
        </w:rPr>
      </w:pPr>
    </w:p>
    <w:p>
      <w:pPr>
        <w:ind w:left="80"/>
        <w:spacing w:after="0" w:line="235"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and Notices with respect to two or more stockholders sharing the same address by delivering a single proxy statement or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w:t>
      </w:r>
    </w:p>
    <w:p>
      <w:pPr>
        <w:spacing w:after="0" w:line="131" w:lineRule="exact"/>
        <w:rPr>
          <w:sz w:val="20"/>
          <w:szCs w:val="20"/>
          <w:color w:val="auto"/>
        </w:rPr>
      </w:pPr>
    </w:p>
    <w:p>
      <w:pPr>
        <w:ind w:left="80" w:right="20"/>
        <w:spacing w:after="0" w:line="244" w:lineRule="auto"/>
        <w:rPr>
          <w:sz w:val="20"/>
          <w:szCs w:val="20"/>
          <w:color w:val="auto"/>
        </w:rPr>
      </w:pPr>
      <w:r>
        <w:rPr>
          <w:rFonts w:ascii="Arial" w:cs="Arial" w:eastAsia="Arial" w:hAnsi="Arial"/>
          <w:sz w:val="17"/>
          <w:szCs w:val="17"/>
          <w:color w:val="auto"/>
        </w:rPr>
        <w:t>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135255</wp:posOffset>
            </wp:positionV>
            <wp:extent cx="213995" cy="342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You may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102235</wp:posOffset>
            </wp:positionV>
            <wp:extent cx="2344420" cy="17532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344420" cy="1753235"/>
                    </a:xfrm>
                    <a:prstGeom prst="rect">
                      <a:avLst/>
                    </a:prstGeom>
                    <a:noFill/>
                  </pic:spPr>
                </pic:pic>
              </a:graphicData>
            </a:graphic>
          </wp:anchor>
        </w:drawing>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16"/>
          <w:szCs w:val="16"/>
          <w:b w:val="1"/>
          <w:bCs w:val="1"/>
          <w:i w:val="1"/>
          <w:iCs w:val="1"/>
          <w:color w:val="auto"/>
        </w:rPr>
        <w:t>Mail your request to:</w:t>
      </w:r>
    </w:p>
    <w:p>
      <w:pPr>
        <w:spacing w:after="0" w:line="13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Broadridge Householding</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Department</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51 Mercedes Way</w:t>
      </w:r>
    </w:p>
    <w:p>
      <w:pPr>
        <w:spacing w:after="0" w:line="5" w:lineRule="exact"/>
        <w:rPr>
          <w:sz w:val="20"/>
          <w:szCs w:val="20"/>
          <w:color w:val="auto"/>
        </w:rPr>
      </w:pPr>
    </w:p>
    <w:p>
      <w:pPr>
        <w:ind w:left="820"/>
        <w:spacing w:after="0"/>
        <w:rPr>
          <w:sz w:val="20"/>
          <w:szCs w:val="20"/>
          <w:color w:val="auto"/>
        </w:rPr>
      </w:pPr>
      <w:r>
        <w:rPr>
          <w:rFonts w:ascii="Arial" w:cs="Arial" w:eastAsia="Arial" w:hAnsi="Arial"/>
          <w:sz w:val="16"/>
          <w:szCs w:val="16"/>
          <w:color w:val="auto"/>
        </w:rPr>
        <w:t>Edgewood, New York 11717</w:t>
      </w:r>
    </w:p>
    <w:p>
      <w:pPr>
        <w:spacing w:after="0" w:line="99" w:lineRule="exact"/>
        <w:rPr>
          <w:sz w:val="20"/>
          <w:szCs w:val="20"/>
          <w:color w:val="auto"/>
        </w:rPr>
      </w:pPr>
    </w:p>
    <w:p>
      <w:pPr>
        <w:ind w:left="820" w:right="399"/>
        <w:spacing w:after="0" w:line="270" w:lineRule="auto"/>
        <w:rPr>
          <w:sz w:val="20"/>
          <w:szCs w:val="20"/>
          <w:color w:val="auto"/>
        </w:rPr>
      </w:pPr>
      <w:r>
        <w:rPr>
          <w:rFonts w:ascii="Arial" w:cs="Arial" w:eastAsia="Arial" w:hAnsi="Arial"/>
          <w:sz w:val="16"/>
          <w:szCs w:val="16"/>
          <w:b w:val="1"/>
          <w:bCs w:val="1"/>
          <w:i w:val="1"/>
          <w:iCs w:val="1"/>
          <w:color w:val="auto"/>
        </w:rPr>
        <w:t>and include your name, the name of your broker or other nominee and your account number(s)</w:t>
      </w:r>
    </w:p>
    <w:p>
      <w:pPr>
        <w:spacing w:after="0" w:line="41" w:lineRule="exact"/>
        <w:rPr>
          <w:sz w:val="20"/>
          <w:szCs w:val="20"/>
          <w:color w:val="auto"/>
        </w:rPr>
      </w:pPr>
    </w:p>
    <w:p>
      <w:pPr>
        <w:ind w:left="820" w:right="419"/>
        <w:spacing w:after="0" w:line="229" w:lineRule="auto"/>
        <w:rPr>
          <w:sz w:val="20"/>
          <w:szCs w:val="20"/>
          <w:color w:val="auto"/>
        </w:rPr>
      </w:pPr>
      <w:r>
        <w:rPr>
          <w:rFonts w:ascii="Arial" w:cs="Arial" w:eastAsia="Arial" w:hAnsi="Arial"/>
          <w:sz w:val="16"/>
          <w:szCs w:val="16"/>
          <w:b w:val="1"/>
          <w:bCs w:val="1"/>
          <w:i w:val="1"/>
          <w:iCs w:val="1"/>
          <w:color w:val="auto"/>
        </w:rPr>
        <w:t>or call the Householding election number:</w:t>
      </w:r>
    </w:p>
    <w:p>
      <w:pPr>
        <w:ind w:left="260"/>
        <w:spacing w:after="0" w:line="229" w:lineRule="auto"/>
        <w:rPr>
          <w:sz w:val="20"/>
          <w:szCs w:val="20"/>
          <w:color w:val="auto"/>
        </w:rPr>
      </w:pPr>
      <w:r>
        <w:rPr>
          <w:rFonts w:ascii="Arial" w:cs="Arial" w:eastAsia="Arial" w:hAnsi="Arial"/>
          <w:sz w:val="16"/>
          <w:szCs w:val="16"/>
          <w:color w:val="auto"/>
        </w:rPr>
        <w:t> </w:t>
      </w:r>
    </w:p>
    <w:p>
      <w:pPr>
        <w:ind w:left="820"/>
        <w:spacing w:after="0"/>
        <w:rPr>
          <w:sz w:val="20"/>
          <w:szCs w:val="20"/>
          <w:color w:val="auto"/>
        </w:rPr>
      </w:pPr>
      <w:r>
        <w:rPr>
          <w:rFonts w:ascii="Arial" w:cs="Arial" w:eastAsia="Arial" w:hAnsi="Arial"/>
          <w:sz w:val="16"/>
          <w:szCs w:val="16"/>
          <w:color w:val="auto"/>
        </w:rPr>
        <w:t>1-866-540-7095</w:t>
      </w:r>
    </w:p>
    <w:p>
      <w:pPr>
        <w:spacing w:after="0" w:line="584" w:lineRule="exact"/>
        <w:rPr>
          <w:sz w:val="20"/>
          <w:szCs w:val="20"/>
          <w:color w:val="auto"/>
        </w:rPr>
      </w:pPr>
    </w:p>
    <w:p>
      <w:pPr>
        <w:sectPr>
          <w:pgSz w:w="11900" w:h="16838" w:orient="portrait"/>
          <w:cols w:equalWidth="0" w:num="2">
            <w:col w:w="5120" w:space="120"/>
            <w:col w:w="3779"/>
          </w:cols>
          <w:pgMar w:left="1440" w:top="114" w:right="1440" w:bottom="1440" w:gutter="0" w:footer="0" w:header="0"/>
          <w:type w:val="continuous"/>
        </w:sectPr>
      </w:pPr>
    </w:p>
    <w:p>
      <w:pPr>
        <w:spacing w:after="0" w:line="54" w:lineRule="exact"/>
        <w:rPr>
          <w:sz w:val="20"/>
          <w:szCs w:val="20"/>
          <w:color w:val="auto"/>
        </w:rPr>
      </w:pPr>
    </w:p>
    <w:p>
      <w:pPr>
        <w:ind w:left="80" w:right="859"/>
        <w:spacing w:after="0" w:line="295" w:lineRule="auto"/>
        <w:rPr>
          <w:sz w:val="20"/>
          <w:szCs w:val="20"/>
          <w:color w:val="auto"/>
        </w:rPr>
      </w:pPr>
      <w:r>
        <w:rPr>
          <w:rFonts w:ascii="Arial" w:cs="Arial" w:eastAsia="Arial" w:hAnsi="Arial"/>
          <w:sz w:val="21"/>
          <w:szCs w:val="21"/>
          <w:b w:val="1"/>
          <w:bCs w:val="1"/>
          <w:i w:val="1"/>
          <w:iCs w:val="1"/>
          <w:color w:val="auto"/>
        </w:rPr>
        <w:t>21.  Members of our household own Kyndryl shares through a number of different brokerage firms. Will we continue to receive multiple sets of materials?</w:t>
      </w:r>
    </w:p>
    <w:p>
      <w:pPr>
        <w:spacing w:after="0" w:line="59" w:lineRule="exact"/>
        <w:rPr>
          <w:sz w:val="20"/>
          <w:szCs w:val="20"/>
          <w:color w:val="auto"/>
        </w:rPr>
      </w:pPr>
    </w:p>
    <w:p>
      <w:pPr>
        <w:ind w:left="80" w:right="439"/>
        <w:spacing w:after="0" w:line="267" w:lineRule="auto"/>
        <w:rPr>
          <w:sz w:val="20"/>
          <w:szCs w:val="20"/>
          <w:color w:val="auto"/>
        </w:rPr>
      </w:pPr>
      <w:r>
        <w:rPr>
          <w:rFonts w:ascii="Arial" w:cs="Arial" w:eastAsia="Arial" w:hAnsi="Arial"/>
          <w:sz w:val="17"/>
          <w:szCs w:val="17"/>
          <w:color w:val="auto"/>
        </w:rPr>
        <w:t>Yes. If you and others sharing a single address hold Kyndryl shares through multiple brokers, you will continue to receive at least one set of proxy materials from each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166370</wp:posOffset>
            </wp:positionV>
            <wp:extent cx="213995" cy="342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97" w:lineRule="exact"/>
        <w:rPr>
          <w:sz w:val="20"/>
          <w:szCs w:val="20"/>
          <w:color w:val="auto"/>
        </w:rPr>
      </w:pPr>
    </w:p>
    <w:p>
      <w:pPr>
        <w:ind w:left="80"/>
        <w:spacing w:after="0"/>
        <w:rPr>
          <w:sz w:val="20"/>
          <w:szCs w:val="20"/>
          <w:color w:val="auto"/>
        </w:rPr>
      </w:pPr>
      <w:r>
        <w:rPr>
          <w:rFonts w:ascii="Arial" w:cs="Arial" w:eastAsia="Arial" w:hAnsi="Arial"/>
          <w:sz w:val="21"/>
          <w:szCs w:val="21"/>
          <w:b w:val="1"/>
          <w:bCs w:val="1"/>
          <w:i w:val="1"/>
          <w:iCs w:val="1"/>
          <w:color w:val="auto"/>
        </w:rPr>
        <w:t>22.  I received a Notice of Internet Availability of Proxy Materials. What does this mean?</w:t>
      </w:r>
    </w:p>
    <w:p>
      <w:pPr>
        <w:spacing w:after="0" w:line="168" w:lineRule="exact"/>
        <w:rPr>
          <w:sz w:val="20"/>
          <w:szCs w:val="20"/>
          <w:color w:val="auto"/>
        </w:rPr>
      </w:pPr>
    </w:p>
    <w:p>
      <w:pPr>
        <w:ind w:left="80" w:right="119"/>
        <w:spacing w:after="0" w:line="244" w:lineRule="auto"/>
        <w:rPr>
          <w:sz w:val="20"/>
          <w:szCs w:val="20"/>
          <w:color w:val="auto"/>
        </w:rPr>
      </w:pPr>
      <w:r>
        <w:rPr>
          <w:rFonts w:ascii="Arial" w:cs="Arial" w:eastAsia="Arial" w:hAnsi="Arial"/>
          <w:sz w:val="17"/>
          <w:szCs w:val="17"/>
          <w:color w:val="auto"/>
        </w:rPr>
        <w:t>Consistent with common practice and in accordance with SEC rules, Kyndryl is distributing proxy materials to some stockholders over the Internet by sending a Notice that explains how to access our proxy materials and vote online. If you received a Notice and would like a printed copy of the proxy materials (including the Annual Report, Proxy Statement and a proxy card), please follow the instructions included in your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177800</wp:posOffset>
            </wp:positionV>
            <wp:extent cx="213995" cy="342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301" w:lineRule="exact"/>
        <w:rPr>
          <w:sz w:val="20"/>
          <w:szCs w:val="20"/>
          <w:color w:val="auto"/>
        </w:rPr>
      </w:pPr>
    </w:p>
    <w:p>
      <w:pPr>
        <w:ind w:left="80" w:right="239"/>
        <w:spacing w:after="0" w:line="270" w:lineRule="auto"/>
        <w:rPr>
          <w:sz w:val="20"/>
          <w:szCs w:val="20"/>
          <w:color w:val="auto"/>
        </w:rPr>
      </w:pPr>
      <w:r>
        <w:rPr>
          <w:rFonts w:ascii="Arial" w:cs="Arial" w:eastAsia="Arial" w:hAnsi="Arial"/>
          <w:sz w:val="22"/>
          <w:szCs w:val="22"/>
          <w:b w:val="1"/>
          <w:bCs w:val="1"/>
          <w:i w:val="1"/>
          <w:iCs w:val="1"/>
          <w:color w:val="auto"/>
        </w:rPr>
        <w:t>23.  I previously consented to receive electronic delivery of my proxy materials. Can you send me a hard copy of these proxy materials?</w:t>
      </w:r>
    </w:p>
    <w:p>
      <w:pPr>
        <w:spacing w:after="0" w:line="140"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FOR RECORD OWNERS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7"/>
          <w:szCs w:val="17"/>
          <w:color w:val="auto"/>
        </w:rPr>
        <w:t>We will deliver promptly, upon request, a separate copy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-111760</wp:posOffset>
            </wp:positionV>
            <wp:extent cx="2198370" cy="3384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198370" cy="338455"/>
                    </a:xfrm>
                    <a:prstGeom prst="rect">
                      <a:avLst/>
                    </a:prstGeom>
                    <a:noFill/>
                  </pic:spPr>
                </pic:pic>
              </a:graphicData>
            </a:graphic>
          </wp:anchor>
        </w:drawing>
      </w:r>
    </w:p>
    <w:p>
      <w:pPr>
        <w:ind w:left="80"/>
        <w:spacing w:after="0"/>
        <w:tabs>
          <w:tab w:leader="none" w:pos="6160" w:val="left"/>
        </w:tabs>
        <w:rPr>
          <w:sz w:val="20"/>
          <w:szCs w:val="20"/>
          <w:color w:val="auto"/>
        </w:rPr>
      </w:pPr>
      <w:r>
        <w:rPr>
          <w:rFonts w:ascii="Arial" w:cs="Arial" w:eastAsia="Arial" w:hAnsi="Arial"/>
          <w:sz w:val="17"/>
          <w:szCs w:val="17"/>
          <w:color w:val="auto"/>
        </w:rPr>
        <w:t>proxy materials. Contact our transfer agent, Computershare Trust</w:t>
      </w:r>
      <w:r>
        <w:rPr>
          <w:sz w:val="20"/>
          <w:szCs w:val="20"/>
          <w:color w:val="auto"/>
        </w:rPr>
        <w:tab/>
      </w:r>
      <w:r>
        <w:rPr>
          <w:rFonts w:ascii="Arial" w:cs="Arial" w:eastAsia="Arial" w:hAnsi="Arial"/>
          <w:sz w:val="16"/>
          <w:szCs w:val="16"/>
          <w:color w:val="auto"/>
        </w:rPr>
        <w:t>833-981-KYND or 781-575-4557</w:t>
      </w:r>
    </w:p>
    <w:p>
      <w:pPr>
        <w:ind w:left="80"/>
        <w:spacing w:after="0"/>
        <w:rPr>
          <w:sz w:val="20"/>
          <w:szCs w:val="20"/>
          <w:color w:val="auto"/>
        </w:rPr>
      </w:pPr>
      <w:r>
        <w:rPr>
          <w:rFonts w:ascii="Arial" w:cs="Arial" w:eastAsia="Arial" w:hAnsi="Arial"/>
          <w:sz w:val="17"/>
          <w:szCs w:val="17"/>
          <w:color w:val="auto"/>
        </w:rPr>
        <w:t>Company, N.A. at:</w:t>
      </w:r>
    </w:p>
    <w:p>
      <w:pPr>
        <w:spacing w:after="0" w:line="102" w:lineRule="exact"/>
        <w:rPr>
          <w:sz w:val="20"/>
          <w:szCs w:val="20"/>
          <w:color w:val="auto"/>
        </w:rPr>
      </w:pPr>
    </w:p>
    <w:p>
      <w:pPr>
        <w:ind w:left="80"/>
        <w:spacing w:after="0"/>
        <w:rPr>
          <w:sz w:val="20"/>
          <w:szCs w:val="20"/>
          <w:color w:val="auto"/>
        </w:rPr>
      </w:pPr>
      <w:r>
        <w:rPr>
          <w:rFonts w:ascii="Arial" w:cs="Arial" w:eastAsia="Arial" w:hAnsi="Arial"/>
          <w:sz w:val="18"/>
          <w:szCs w:val="18"/>
          <w:color w:val="F0533D"/>
        </w:rPr>
        <w:t>FOR HOLDERS IN STREET NAME</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7"/>
          <w:szCs w:val="17"/>
          <w:color w:val="auto"/>
        </w:rPr>
        <w:t>You must contact your bank, broker or other intermediary to receive copies of these materials.</w:t>
      </w:r>
    </w:p>
    <w:p>
      <w:pPr>
        <w:spacing w:after="0" w:line="23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06" w:name="page107"/>
    <w:bookmarkEnd w:id="10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154305</wp:posOffset>
            </wp:positionV>
            <wp:extent cx="213995" cy="342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3995" cy="34290"/>
                    </a:xfrm>
                    <a:prstGeom prst="rect">
                      <a:avLst/>
                    </a:prstGeom>
                    <a:noFill/>
                  </pic:spPr>
                </pic:pic>
              </a:graphicData>
            </a:graphic>
          </wp:anchor>
        </w:drawing>
      </w:r>
    </w:p>
    <w:p>
      <w:pPr>
        <w:spacing w:after="0" w:line="264" w:lineRule="exact"/>
        <w:rPr>
          <w:sz w:val="20"/>
          <w:szCs w:val="20"/>
          <w:color w:val="auto"/>
        </w:rPr>
      </w:pPr>
    </w:p>
    <w:p>
      <w:pPr>
        <w:ind w:left="80"/>
        <w:spacing w:after="0"/>
        <w:rPr>
          <w:sz w:val="20"/>
          <w:szCs w:val="20"/>
          <w:color w:val="auto"/>
        </w:rPr>
      </w:pPr>
      <w:r>
        <w:rPr>
          <w:rFonts w:ascii="Arial" w:cs="Arial" w:eastAsia="Arial" w:hAnsi="Arial"/>
          <w:sz w:val="22"/>
          <w:szCs w:val="22"/>
          <w:b w:val="1"/>
          <w:bCs w:val="1"/>
          <w:i w:val="1"/>
          <w:iCs w:val="1"/>
          <w:color w:val="auto"/>
        </w:rPr>
        <w:t>24.  Who will pay the cost of this proxy solicitation?</w:t>
      </w:r>
    </w:p>
    <w:p>
      <w:pPr>
        <w:spacing w:after="0" w:line="156" w:lineRule="exact"/>
        <w:rPr>
          <w:sz w:val="20"/>
          <w:szCs w:val="20"/>
          <w:color w:val="auto"/>
        </w:rPr>
      </w:pPr>
    </w:p>
    <w:p>
      <w:pPr>
        <w:ind w:left="80" w:right="279"/>
        <w:spacing w:after="0" w:line="241" w:lineRule="auto"/>
        <w:rPr>
          <w:sz w:val="20"/>
          <w:szCs w:val="20"/>
          <w:color w:val="auto"/>
        </w:rPr>
      </w:pPr>
      <w:r>
        <w:rPr>
          <w:rFonts w:ascii="Arial" w:cs="Arial" w:eastAsia="Arial" w:hAnsi="Arial"/>
          <w:sz w:val="17"/>
          <w:szCs w:val="17"/>
          <w:color w:val="auto"/>
        </w:rPr>
        <w:t>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 In addition, we have hired Innisfree M&amp;A Incorporated (“Innisfree”) to solicit proxies. We expect to pay Innisfree a fee of $25,000 plus reasonable expenses for these services.</w:t>
      </w:r>
    </w:p>
    <w:p>
      <w:pPr>
        <w:spacing w:after="0" w:line="342"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27305</wp:posOffset>
            </wp:positionV>
            <wp:extent cx="2905760" cy="100266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90576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240" w:type="dxa"/>
        <w:tblCellMar>
          <w:top w:w="0" w:type="dxa"/>
          <w:left w:w="0" w:type="dxa"/>
          <w:bottom w:w="0" w:type="dxa"/>
          <w:right w:w="0" w:type="dxa"/>
        </w:tblCellMar>
      </w:tblPr>
      <w:tr>
        <w:trPr>
          <w:trHeight w:val="195"/>
        </w:trPr>
        <w:tc>
          <w:tcPr>
            <w:tcW w:w="1160" w:type="dxa"/>
            <w:vAlign w:val="bottom"/>
          </w:tcPr>
          <w:p>
            <w:pPr>
              <w:spacing w:after="0"/>
              <w:rPr>
                <w:sz w:val="16"/>
                <w:szCs w:val="16"/>
                <w:color w:val="auto"/>
              </w:rPr>
            </w:pPr>
          </w:p>
        </w:tc>
        <w:tc>
          <w:tcPr>
            <w:tcW w:w="4200" w:type="dxa"/>
            <w:vAlign w:val="bottom"/>
          </w:tcPr>
          <w:p>
            <w:pPr>
              <w:ind w:left="106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200" w:type="dxa"/>
            <w:vAlign w:val="bottom"/>
          </w:tcPr>
          <w:p>
            <w:pPr>
              <w:ind w:left="1060"/>
              <w:spacing w:after="0" w:line="189" w:lineRule="exact"/>
              <w:rPr>
                <w:sz w:val="20"/>
                <w:szCs w:val="20"/>
                <w:color w:val="auto"/>
              </w:rPr>
            </w:pPr>
            <w:r>
              <w:rPr>
                <w:rFonts w:ascii="Arial" w:cs="Arial" w:eastAsia="Arial" w:hAnsi="Arial"/>
                <w:sz w:val="17"/>
                <w:szCs w:val="17"/>
                <w:b w:val="1"/>
                <w:bCs w:val="1"/>
                <w:color w:val="F0533D"/>
              </w:rPr>
              <w:t>Mark Ringes</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200" w:type="dxa"/>
            <w:vAlign w:val="bottom"/>
          </w:tcPr>
          <w:p>
            <w:pPr>
              <w:ind w:left="1060"/>
              <w:spacing w:after="0" w:line="189" w:lineRule="exact"/>
              <w:rPr>
                <w:sz w:val="20"/>
                <w:szCs w:val="20"/>
                <w:color w:val="auto"/>
              </w:rPr>
            </w:pPr>
            <w:r>
              <w:rPr>
                <w:rFonts w:ascii="Arial" w:cs="Arial" w:eastAsia="Arial" w:hAnsi="Arial"/>
                <w:sz w:val="17"/>
                <w:szCs w:val="17"/>
                <w:b w:val="1"/>
                <w:bCs w:val="1"/>
                <w:color w:val="auto"/>
                <w:w w:val="99"/>
              </w:rPr>
              <w:t>Interim General Counsel and Secretary</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4200" w:type="dxa"/>
            <w:vAlign w:val="bottom"/>
          </w:tcPr>
          <w:p>
            <w:pPr>
              <w:ind w:left="1060"/>
              <w:spacing w:after="0" w:line="189"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189"/>
        </w:trPr>
        <w:tc>
          <w:tcPr>
            <w:tcW w:w="1160" w:type="dxa"/>
            <w:vAlign w:val="bottom"/>
            <w:vMerge w:val="restart"/>
          </w:tcPr>
          <w:p>
            <w:pPr>
              <w:spacing w:after="0"/>
              <w:rPr>
                <w:sz w:val="20"/>
                <w:szCs w:val="20"/>
                <w:color w:val="auto"/>
              </w:rPr>
            </w:pPr>
            <w:r>
              <w:rPr>
                <w:rFonts w:ascii="Arial" w:cs="Arial" w:eastAsia="Arial" w:hAnsi="Arial"/>
                <w:sz w:val="17"/>
                <w:szCs w:val="17"/>
                <w:color w:val="auto"/>
              </w:rPr>
              <w:t xml:space="preserve">  </w:t>
            </w:r>
          </w:p>
        </w:tc>
        <w:tc>
          <w:tcPr>
            <w:tcW w:w="4200" w:type="dxa"/>
            <w:vAlign w:val="bottom"/>
          </w:tcPr>
          <w:p>
            <w:pPr>
              <w:ind w:left="1060"/>
              <w:spacing w:after="0" w:line="189" w:lineRule="exact"/>
              <w:rPr>
                <w:sz w:val="20"/>
                <w:szCs w:val="20"/>
                <w:color w:val="auto"/>
              </w:rPr>
            </w:pPr>
            <w:r>
              <w:rPr>
                <w:rFonts w:ascii="Arial" w:cs="Arial" w:eastAsia="Arial" w:hAnsi="Arial"/>
                <w:sz w:val="17"/>
                <w:szCs w:val="17"/>
                <w:color w:val="auto"/>
              </w:rPr>
              <w:t>New York, NY</w:t>
            </w:r>
          </w:p>
        </w:tc>
        <w:tc>
          <w:tcPr>
            <w:tcW w:w="0" w:type="dxa"/>
            <w:vAlign w:val="bottom"/>
          </w:tcPr>
          <w:p>
            <w:pPr>
              <w:spacing w:after="0"/>
              <w:rPr>
                <w:sz w:val="1"/>
                <w:szCs w:val="1"/>
                <w:color w:val="auto"/>
              </w:rPr>
            </w:pPr>
          </w:p>
        </w:tc>
      </w:tr>
      <w:tr>
        <w:trPr>
          <w:trHeight w:val="225"/>
        </w:trPr>
        <w:tc>
          <w:tcPr>
            <w:tcW w:w="1160" w:type="dxa"/>
            <w:vAlign w:val="bottom"/>
            <w:vMerge w:val="continue"/>
          </w:tcPr>
          <w:p>
            <w:pPr>
              <w:spacing w:after="0"/>
              <w:rPr>
                <w:sz w:val="19"/>
                <w:szCs w:val="19"/>
                <w:color w:val="auto"/>
              </w:rPr>
            </w:pPr>
          </w:p>
        </w:tc>
        <w:tc>
          <w:tcPr>
            <w:tcW w:w="4200" w:type="dxa"/>
            <w:vAlign w:val="bottom"/>
          </w:tcPr>
          <w:p>
            <w:pPr>
              <w:ind w:left="1060"/>
              <w:spacing w:after="0"/>
              <w:rPr>
                <w:sz w:val="20"/>
                <w:szCs w:val="20"/>
                <w:color w:val="auto"/>
              </w:rPr>
            </w:pPr>
            <w:r>
              <w:rPr>
                <w:rFonts w:ascii="Arial" w:cs="Arial" w:eastAsia="Arial" w:hAnsi="Arial"/>
                <w:sz w:val="17"/>
                <w:szCs w:val="17"/>
                <w:color w:val="auto"/>
              </w:rPr>
              <w:t>June 16, 2026</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102 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7" w:name="page108"/>
    <w:bookmarkEnd w:id="10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31"/>
          <w:szCs w:val="31"/>
          <w:b w:val="1"/>
          <w:bCs w:val="1"/>
          <w:color w:val="auto"/>
        </w:rPr>
        <w:t>Forward-Looking Statements</w:t>
      </w:r>
    </w:p>
    <w:p>
      <w:pPr>
        <w:spacing w:after="0" w:line="173" w:lineRule="exact"/>
        <w:rPr>
          <w:sz w:val="20"/>
          <w:szCs w:val="20"/>
          <w:color w:val="auto"/>
        </w:rPr>
      </w:pPr>
    </w:p>
    <w:p>
      <w:pPr>
        <w:ind w:left="80" w:right="119"/>
        <w:spacing w:after="0" w:line="233" w:lineRule="auto"/>
        <w:rPr>
          <w:sz w:val="20"/>
          <w:szCs w:val="20"/>
          <w:color w:val="auto"/>
        </w:rPr>
      </w:pPr>
      <w:r>
        <w:rPr>
          <w:rFonts w:ascii="Arial" w:cs="Arial" w:eastAsia="Arial" w:hAnsi="Arial"/>
          <w:sz w:val="17"/>
          <w:szCs w:val="17"/>
          <w:color w:val="auto"/>
        </w:rPr>
        <w:t>This Proxy Statement contains “forward-looking statements” within the meaning of the Private Securities Litigation Reform Act of 1995. All statements other than statements of historical fact included in this Proxy Statement, including statements concerning the Company’s plans, objectives, goals, beliefs, business strategies, future events, business condition, results of operations, financial position, business outlook, business trends, the outcome of legal and regulatory claims, suits, investigations and other matters, the remediation of material weaknesses and other non-historical statements in this Proxy Statement are forward-looking statements.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Forward-looking statements are based on the Company’s current assumptions and beliefs. The Company’s actual business, financial condition, results of operations, liquidity, cash flows, internal controls, reputation, stock price and key relationships may differ materially from those suggested by forward-looking statements as a result of risks and uncertainties. For a more detailed discussion of these risks and uncertainties, see the information under “Risk Factors” in the Company’s Annual Report on Form 10-K for the fiscal year ended March 31, 2026 that may be further updated from time to time in the Company’s subsequent filings with the U.S. Securities and Exchange Commission. In addition, other risks and uncertainties that are not currently known to the Company or that the Company currently deems immaterial may also impact actual results and outcomes. Any forward-looking statement in this Proxy Statement speaks only as of the date on which it is made. Except as required by law, the Company assumes no obligation to update or revise any forward-looking statements, whether as a result of new information, future events or otherwise. Forward-looking and other statements in this document may also address our Corporate Citizenship progress, plans and goals, and the inclusion of such statements is not an indication that these contents are necessarily material to investors or required to be disclosed in the Company’s filings with the SEC. In addition, historical, current and forward-looking environmental and social-related statements may be based on standards for measuring progress that are still developing, internal controls and processes that continue to evolve, and assumptions that are subject to change in the future. We caution you that these statements are not guarantees of future performance, nor promises that goals or targets will be met, and are subject to numerous and evolving risks and uncertainties that we may not be able to predict or assess. In some cases, we may determine to adjust our commitments, goals or targets or establish new ones to reflect changes in our business, operations or plans.</w:t>
      </w:r>
    </w:p>
    <w:p>
      <w:pPr>
        <w:spacing w:after="0" w:line="140" w:lineRule="exact"/>
        <w:rPr>
          <w:sz w:val="20"/>
          <w:szCs w:val="20"/>
          <w:color w:val="auto"/>
        </w:rPr>
      </w:pPr>
    </w:p>
    <w:p>
      <w:pPr>
        <w:ind w:left="80" w:right="159"/>
        <w:spacing w:after="0" w:line="267" w:lineRule="auto"/>
        <w:rPr>
          <w:sz w:val="20"/>
          <w:szCs w:val="20"/>
          <w:color w:val="auto"/>
        </w:rPr>
      </w:pPr>
      <w:r>
        <w:rPr>
          <w:rFonts w:ascii="Arial" w:cs="Arial" w:eastAsia="Arial" w:hAnsi="Arial"/>
          <w:sz w:val="17"/>
          <w:szCs w:val="17"/>
          <w:color w:val="auto"/>
        </w:rPr>
        <w:t>The information contained on the websites referenced in this Proxy Statement is not, and shall not be deemed to be, incorporated into this filing or any of our other filings with the SEC.</w:t>
      </w:r>
    </w:p>
    <w:p>
      <w:pPr>
        <w:spacing w:after="0" w:line="18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8" w:name="page109"/>
    <w:bookmarkEnd w:id="10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102870</wp:posOffset>
            </wp:positionV>
            <wp:extent cx="5623560" cy="4972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623560" cy="497205"/>
                    </a:xfrm>
                    <a:prstGeom prst="rect">
                      <a:avLst/>
                    </a:prstGeom>
                    <a:noFill/>
                  </pic:spPr>
                </pic:pic>
              </a:graphicData>
            </a:graphic>
          </wp:anchor>
        </w:drawing>
      </w:r>
    </w:p>
    <w:p>
      <w:pPr>
        <w:spacing w:after="0" w:line="64" w:lineRule="exact"/>
        <w:rPr>
          <w:sz w:val="20"/>
          <w:szCs w:val="20"/>
          <w:color w:val="auto"/>
        </w:rPr>
      </w:pPr>
    </w:p>
    <w:p>
      <w:pPr>
        <w:ind w:left="80"/>
        <w:spacing w:after="0"/>
        <w:rPr>
          <w:sz w:val="20"/>
          <w:szCs w:val="20"/>
          <w:color w:val="auto"/>
        </w:rPr>
      </w:pPr>
      <w:r>
        <w:rPr>
          <w:sz w:val="1"/>
          <w:szCs w:val="1"/>
          <w:color w:val="auto"/>
        </w:rPr>
        <w:drawing>
          <wp:inline distT="0" distB="0" distL="0" distR="0">
            <wp:extent cx="137160" cy="497205"/>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37160" cy="497205"/>
                    </a:xfrm>
                    <a:prstGeom prst="rect">
                      <a:avLst/>
                    </a:prstGeom>
                    <a:noFill/>
                    <a:ln>
                      <a:noFill/>
                    </a:ln>
                  </pic:spPr>
                </pic:pic>
              </a:graphicData>
            </a:graphic>
          </wp:inline>
        </w:drawing>
      </w:r>
      <w:r>
        <w:rPr>
          <w:rFonts w:ascii="Arial" w:cs="Arial" w:eastAsia="Arial" w:hAnsi="Arial"/>
          <w:sz w:val="37"/>
          <w:szCs w:val="37"/>
          <w:b w:val="1"/>
          <w:bCs w:val="1"/>
          <w:color w:val="FFFFFF"/>
        </w:rPr>
        <w:t xml:space="preserve"> ANNEX A</w:t>
      </w:r>
    </w:p>
    <w:p>
      <w:pPr>
        <w:spacing w:after="0" w:line="245" w:lineRule="exact"/>
        <w:rPr>
          <w:sz w:val="20"/>
          <w:szCs w:val="20"/>
          <w:color w:val="auto"/>
        </w:rPr>
      </w:pPr>
    </w:p>
    <w:p>
      <w:pPr>
        <w:ind w:left="80" w:right="1899"/>
        <w:spacing w:after="0" w:line="290" w:lineRule="auto"/>
        <w:rPr>
          <w:sz w:val="20"/>
          <w:szCs w:val="20"/>
          <w:color w:val="auto"/>
        </w:rPr>
      </w:pPr>
      <w:r>
        <w:rPr>
          <w:rFonts w:ascii="Arial" w:cs="Arial" w:eastAsia="Arial" w:hAnsi="Arial"/>
          <w:sz w:val="31"/>
          <w:szCs w:val="31"/>
          <w:b w:val="1"/>
          <w:bCs w:val="1"/>
          <w:color w:val="auto"/>
        </w:rPr>
        <w:t>Amended and Restated Kyndryl 2021 Long-Term Performance Plan</w:t>
      </w:r>
    </w:p>
    <w:p>
      <w:pPr>
        <w:spacing w:after="0" w:line="9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The Amended and Restated Kyndryl 2021 Long-Term Performance Plan (the “Plan”), as amended and restated as of the Effective Date, is designed to attract, motivate and retain selected employees of, and other individuals providing services to, the Company. These objectives are accomplished by making long-term incentive and other awards under the Plan, thereby providing the Participants with a proprietary interest in the growth and performance of the Company.</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2.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159" w:hanging="4"/>
        <w:spacing w:after="0" w:line="249" w:lineRule="auto"/>
        <w:tabs>
          <w:tab w:leader="none" w:pos="3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“Assumed Award” – An award granted to certain employees, officers, and directors of the Company under a Prior Plan, which award is assumed by the Company and converted into an Award in connection with the Spin-Off, pursuant to the terms of the Employee Matters Agreement.</w:t>
      </w:r>
    </w:p>
    <w:p>
      <w:pPr>
        <w:spacing w:after="0" w:line="120" w:lineRule="exact"/>
        <w:rPr>
          <w:rFonts w:ascii="Arial" w:cs="Arial" w:eastAsia="Arial" w:hAnsi="Arial"/>
          <w:sz w:val="17"/>
          <w:szCs w:val="17"/>
          <w:color w:val="auto"/>
        </w:rPr>
      </w:pPr>
    </w:p>
    <w:p>
      <w:pPr>
        <w:jc w:val="both"/>
        <w:ind w:left="80" w:right="239" w:hanging="4"/>
        <w:spacing w:after="0" w:line="249" w:lineRule="auto"/>
        <w:tabs>
          <w:tab w:leader="none" w:pos="3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“Awards” – The grant of any form of stock option, stock appreciation right, stock or cash award, whether granted singly, in combination or in tandem, to a Participant pursuant to such terms, conditions, performance requirements, limitations and restrictions as the Committee may establish in order to fulfill the objectives of the Plan.</w:t>
      </w:r>
    </w:p>
    <w:p>
      <w:pPr>
        <w:spacing w:after="0" w:line="120" w:lineRule="exact"/>
        <w:rPr>
          <w:rFonts w:ascii="Arial" w:cs="Arial" w:eastAsia="Arial" w:hAnsi="Arial"/>
          <w:sz w:val="17"/>
          <w:szCs w:val="17"/>
          <w:color w:val="auto"/>
        </w:rPr>
      </w:pPr>
    </w:p>
    <w:p>
      <w:pPr>
        <w:ind w:left="80" w:right="119" w:hanging="4"/>
        <w:spacing w:after="0" w:line="267" w:lineRule="auto"/>
        <w:tabs>
          <w:tab w:leader="none" w:pos="327"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“Award Agreement” – An agreement between the Company and a Participant that sets forth the terms, conditions, performance requirements, limitations and restrictions applicable to an Award.</w:t>
      </w:r>
    </w:p>
    <w:p>
      <w:pPr>
        <w:spacing w:after="0" w:line="105" w:lineRule="exact"/>
        <w:rPr>
          <w:rFonts w:ascii="Arial" w:cs="Arial" w:eastAsia="Arial" w:hAnsi="Arial"/>
          <w:sz w:val="17"/>
          <w:szCs w:val="17"/>
          <w:color w:val="auto"/>
        </w:rPr>
      </w:pPr>
    </w:p>
    <w:p>
      <w:pPr>
        <w:ind w:left="80" w:right="139" w:hanging="4"/>
        <w:spacing w:after="0" w:line="267" w:lineRule="auto"/>
        <w:tabs>
          <w:tab w:leader="none" w:pos="3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“Beneficial Ownership” – Beneficial ownership within the meaning of Rule 13d-3 promulgated under Section 13 of the Exchange Act.</w:t>
      </w:r>
    </w:p>
    <w:p>
      <w:pPr>
        <w:spacing w:after="0" w:line="132" w:lineRule="exact"/>
        <w:rPr>
          <w:rFonts w:ascii="Arial" w:cs="Arial" w:eastAsia="Arial" w:hAnsi="Arial"/>
          <w:sz w:val="17"/>
          <w:szCs w:val="17"/>
          <w:color w:val="auto"/>
        </w:rPr>
      </w:pPr>
    </w:p>
    <w:p>
      <w:pPr>
        <w:ind w:left="340" w:hanging="264"/>
        <w:spacing w:after="0"/>
        <w:tabs>
          <w:tab w:leader="none" w:pos="34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“Board” – The Board of Directors of Kyndryl.</w:t>
      </w:r>
    </w:p>
    <w:p>
      <w:pPr>
        <w:spacing w:after="0" w:line="155" w:lineRule="exact"/>
        <w:rPr>
          <w:rFonts w:ascii="Arial" w:cs="Arial" w:eastAsia="Arial" w:hAnsi="Arial"/>
          <w:sz w:val="17"/>
          <w:szCs w:val="17"/>
          <w:color w:val="auto"/>
        </w:rPr>
      </w:pPr>
    </w:p>
    <w:p>
      <w:pPr>
        <w:ind w:left="80" w:right="99" w:hanging="4"/>
        <w:spacing w:after="0" w:line="234" w:lineRule="auto"/>
        <w:tabs>
          <w:tab w:leader="none" w:pos="28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“Cause” – As determined by the Company, the occurrence of any of the following: (i) embezzlement, misappropriation of corporate funds or other material acts of dishonesty; (ii) commission or conviction of any felony or of any misdemeanor involving moral turpitude, or entry of a plea of guilty or </w:t>
      </w:r>
      <w:r>
        <w:rPr>
          <w:rFonts w:ascii="Arial" w:cs="Arial" w:eastAsia="Arial" w:hAnsi="Arial"/>
          <w:sz w:val="17"/>
          <w:szCs w:val="17"/>
          <w:u w:val="single" w:color="auto"/>
          <w:color w:val="auto"/>
        </w:rPr>
        <w:t>nolo contendere</w:t>
      </w:r>
      <w:r>
        <w:rPr>
          <w:rFonts w:ascii="Arial" w:cs="Arial" w:eastAsia="Arial" w:hAnsi="Arial"/>
          <w:sz w:val="17"/>
          <w:szCs w:val="17"/>
          <w:color w:val="auto"/>
        </w:rPr>
        <w:t xml:space="preserve"> to any felony or misdemeanor (other than a minor traffic violation or other minor infraction); (iii) engagement in any activity that the Participant knows or should know could harm the business or reputation of the Company; (iv) failure to adhere to the Company’s corporate codes, policies or procedures; (v) a breach of any employment agreement, intellectual property agreement, or Award Agreement, which breach is not cured to the Company’s satisfaction within a reasonable period of time after notice of the breach is delivered to the Participant (no notice and cure period is required if the breach cannot be cured as determined by the Company); (vi) failure to perform duties or follow management direction, which failure is not cured to the Company’s satisfaction within a reasonable period of time after notice of the failure is delivered to the Participant (no notice or cure period is required if the failure to perform cannot be cured as determined by the Company); (vii) violation of any statutory, contractual or common law duty or obligation to the Company, including, without limitation, the duty of loyalty; (viii) rendering of services for any organization or engaging directly or indirectly in any business that is or becomes competitive with the Company, or which organization or business, or the rendering of services to such organization or business, is or becomes otherwise prejudicial to or in conflict with the interests of the Company; or (ix) acceptance of an offer to Engage in or Associate with any business that is or becomes competitive with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mere failure to achieve performance objectives shall not constitute Cause.</w:t>
      </w:r>
    </w:p>
    <w:p>
      <w:pPr>
        <w:spacing w:after="0" w:line="133" w:lineRule="exact"/>
        <w:rPr>
          <w:rFonts w:ascii="Arial" w:cs="Arial" w:eastAsia="Arial" w:hAnsi="Arial"/>
          <w:sz w:val="17"/>
          <w:szCs w:val="17"/>
          <w:color w:val="auto"/>
        </w:rPr>
      </w:pPr>
    </w:p>
    <w:p>
      <w:pPr>
        <w:ind w:left="80" w:right="99" w:hanging="4"/>
        <w:spacing w:after="0" w:line="267" w:lineRule="auto"/>
        <w:tabs>
          <w:tab w:leader="none" w:pos="33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“Change in Control” – Except to the extent the applicable Award Agreement or the Committee provides otherwise, the first to occur of any of the following events:</w:t>
      </w:r>
    </w:p>
    <w:p>
      <w:pPr>
        <w:spacing w:after="0" w:line="105" w:lineRule="exact"/>
        <w:rPr>
          <w:rFonts w:ascii="Arial" w:cs="Arial" w:eastAsia="Arial" w:hAnsi="Arial"/>
          <w:sz w:val="17"/>
          <w:szCs w:val="17"/>
          <w:color w:val="auto"/>
        </w:rPr>
      </w:pPr>
    </w:p>
    <w:p>
      <w:pPr>
        <w:ind w:left="900" w:right="99" w:hanging="356"/>
        <w:spacing w:after="0" w:line="244" w:lineRule="auto"/>
        <w:tabs>
          <w:tab w:leader="none" w:pos="90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the acquisition by any Person or related “group” (as such term is used in Section 13(d) and Section 14(d) of the Exchange Act) of Persons, or Persons acting jointly or in concert, of Beneficial Ownership (including control or direction) of more than 50% (on a fully diluted basis) of either (A) the then-outstanding shares of Common Stock (including shares of Common Stock issuable upon the exercise of stock options or</w:t>
      </w:r>
    </w:p>
    <w:p>
      <w:pPr>
        <w:spacing w:after="0" w:line="199"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9" w:name="page110"/>
    <w:bookmarkEnd w:id="10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900" w:right="179"/>
        <w:spacing w:after="0" w:line="241" w:lineRule="auto"/>
        <w:rPr>
          <w:sz w:val="20"/>
          <w:szCs w:val="20"/>
          <w:color w:val="auto"/>
        </w:rPr>
      </w:pPr>
      <w:r>
        <w:rPr>
          <w:rFonts w:ascii="Arial" w:cs="Arial" w:eastAsia="Arial" w:hAnsi="Arial"/>
          <w:sz w:val="17"/>
          <w:szCs w:val="17"/>
          <w:color w:val="auto"/>
        </w:rPr>
        <w:t>warrants, the conversion of convertible stock or debt, and the exercise of any similar right to acquire such shares of Common Stock, in each case then-outstanding) or (B) the combined voting power of the then-outstanding voting securities of Kyndryl entitled to vote in the election of Directors (the “Outstanding Voting Securities”), but excluding any acquisition by the Company or by any employee benefit plan sponsored or maintained by the Company;</w:t>
      </w:r>
    </w:p>
    <w:p>
      <w:pPr>
        <w:spacing w:after="0" w:line="126" w:lineRule="exact"/>
        <w:rPr>
          <w:sz w:val="20"/>
          <w:szCs w:val="20"/>
          <w:color w:val="auto"/>
        </w:rPr>
      </w:pPr>
    </w:p>
    <w:p>
      <w:pPr>
        <w:ind w:left="900" w:right="119" w:hanging="356"/>
        <w:spacing w:after="0" w:line="237" w:lineRule="auto"/>
        <w:tabs>
          <w:tab w:leader="none" w:pos="9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a change in the composition of the Board such that members of the Board during any consecutive 24-month period (the “Incumbent Directors”) cease to constitute a majority of the Board. Any person becoming a Director through election or nomination for election approved by a valid vote of at least a majority of the Incumbent Directors shall be deemed an Incumbent Director; provided, however, that no individual becoming a Director as a result of an actual or threatened election contest, as such terms are used in Rule 14a-12 of Regulation 14A promulgated under the Exchange Act, or as a result of any other actual or threatened solicitation of proxies or consents by or on behalf of any person other than the Board, shall be deemed an Incumbent Director;</w:t>
      </w:r>
    </w:p>
    <w:p>
      <w:pPr>
        <w:spacing w:after="0" w:line="129" w:lineRule="exact"/>
        <w:rPr>
          <w:rFonts w:ascii="Arial" w:cs="Arial" w:eastAsia="Arial" w:hAnsi="Arial"/>
          <w:sz w:val="17"/>
          <w:szCs w:val="17"/>
          <w:color w:val="auto"/>
        </w:rPr>
      </w:pPr>
    </w:p>
    <w:p>
      <w:pPr>
        <w:ind w:left="900" w:hanging="356"/>
        <w:spacing w:after="0"/>
        <w:tabs>
          <w:tab w:leader="none" w:pos="9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approval by the stockholders of Kyndryl of a plan of complete dissolution or liquidation of Kyndryl; or</w:t>
      </w:r>
    </w:p>
    <w:p>
      <w:pPr>
        <w:spacing w:after="0" w:line="155" w:lineRule="exact"/>
        <w:rPr>
          <w:rFonts w:ascii="Arial" w:cs="Arial" w:eastAsia="Arial" w:hAnsi="Arial"/>
          <w:sz w:val="17"/>
          <w:szCs w:val="17"/>
          <w:color w:val="auto"/>
        </w:rPr>
      </w:pPr>
    </w:p>
    <w:p>
      <w:pPr>
        <w:ind w:left="900" w:right="159" w:hanging="356"/>
        <w:spacing w:after="0" w:line="233" w:lineRule="auto"/>
        <w:tabs>
          <w:tab w:leader="none" w:pos="90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consummation of a reorganization, recapitalization, merger, amalgamation, consolidation, statutory share exchange or similar form of corporate transaction involving (x) Kyndryl or (y) any of its subsidiaries, but in the case of this clause (y) only if Outstanding Voting Securities are issued or issuable (a “Business Combination”), or sale, transfer or other disposition of all or substantially all of the business or assets of Kyndryl to an entity that is not an affiliate of the Company (a “Sale”), unless immediately following such Business Combination or Sale: (A) more than 50% of the total voting power of the entity resulting from such Business Combination or the entity that acquired all or substantially all of the business or assets of the Company in such Sale (in either case, the “Surviving Company”), or the ultimate parent entity that has Beneficial Ownership of sufficient voting power to elect a majority of the board of directors (or analogous governing body) of the Surviving Company (the “Parent Company”), is represented by the Outstanding Voting Securities that were outstanding immediately prior to such Business Combination or Sale (or, if applicable, is represented by shares of Common Stock into which the Outstanding Voting Securities were converted pursuant to such Business Combination or Sale), and such voting power among the holders thereof is in substantially the same proportion as the voting power of the Outstanding Voting Securities among the holders thereof immediately prior to the Business Combination or Sale, (B) no Person (other than any employee benefit plan sponsored or maintained by the Surviving Company or the Parent Company) is or becomes the beneficial owner, directly or indirectly, of more than 50% of the total voting power of the outstanding voting securities eligible to elect members of the board of directors (or the analogous governing body) of the Parent Company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or Sale were Board members at the time of the Board’s approval of the execution of the initial agreement providing for such Business Combination or Sale.</w:t>
      </w:r>
    </w:p>
    <w:p>
      <w:pPr>
        <w:spacing w:after="0" w:line="143" w:lineRule="exact"/>
        <w:rPr>
          <w:rFonts w:ascii="Arial" w:cs="Arial" w:eastAsia="Arial" w:hAnsi="Arial"/>
          <w:sz w:val="17"/>
          <w:szCs w:val="17"/>
          <w:color w:val="auto"/>
        </w:rPr>
      </w:pPr>
    </w:p>
    <w:p>
      <w:pPr>
        <w:ind w:left="80" w:right="219" w:hanging="4"/>
        <w:spacing w:after="0" w:line="249" w:lineRule="auto"/>
        <w:tabs>
          <w:tab w:leader="none" w:pos="33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“Code” – The Internal Revenue Code of 1986, as amended from time to time. References to any section of (or rule promulgated under) the Code shall be deemed to include any rules, regulations or other interpretative guidance under such section or rule, and any amendments or successors thereto.</w:t>
      </w:r>
    </w:p>
    <w:p>
      <w:pPr>
        <w:spacing w:after="0" w:line="120" w:lineRule="exact"/>
        <w:rPr>
          <w:rFonts w:ascii="Arial" w:cs="Arial" w:eastAsia="Arial" w:hAnsi="Arial"/>
          <w:sz w:val="17"/>
          <w:szCs w:val="17"/>
          <w:color w:val="auto"/>
        </w:rPr>
      </w:pPr>
    </w:p>
    <w:p>
      <w:pPr>
        <w:ind w:left="80" w:right="319" w:hanging="4"/>
        <w:spacing w:after="0" w:line="267" w:lineRule="auto"/>
        <w:tabs>
          <w:tab w:leader="none" w:pos="279"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“Common Stock” or “stock” – Authorized and issued or unissued common stock of Kyndryl, at such par value as may be established from time to time.</w:t>
      </w:r>
    </w:p>
    <w:p>
      <w:pPr>
        <w:spacing w:after="0" w:line="132" w:lineRule="exact"/>
        <w:rPr>
          <w:rFonts w:ascii="Arial" w:cs="Arial" w:eastAsia="Arial" w:hAnsi="Arial"/>
          <w:sz w:val="17"/>
          <w:szCs w:val="17"/>
          <w:color w:val="auto"/>
        </w:rPr>
      </w:pPr>
    </w:p>
    <w:p>
      <w:pPr>
        <w:ind w:left="280" w:hanging="204"/>
        <w:spacing w:after="0"/>
        <w:tabs>
          <w:tab w:leader="none" w:pos="2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“Committee” – The committee of the Board designated by the Board to administer the Plan.</w:t>
      </w:r>
    </w:p>
    <w:p>
      <w:pPr>
        <w:spacing w:after="0" w:line="155" w:lineRule="exact"/>
        <w:rPr>
          <w:rFonts w:ascii="Arial" w:cs="Arial" w:eastAsia="Arial" w:hAnsi="Arial"/>
          <w:sz w:val="17"/>
          <w:szCs w:val="17"/>
          <w:color w:val="auto"/>
        </w:rPr>
      </w:pPr>
    </w:p>
    <w:p>
      <w:pPr>
        <w:ind w:left="80" w:right="119" w:hanging="4"/>
        <w:spacing w:after="0" w:line="267" w:lineRule="auto"/>
        <w:tabs>
          <w:tab w:leader="none" w:pos="32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“Company” – Kyndryl and its affiliates and subsidiaries including subsidiaries of subsidiaries and partnerships and other business ventures in which Kyndryl has a controlling equity interest.</w:t>
      </w:r>
    </w:p>
    <w:p>
      <w:pPr>
        <w:spacing w:after="0" w:line="145" w:lineRule="exact"/>
        <w:rPr>
          <w:rFonts w:ascii="Arial" w:cs="Arial" w:eastAsia="Arial" w:hAnsi="Arial"/>
          <w:sz w:val="17"/>
          <w:szCs w:val="17"/>
          <w:color w:val="auto"/>
        </w:rPr>
      </w:pPr>
    </w:p>
    <w:p>
      <w:pPr>
        <w:ind w:left="280" w:hanging="204"/>
        <w:spacing w:after="0"/>
        <w:tabs>
          <w:tab w:leader="none" w:pos="2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“Director” – Any member of the Board.</w:t>
      </w:r>
    </w:p>
    <w:p>
      <w:pPr>
        <w:spacing w:after="0" w:line="155" w:lineRule="exact"/>
        <w:rPr>
          <w:rFonts w:ascii="Arial" w:cs="Arial" w:eastAsia="Arial" w:hAnsi="Arial"/>
          <w:sz w:val="17"/>
          <w:szCs w:val="17"/>
          <w:color w:val="auto"/>
        </w:rPr>
      </w:pPr>
    </w:p>
    <w:p>
      <w:pPr>
        <w:jc w:val="both"/>
        <w:ind w:left="80" w:right="439" w:hanging="4"/>
        <w:spacing w:after="0" w:line="267" w:lineRule="auto"/>
        <w:tabs>
          <w:tab w:leader="none" w:pos="38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“Disability” – A condition deemed by the Company to render the Participant disabled and eligible for benefits under the terms of the Kyndryl Long-Term Disability Plan (or any successor plan or similar plan of the Company).</w:t>
      </w:r>
    </w:p>
    <w:p>
      <w:pPr>
        <w:spacing w:after="0" w:line="145" w:lineRule="exact"/>
        <w:rPr>
          <w:rFonts w:ascii="Arial" w:cs="Arial" w:eastAsia="Arial" w:hAnsi="Arial"/>
          <w:sz w:val="17"/>
          <w:szCs w:val="17"/>
          <w:color w:val="auto"/>
        </w:rPr>
      </w:pPr>
    </w:p>
    <w:p>
      <w:pPr>
        <w:ind w:left="340" w:hanging="264"/>
        <w:spacing w:after="0"/>
        <w:tabs>
          <w:tab w:leader="none" w:pos="3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“Effective Date” – The date on which the Plan is approved by the requisite vote of the stockholders of Kyndryl.</w:t>
      </w:r>
    </w:p>
    <w:p>
      <w:pPr>
        <w:spacing w:after="0" w:line="23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A-2 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0" w:name="page111"/>
    <w:bookmarkEnd w:id="1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299" w:hanging="4"/>
        <w:spacing w:after="0" w:line="241" w:lineRule="auto"/>
        <w:tabs>
          <w:tab w:leader="none" w:pos="33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“Engage in or Associate with” – means and includes, without limitation, engagement or association as a sole proprietor, owner, employer, director, partner, principal, joint venture, associate, employee, member, consultant, or contractor. This also includes engagement or association as a stockholder or investor during the course of employment with the Company, and includes beneficial ownership of five percent (5%) or more of any class of outstanding stock of a competitor of the Company following the termination of your employment with the Company.</w:t>
      </w:r>
    </w:p>
    <w:p>
      <w:pPr>
        <w:spacing w:after="0" w:line="125" w:lineRule="exact"/>
        <w:rPr>
          <w:rFonts w:ascii="Arial" w:cs="Arial" w:eastAsia="Arial" w:hAnsi="Arial"/>
          <w:sz w:val="17"/>
          <w:szCs w:val="17"/>
          <w:color w:val="auto"/>
        </w:rPr>
      </w:pPr>
    </w:p>
    <w:p>
      <w:pPr>
        <w:ind w:left="80" w:right="219" w:hanging="4"/>
        <w:spacing w:after="0" w:line="249" w:lineRule="auto"/>
        <w:tabs>
          <w:tab w:leader="none" w:pos="33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“Exchange Act” – The U.S. Securities Exchange Act of 1934, as amended, and any successor thereto. References to any section of (or rule promulgated under) the Exchange Act shall be deemed to include any rules, regulations or other interpretative guidance under such section or rule, and any amendments or successors thereto.</w:t>
      </w:r>
    </w:p>
    <w:p>
      <w:pPr>
        <w:spacing w:after="0" w:line="120" w:lineRule="exact"/>
        <w:rPr>
          <w:rFonts w:ascii="Arial" w:cs="Arial" w:eastAsia="Arial" w:hAnsi="Arial"/>
          <w:sz w:val="17"/>
          <w:szCs w:val="17"/>
          <w:color w:val="auto"/>
        </w:rPr>
      </w:pPr>
    </w:p>
    <w:p>
      <w:pPr>
        <w:ind w:left="80" w:right="119" w:hanging="4"/>
        <w:spacing w:after="0" w:line="241" w:lineRule="auto"/>
        <w:tabs>
          <w:tab w:leader="none" w:pos="33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“Fair Market Value” – The average of the high and low prices of Common Stock on the New York Stock Exchange for the date in question, provided that, if no sales of Common Stock were made on said exchange on that date, the average of the high and low prices of Common Stock as reported for the most recent preceding day on which sales of Common Stock were made on said exchange or, if otherwise determined by the Committee, another reasonable method of determining the fair market value of a share of Common Stock.</w:t>
      </w:r>
    </w:p>
    <w:p>
      <w:pPr>
        <w:spacing w:after="0" w:line="166" w:lineRule="exact"/>
        <w:rPr>
          <w:rFonts w:ascii="Arial" w:cs="Arial" w:eastAsia="Arial" w:hAnsi="Arial"/>
          <w:sz w:val="17"/>
          <w:szCs w:val="17"/>
          <w:color w:val="auto"/>
        </w:rPr>
      </w:pPr>
    </w:p>
    <w:p>
      <w:pPr>
        <w:ind w:left="300" w:hanging="224"/>
        <w:spacing w:after="0"/>
        <w:tabs>
          <w:tab w:leader="none" w:pos="30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“Kyndryl” – Kyndryl Holdings, Inc.</w:t>
      </w:r>
    </w:p>
    <w:p>
      <w:pPr>
        <w:spacing w:after="0" w:line="155" w:lineRule="exact"/>
        <w:rPr>
          <w:rFonts w:ascii="Arial" w:cs="Arial" w:eastAsia="Arial" w:hAnsi="Arial"/>
          <w:sz w:val="17"/>
          <w:szCs w:val="17"/>
          <w:color w:val="auto"/>
        </w:rPr>
      </w:pPr>
    </w:p>
    <w:p>
      <w:pPr>
        <w:ind w:left="80" w:right="239" w:hanging="4"/>
        <w:spacing w:after="0" w:line="241" w:lineRule="auto"/>
        <w:tabs>
          <w:tab w:leader="none" w:pos="32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“Participant” – An individual to whom an Award has been made under the Plan. Awards may be made to (i) any employee of, or any other individual (including consultants and Directors) providing services to, the Company, or (ii) any prospective employee or other service provider of the Company who has accepted an offer of employment or service from the Company. However, incentive stock options may be granted only to individuals who are employed by the Company.</w:t>
      </w:r>
    </w:p>
    <w:p>
      <w:pPr>
        <w:spacing w:after="0" w:line="125" w:lineRule="exact"/>
        <w:rPr>
          <w:rFonts w:ascii="Arial" w:cs="Arial" w:eastAsia="Arial" w:hAnsi="Arial"/>
          <w:sz w:val="17"/>
          <w:szCs w:val="17"/>
          <w:color w:val="auto"/>
        </w:rPr>
      </w:pPr>
    </w:p>
    <w:p>
      <w:pPr>
        <w:ind w:left="80" w:right="99" w:hanging="4"/>
        <w:spacing w:after="0" w:line="244" w:lineRule="auto"/>
        <w:tabs>
          <w:tab w:leader="none" w:pos="28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“Performance Period” – A period established by the Committee over which one or more of the performance criteria referenced in Section 6 shall be measured pursuant to the grant of Long-Term Performance Incentive Awards (whether such Awards take the form of stock, stock units or equivalents or cash). Performance Periods may overlap one another.</w:t>
      </w:r>
    </w:p>
    <w:p>
      <w:pPr>
        <w:spacing w:after="0" w:line="163" w:lineRule="exact"/>
        <w:rPr>
          <w:rFonts w:ascii="Arial" w:cs="Arial" w:eastAsia="Arial" w:hAnsi="Arial"/>
          <w:sz w:val="17"/>
          <w:szCs w:val="17"/>
          <w:color w:val="auto"/>
        </w:rPr>
      </w:pPr>
    </w:p>
    <w:p>
      <w:pPr>
        <w:ind w:left="340" w:hanging="264"/>
        <w:spacing w:after="0"/>
        <w:tabs>
          <w:tab w:leader="none" w:pos="3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“Permitted Transferee” – A Person to whom an Award may be transferred in accordance with Section 10.</w:t>
      </w:r>
    </w:p>
    <w:p>
      <w:pPr>
        <w:spacing w:after="0" w:line="155" w:lineRule="exact"/>
        <w:rPr>
          <w:rFonts w:ascii="Arial" w:cs="Arial" w:eastAsia="Arial" w:hAnsi="Arial"/>
          <w:sz w:val="17"/>
          <w:szCs w:val="17"/>
          <w:color w:val="auto"/>
        </w:rPr>
      </w:pPr>
    </w:p>
    <w:p>
      <w:pPr>
        <w:ind w:left="80" w:right="99" w:hanging="4"/>
        <w:spacing w:after="0" w:line="241" w:lineRule="auto"/>
        <w:tabs>
          <w:tab w:leader="none" w:pos="32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“Person” – A “person” as defined in Section 3(a)(9) of the Exchange Act, as modified and used in Sections 13(d) and 14(d) thereof, except that such term shall not include (i) the Company, (ii) a trustee or other fiduciary holding securities under an employee benefit plan of the Company, (iii) an underwriter temporarily holding securities pursuant to an offering of such securities or (iv) a corporation owned, directly or indirectly, by the stockholders of Kyndryl in substantially the same proportions as their ownership of shares of Common Stock of Kyndryl.</w:t>
      </w:r>
    </w:p>
    <w:p>
      <w:pPr>
        <w:spacing w:after="0" w:line="152" w:lineRule="exact"/>
        <w:rPr>
          <w:rFonts w:ascii="Arial" w:cs="Arial" w:eastAsia="Arial" w:hAnsi="Arial"/>
          <w:sz w:val="17"/>
          <w:szCs w:val="17"/>
          <w:color w:val="auto"/>
        </w:rPr>
      </w:pPr>
    </w:p>
    <w:p>
      <w:pPr>
        <w:ind w:left="360" w:hanging="284"/>
        <w:spacing w:after="0"/>
        <w:tabs>
          <w:tab w:leader="none" w:pos="36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“Prior Plan” – Any Long-Term Performance Plan of International Business Machines Corporation.</w:t>
      </w:r>
    </w:p>
    <w:p>
      <w:pPr>
        <w:spacing w:after="0" w:line="155" w:lineRule="exact"/>
        <w:rPr>
          <w:rFonts w:ascii="Arial" w:cs="Arial" w:eastAsia="Arial" w:hAnsi="Arial"/>
          <w:sz w:val="17"/>
          <w:szCs w:val="17"/>
          <w:color w:val="auto"/>
        </w:rPr>
      </w:pPr>
    </w:p>
    <w:p>
      <w:pPr>
        <w:ind w:left="80" w:right="259" w:hanging="4"/>
        <w:spacing w:after="0" w:line="244" w:lineRule="auto"/>
        <w:tabs>
          <w:tab w:leader="none" w:pos="32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“Spin-Off” – The distribution of shares of Common Stock to the stockholders of International Business Machines Corporation in 2021 pursuant to the Separation and Distribution Agreement and the Employee Matters Agreement between the Company and International Business Machines Corporation entered into in connection with such distribution.</w:t>
      </w:r>
    </w:p>
    <w:p>
      <w:pPr>
        <w:spacing w:after="0" w:line="123" w:lineRule="exact"/>
        <w:rPr>
          <w:rFonts w:ascii="Arial" w:cs="Arial" w:eastAsia="Arial" w:hAnsi="Arial"/>
          <w:sz w:val="17"/>
          <w:szCs w:val="17"/>
          <w:color w:val="auto"/>
        </w:rPr>
      </w:pPr>
    </w:p>
    <w:p>
      <w:pPr>
        <w:ind w:left="80" w:right="99" w:hanging="4"/>
        <w:spacing w:after="0" w:line="241" w:lineRule="auto"/>
        <w:tabs>
          <w:tab w:leader="none" w:pos="327"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“Substitute Awards” – An Award granted under the Plan upon the assumption of, or in substitution for, outstanding equity awards previously granted by a company or other entity in connection with a corporate transaction, such as a merger, combination, consolidation or acquisition of property or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term “Substitute Award” be construed to refer to an award made in connection with the cancellation and repricing of a stock option or stock appreciation right.</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3. Common Stock Available for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color w:val="auto"/>
        </w:rPr>
        <w:t>The number of shares of Common Stock that may be issued under the Plan for Awards granted wholly or partly in stock is 55,500,000, plus the number of shares of Common Stock subject to the Assumed Awards, as may be adjusted pursuant to Section 14 (the “Share Capacity”). Shares of Common Stock may be made available from the authorized but unissued shares of Kyndryl or from shares held in Kyndryl’s treasury and not reserved for some other purpose. For purposes of determining the number of shares of Common Stock issued under the Plan, no shares shall be deemed issued nor reduce the Share Capacity until they are actually delivered to a Participant, or such other person permitted by Section 10. Shares of Common Stock covered by Awards that either wholly or in part are not earned, or that expire or are forfeited, terminated, canceled, settled in cash, payable solely in cash or exchanged for other awards, shall be available for future issuance under Awards. However, shares of Common Stock tendered to or</w:t>
      </w:r>
    </w:p>
    <w:p>
      <w:pPr>
        <w:spacing w:after="0" w:line="209"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1" w:name="page112"/>
    <w:bookmarkEnd w:id="1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339"/>
        <w:spacing w:after="0" w:line="267" w:lineRule="auto"/>
        <w:rPr>
          <w:sz w:val="20"/>
          <w:szCs w:val="20"/>
          <w:color w:val="auto"/>
        </w:rPr>
      </w:pPr>
      <w:r>
        <w:rPr>
          <w:rFonts w:ascii="Arial" w:cs="Arial" w:eastAsia="Arial" w:hAnsi="Arial"/>
          <w:sz w:val="17"/>
          <w:szCs w:val="17"/>
          <w:color w:val="auto"/>
        </w:rPr>
        <w:t>withheld by Kyndryl in connection with the exercise of stock options or SARs, or the payment of tax withholding on any Award, shall not be available for future issuance under Awards.</w:t>
      </w:r>
    </w:p>
    <w:p>
      <w:pPr>
        <w:spacing w:after="0" w:line="105" w:lineRule="exact"/>
        <w:rPr>
          <w:sz w:val="20"/>
          <w:szCs w:val="20"/>
          <w:color w:val="auto"/>
        </w:rPr>
      </w:pPr>
    </w:p>
    <w:p>
      <w:pPr>
        <w:ind w:left="80" w:right="159"/>
        <w:spacing w:after="0" w:line="244" w:lineRule="auto"/>
        <w:rPr>
          <w:sz w:val="20"/>
          <w:szCs w:val="20"/>
          <w:color w:val="auto"/>
        </w:rPr>
      </w:pPr>
      <w:r>
        <w:rPr>
          <w:rFonts w:ascii="Arial" w:cs="Arial" w:eastAsia="Arial" w:hAnsi="Arial"/>
          <w:sz w:val="17"/>
          <w:szCs w:val="17"/>
          <w:color w:val="auto"/>
        </w:rPr>
        <w:t>The maximum amount (based on the fair value of shares of Common Stock underlying Awards on the grant date) of Awards that may be granted in any single fiscal year to any non-employee member of the Board, taken together with any cash fees paid to such non-employee member of the Board during such fiscal year, in each case for services rendered as a non-employee member of the Board, shall be $750,000.</w:t>
      </w:r>
    </w:p>
    <w:p>
      <w:pPr>
        <w:spacing w:after="0" w:line="123" w:lineRule="exact"/>
        <w:rPr>
          <w:sz w:val="20"/>
          <w:szCs w:val="20"/>
          <w:color w:val="auto"/>
        </w:rPr>
      </w:pPr>
    </w:p>
    <w:p>
      <w:pPr>
        <w:ind w:left="80" w:right="139"/>
        <w:spacing w:after="0" w:line="236" w:lineRule="auto"/>
        <w:rPr>
          <w:sz w:val="20"/>
          <w:szCs w:val="20"/>
          <w:color w:val="auto"/>
        </w:rPr>
      </w:pPr>
      <w:r>
        <w:rPr>
          <w:rFonts w:ascii="Arial" w:cs="Arial" w:eastAsia="Arial" w:hAnsi="Arial"/>
          <w:sz w:val="17"/>
          <w:szCs w:val="17"/>
          <w:color w:val="auto"/>
        </w:rPr>
        <w:t xml:space="preserve">Substitute Awards shall not reduce the shares of Common Stock authorized for grant under the Plan. Additionally, in the event that a company acquired by the Company or with which the Company combines has shares available under a pre-existing plan approved by stockholders and not approved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immediately prior to such acquisition or combination.</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4.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99"/>
        <w:spacing w:after="0"/>
        <w:rPr>
          <w:sz w:val="20"/>
          <w:szCs w:val="20"/>
          <w:color w:val="auto"/>
        </w:rPr>
      </w:pPr>
      <w:r>
        <w:rPr>
          <w:rFonts w:ascii="Arial" w:cs="Arial" w:eastAsia="Arial" w:hAnsi="Arial"/>
          <w:sz w:val="17"/>
          <w:szCs w:val="17"/>
          <w:color w:val="auto"/>
        </w:rPr>
        <w:t>The Plan shall be administered by the Committee, which shall have full discretionary powers to select the Participants, to interpret the Plan, to grant waivers of Award restrictions, to continue, accelerate or suspend exercisability, vesting or payment of an Award and to adopt such rules, regulations and guidelines for carrying out the Plan as it may deem necessary or proper. These powers include, but are not limited to, the adoption of modifications, amendments, procedures, subplans and the like as necessary to comply with provisions of the laws and regulations of the countries in which the Company operates in order to assure the viability of Awards granted under the Plan and to enable the Participants regardless of where employed to receive advantages and benefits under the Plan and such laws and regulations. In making any determination or in taking or not taking any action under the Plan, the Committee may obtain and may rely upon the advice of experts, including employees of and professional advisors to the Company. No director, officer or agent of the Company shall be liable for any action or determination taken or made or omitted in good faith under the Plan. All authority granted to the Committee is also authority held by the Board, and all references to Committee shall include the Board to the extent the Board exercises authority under the Plan.</w:t>
      </w:r>
    </w:p>
    <w:p>
      <w:pPr>
        <w:spacing w:after="0" w:line="35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5. Delegation of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199"/>
        <w:spacing w:after="0" w:line="249" w:lineRule="auto"/>
        <w:rPr>
          <w:sz w:val="20"/>
          <w:szCs w:val="20"/>
          <w:color w:val="auto"/>
        </w:rPr>
      </w:pPr>
      <w:r>
        <w:rPr>
          <w:rFonts w:ascii="Arial" w:cs="Arial" w:eastAsia="Arial" w:hAnsi="Arial"/>
          <w:sz w:val="17"/>
          <w:szCs w:val="17"/>
          <w:color w:val="auto"/>
        </w:rPr>
        <w:t>The Committee may delegate to officers of Kyndryl any of its duties, powers and authorities under the Plan pursuant to such conditions or limitations as the Committee may establish, except that only the Committee or the Board may select, and grant Awards to, the Participants who are subject to Section 16 of the Securities Exchange Act of 1934.</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6.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99"/>
        <w:spacing w:after="0" w:line="235" w:lineRule="auto"/>
        <w:rPr>
          <w:sz w:val="20"/>
          <w:szCs w:val="20"/>
          <w:color w:val="auto"/>
        </w:rPr>
      </w:pPr>
      <w:r>
        <w:rPr>
          <w:rFonts w:ascii="Arial" w:cs="Arial" w:eastAsia="Arial" w:hAnsi="Arial"/>
          <w:sz w:val="17"/>
          <w:szCs w:val="17"/>
          <w:color w:val="auto"/>
        </w:rPr>
        <w:t xml:space="preserve">The Committee shall determine the type or types of Awards to be made to each Participant and shall set forth in the related Award Agreement the terms, conditions, performance requirements, and limitations applicable to each Award. Awards may include but are not limited to those listed in this Section 6. Notwithstanding anything to the contrary herein, and subject to Section 15, Awards shall be subject to a condition that vesting of (or lapsing of restrictions on) such Award will not occur until at least the first anniversary of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in its sole discretion, grant Awards that are not subject to the minimum vesting condition with respect to (x) 5% or less of the Share Capacity, as may be adjusted pursuant to Section 14, (y) Awards made to non-employee members of the Board that occur in connection with Kyndryl’s annual meeting of stockholders, and which vest on the earlier of the one-year anniversary of the date of grant or the date of Kyndryl’s next annual meeting of stockholders which is at least 50 weeks after the immediately preceding year’s annual meeting and (z) Substitute Awards that were scheduled to vest within the one year minimum vesting period; and, provided further, the foregoing restriction does not apply to the Committee’s discretion to provide for accelerated exercisability or vesting of any Award, including in cases of a Participant’s termination of employment or service (including as a result of retirement, death or Disability) or a Change in Control in terms of the Awards or otherwise. Awards may be granted singly, in</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A-4 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2" w:name="page113"/>
    <w:bookmarkEnd w:id="112"/>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80" w:right="299"/>
        <w:spacing w:after="0" w:line="249" w:lineRule="auto"/>
        <w:rPr>
          <w:sz w:val="20"/>
          <w:szCs w:val="20"/>
          <w:color w:val="auto"/>
        </w:rPr>
      </w:pPr>
      <w:r>
        <w:rPr>
          <w:rFonts w:ascii="Arial" w:cs="Arial" w:eastAsia="Arial" w:hAnsi="Arial"/>
          <w:sz w:val="17"/>
          <w:szCs w:val="17"/>
          <w:color w:val="auto"/>
        </w:rPr>
        <w:t>combination or in tandem. Awards may also be made in combination or in tandem with, in replacement or payment of, or as alternatives to, grants, rights or compensation earned under any other plan of the Company, including the plan of any acquired entity.</w:t>
      </w:r>
    </w:p>
    <w:p>
      <w:pPr>
        <w:spacing w:after="0" w:line="121" w:lineRule="exact"/>
        <w:rPr>
          <w:sz w:val="20"/>
          <w:szCs w:val="20"/>
          <w:color w:val="auto"/>
        </w:rPr>
      </w:pPr>
    </w:p>
    <w:p>
      <w:pPr>
        <w:ind w:left="80" w:right="99" w:hanging="4"/>
        <w:spacing w:after="0" w:line="234" w:lineRule="auto"/>
        <w:tabs>
          <w:tab w:leader="none" w:pos="3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Stock Option – A grant of a right to purchase a specified number of shares of Common Stock the exercise price of which shall be not less than 100% of Fair Market Value on the date of grant of such right, as determined by the Committee, provided that, in the case of a Substitute Award, the exercise price may be the same as the purchase or designated price of the substituted award. Each stock option granted to a Participant shall expire at such time as determined by the Committee at the time of grant; provided, however, no stock option shall be exercisable on or after the 10th anniversary of its date of grant. A stock option may be in the form of an incentive stock option (“ISO”) which, in addition to being subject to applicable terms, conditions and limitations established by the Committee, complies with Section 422 of the Code including, but not limited to, that (i) the exercise price for an ISO granted to a Participant who, at the time of the grant, owns stock representing more than 10% of the voting power of all classes of stock, shall be not less than 110% of Fair Market Value on the date of grant of such right, (ii) the aggregate Fair Market Value (determined as of the date on which an ISO is granted) of the Common Stock with respect to which ISOs are first exercisable by any employee in any calendar year shall not exceed $100,000 for such employee, (iii) the Award Agreement evidencing an ISO shall designate that it is an ISO, (iv) it must be granted within 10 years from the Effective Date (which is equivalent to the adoption date of the Plan), and (v) it must not be exercisable after the expiration of 10 years from the date of grant (or five years with respect to an ISO granted to a Participant who, at the time of the grant, owns stock representing more than 10% of the voting power of all classes of stock). The number of shares of Common Stock that shall be available for issuance under ISOs granted under the Plan is limited to the initial Share Capacity of 55,500,000.</w:t>
      </w:r>
    </w:p>
    <w:p>
      <w:pPr>
        <w:spacing w:after="0" w:line="133" w:lineRule="exact"/>
        <w:rPr>
          <w:rFonts w:ascii="Arial" w:cs="Arial" w:eastAsia="Arial" w:hAnsi="Arial"/>
          <w:sz w:val="17"/>
          <w:szCs w:val="17"/>
          <w:color w:val="auto"/>
        </w:rPr>
      </w:pPr>
    </w:p>
    <w:p>
      <w:pPr>
        <w:ind w:left="80" w:right="179" w:hanging="4"/>
        <w:spacing w:after="0" w:line="238" w:lineRule="auto"/>
        <w:tabs>
          <w:tab w:leader="none" w:pos="33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Stock Appreciation Right – A right to receive a payment, in cash or Common Stock or a combination thereof, equal in value to the excess of the Fair Market Value of a specified number of shares of Common Stock on the date the stock appreciation right (SAR) is exercised over the grant price of the SAR, which shall not be less than 100% of the Fair Market Value on the date of grant of such SAR, as determined by the Committee, provided that, in the case of a Substitute Award, the exercise price may be the same as the purchase or designated price of the substituted</w:t>
      </w:r>
    </w:p>
    <w:p>
      <w:pPr>
        <w:spacing w:after="0" w:line="4" w:lineRule="exact"/>
        <w:rPr>
          <w:sz w:val="20"/>
          <w:szCs w:val="20"/>
          <w:color w:val="auto"/>
        </w:rPr>
      </w:pPr>
    </w:p>
    <w:p>
      <w:pPr>
        <w:ind w:left="80"/>
        <w:spacing w:after="0"/>
        <w:rPr>
          <w:sz w:val="20"/>
          <w:szCs w:val="20"/>
          <w:color w:val="auto"/>
        </w:rPr>
      </w:pPr>
      <w:r>
        <w:rPr>
          <w:rFonts w:ascii="Arial" w:cs="Arial" w:eastAsia="Arial" w:hAnsi="Arial"/>
          <w:sz w:val="17"/>
          <w:szCs w:val="17"/>
          <w:color w:val="auto"/>
        </w:rPr>
        <w:t>award; provided, however, no SAR shall be exercisable on or after the 10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anniversary of its date of grant.</w:t>
      </w:r>
    </w:p>
    <w:p>
      <w:pPr>
        <w:spacing w:after="0" w:line="55" w:lineRule="exact"/>
        <w:rPr>
          <w:sz w:val="20"/>
          <w:szCs w:val="20"/>
          <w:color w:val="auto"/>
        </w:rPr>
      </w:pPr>
    </w:p>
    <w:p>
      <w:pPr>
        <w:ind w:left="80" w:right="199" w:hanging="4"/>
        <w:spacing w:after="0" w:line="249" w:lineRule="auto"/>
        <w:tabs>
          <w:tab w:leader="none" w:pos="327"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Stock Award – An Award made in stock or denominated in units of stock. An Award made in stock or denominated in units of stock that is subject to restrictions on transfer and/or forfeiture provisions may be referred to as an Award of “Restricted Stock” or “Restricted Stock Units”.</w:t>
      </w:r>
    </w:p>
    <w:p>
      <w:pPr>
        <w:spacing w:after="0" w:line="120" w:lineRule="exact"/>
        <w:rPr>
          <w:rFonts w:ascii="Arial" w:cs="Arial" w:eastAsia="Arial" w:hAnsi="Arial"/>
          <w:sz w:val="17"/>
          <w:szCs w:val="17"/>
          <w:color w:val="auto"/>
        </w:rPr>
      </w:pPr>
    </w:p>
    <w:p>
      <w:pPr>
        <w:ind w:left="80" w:right="379" w:hanging="4"/>
        <w:spacing w:after="0" w:line="267" w:lineRule="auto"/>
        <w:tabs>
          <w:tab w:leader="none" w:pos="336"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Cash Award – An Award denominated in cash with the eventual payment amount subject to future service and such other restrictions and conditions as may be established by the Committee.</w:t>
      </w:r>
    </w:p>
    <w:p>
      <w:pPr>
        <w:spacing w:after="0" w:line="105" w:lineRule="exact"/>
        <w:rPr>
          <w:sz w:val="20"/>
          <w:szCs w:val="20"/>
          <w:color w:val="auto"/>
        </w:rPr>
      </w:pPr>
    </w:p>
    <w:p>
      <w:pPr>
        <w:ind w:left="80" w:right="99"/>
        <w:spacing w:after="0" w:line="239" w:lineRule="auto"/>
        <w:rPr>
          <w:sz w:val="20"/>
          <w:szCs w:val="20"/>
          <w:color w:val="auto"/>
        </w:rPr>
      </w:pPr>
      <w:r>
        <w:rPr>
          <w:rFonts w:ascii="Arial" w:cs="Arial" w:eastAsia="Arial" w:hAnsi="Arial"/>
          <w:sz w:val="17"/>
          <w:szCs w:val="17"/>
          <w:color w:val="auto"/>
        </w:rPr>
        <w:t>All or part of any Award described above may be subject to conditions established by the Committee, and as set forth in the Award Agreement, including, but not limited to, continuous service with the Company, achievement of specific business objectives, increases in specified indices, attaining growth rates and other measurements of performance, engagement or attainment of goals. In addition, the Committee may retain the discretion to reduce or eliminate the amount payable with respect to an Award upon attainment of the applicable measurements of performance and may determine how such measurements are calculated for the applicable Performance Period.</w:t>
      </w:r>
    </w:p>
    <w:p>
      <w:pPr>
        <w:spacing w:after="0" w:line="128" w:lineRule="exact"/>
        <w:rPr>
          <w:sz w:val="20"/>
          <w:szCs w:val="20"/>
          <w:color w:val="auto"/>
        </w:rPr>
      </w:pPr>
    </w:p>
    <w:p>
      <w:pPr>
        <w:ind w:left="80" w:right="99"/>
        <w:spacing w:after="0" w:line="238" w:lineRule="auto"/>
        <w:rPr>
          <w:sz w:val="20"/>
          <w:szCs w:val="20"/>
          <w:color w:val="auto"/>
        </w:rPr>
      </w:pPr>
      <w:r>
        <w:rPr>
          <w:rFonts w:ascii="Arial" w:cs="Arial" w:eastAsia="Arial" w:hAnsi="Arial"/>
          <w:sz w:val="17"/>
          <w:szCs w:val="17"/>
          <w:color w:val="auto"/>
        </w:rPr>
        <w:t>By accepting an Award, a Participant shall be deemed to have accepted and agreed to the terms and conditions of the Plan and the applicable Award Agreement. The Committee may require that a Participant promptly execute and return to the Company the applicable Award Agreement evidencing the Participant’s acceptance of and agreement to the terms and conditions of the Plan and the applicable Award as a condition precedent to any Common Stock becoming issuable or deliverable by the Company pursuant to the applicable Award. The Committee may require any individual receiving shares pursuant to an Award to represent and warrant in writing that the individual is acquiring the shares for investment and without any present intention to sell or distribute such shares.</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7. Payment of Awards</w:t>
      </w:r>
      <w:r>
        <w:rPr>
          <w:rFonts w:ascii="Arial" w:cs="Arial" w:eastAsia="Arial" w:hAnsi="Arial"/>
          <w:sz w:val="21"/>
          <w:szCs w:val="21"/>
          <w:color w:val="F0533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26" w:lineRule="exact"/>
        <w:rPr>
          <w:sz w:val="20"/>
          <w:szCs w:val="20"/>
          <w:color w:val="auto"/>
        </w:rPr>
      </w:pPr>
    </w:p>
    <w:p>
      <w:pPr>
        <w:ind w:left="80" w:right="199"/>
        <w:spacing w:after="0" w:line="237" w:lineRule="auto"/>
        <w:rPr>
          <w:sz w:val="20"/>
          <w:szCs w:val="20"/>
          <w:color w:val="auto"/>
        </w:rPr>
      </w:pPr>
      <w:r>
        <w:rPr>
          <w:rFonts w:ascii="Arial" w:cs="Arial" w:eastAsia="Arial" w:hAnsi="Arial"/>
          <w:sz w:val="17"/>
          <w:szCs w:val="17"/>
          <w:color w:val="auto"/>
        </w:rPr>
        <w:t>Payment of Awards may be made in the form of cash, stock or combinations thereof and may include such restrictions as the Committee shall determine. Further, with Committee approval, payments may be deferred, either in the form of installments or as a future lump-sum payment, in accordance with such procedures or a separate plan as may be established from time to time by the Company. Any deferred payment, whether elected by the Participant or specified by the Award Agreement or the Committee, may require the payment to be forfeited in accordance with the provisions of Section 13. Dividends or dividend equivalent rights may be extended to and made part of any Award denominated in stock or units of stock (other than stock options or SARs), subject to such terms, conditions and</w:t>
      </w:r>
    </w:p>
    <w:p>
      <w:pPr>
        <w:spacing w:after="0" w:line="205"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3" w:name="page114"/>
    <w:bookmarkEnd w:id="113"/>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99"/>
        <w:spacing w:after="0" w:line="237" w:lineRule="auto"/>
        <w:rPr>
          <w:sz w:val="20"/>
          <w:szCs w:val="20"/>
          <w:color w:val="auto"/>
        </w:rPr>
      </w:pPr>
      <w:r>
        <w:rPr>
          <w:rFonts w:ascii="Arial" w:cs="Arial" w:eastAsia="Arial" w:hAnsi="Arial"/>
          <w:sz w:val="17"/>
          <w:szCs w:val="17"/>
          <w:color w:val="auto"/>
        </w:rPr>
        <w:t>restrictions as the Committee may establish; provided, that, notwithstanding anything herein to the contrary, any dividends or dividend equivalents payable with respect to any Award or any portion of an Award may only be paid to the Participant to the extent the vesting conditions applicable to such Award or portion thereof are subsequently satisfied, and any dividends or dividend equivalents with respect to any Award or any portion thereof that does not become vested shall be forfeited. The Committee may also establish rules and procedures for the crediting of interest on deferred cash payments and dividend equivalents for deferred payments denominated in stock or units of stock. At the discretion of the Committee, a Participant may be offered an election to substitute an Award for another Award or Awards of the same or different type.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8. Stock Option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139"/>
        <w:spacing w:after="0" w:line="239" w:lineRule="auto"/>
        <w:rPr>
          <w:sz w:val="20"/>
          <w:szCs w:val="20"/>
          <w:color w:val="auto"/>
        </w:rPr>
      </w:pPr>
      <w:r>
        <w:rPr>
          <w:rFonts w:ascii="Arial" w:cs="Arial" w:eastAsia="Arial" w:hAnsi="Arial"/>
          <w:sz w:val="17"/>
          <w:szCs w:val="17"/>
          <w:color w:val="auto"/>
        </w:rPr>
        <w:t>The price at which shares of Common Stock may be purchased under a stock option shall be paid in full in cash at the time of the exercise or, if permitted by the Committee, by means of tendering Common Stock or surrendering another Award or through any other method specified in an Award Agreement or by the Committee, or any combination thereof. The Committee shall determine acceptable methods of tendering Common Stock or other Awards and may impose such conditions on the use of Common Stock or other Awards to exercise a stock option as it deems appropriate.</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9.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99"/>
        <w:spacing w:after="0" w:line="236" w:lineRule="auto"/>
        <w:rPr>
          <w:sz w:val="20"/>
          <w:szCs w:val="20"/>
          <w:color w:val="auto"/>
        </w:rPr>
      </w:pPr>
      <w:r>
        <w:rPr>
          <w:rFonts w:ascii="Arial" w:cs="Arial" w:eastAsia="Arial" w:hAnsi="Arial"/>
          <w:sz w:val="17"/>
          <w:szCs w:val="17"/>
          <w:color w:val="auto"/>
        </w:rPr>
        <w:t>The Company shall have the right to withhold from wages, from amounts otherwise payable to the Participant, or from the payment or settlement of any Award, or may otherwise require the Participant to pay, or make arrangements acceptable to the Company for the payment of, any and all federal, state, local and foreign tax withholding that in the opinion of the Company is required by law. The Company shall have the right to deduct applicable taxes from any Award payment and withhold, at the time of delivery or vesting of shares under the Plan and up to the withholding amounts determined by the Company to be required by law, a number of shares for payment of taxes or to take such other action as may be necessary as determined by the Company to satisfy all obligations for withholding of such taxes. The Company may, at its discretion, delay the delivery of shares or cash otherwise deliverable to a Participant in connection with the settlement of an Award until such time arrangements have been made to ensure the remittance of all taxes due from the Participant in connection with the Award.</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10. Transferability</w:t>
      </w:r>
      <w:r>
        <w:rPr>
          <w:rFonts w:ascii="Arial" w:cs="Arial" w:eastAsia="Arial" w:hAnsi="Arial"/>
          <w:sz w:val="21"/>
          <w:szCs w:val="21"/>
          <w:color w:val="F0533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13" w:lineRule="exact"/>
        <w:rPr>
          <w:sz w:val="20"/>
          <w:szCs w:val="20"/>
          <w:color w:val="auto"/>
        </w:rPr>
      </w:pPr>
    </w:p>
    <w:p>
      <w:pPr>
        <w:ind w:left="80" w:right="219"/>
        <w:spacing w:after="0" w:line="236" w:lineRule="auto"/>
        <w:rPr>
          <w:sz w:val="20"/>
          <w:szCs w:val="20"/>
          <w:color w:val="auto"/>
        </w:rPr>
      </w:pPr>
      <w:r>
        <w:rPr>
          <w:rFonts w:ascii="Arial" w:cs="Arial" w:eastAsia="Arial" w:hAnsi="Arial"/>
          <w:sz w:val="17"/>
          <w:szCs w:val="17"/>
          <w:color w:val="auto"/>
        </w:rPr>
        <w:t>No Award shall be transferable or assignable, or payable to or exercisable by, anyone other than the Participant to whom it was granted, except (a) by law, will or the laws of descent and distribution, (b) as a result of the Disability of a Participant or (c) that the Committee (in the form of an Award Agreement or otherwise) may permit transfers of Awards by gift or otherwise to a member of a Participant’s immediate family or trusts whose beneficiaries are members of the Participant’s immediate family, or to such other persons or entities as may be approved by the Committee including, but not limited to, pursuant to a qualified domestic relations order as defined in the Code or Title I of the Employee Retirement Income Security Act or the rules thereunder. Notwithstanding the foregoing, in no event shall an Award be transferred for value or ISOs be transferable or assignable other than by will or by the laws of descent and distribution.</w:t>
      </w:r>
    </w:p>
    <w:p>
      <w:pPr>
        <w:spacing w:after="0" w:line="133"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color w:val="auto"/>
        </w:rPr>
        <w:t>Subject to procedures of the Company established by the Committee, the Participants may, from time to time, name beneficiaries (who may be named contingently or successively) to whom benefits under the Plan are to be paid in case of a Participant’s death before such Participant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 In the event of the death or Disability of a Participant, the Participant’s estate, beneficiaries or representative, as the case may be, shall have the rights and duties of the Participant, if any, under the applicable Award Agreement.</w:t>
      </w:r>
    </w:p>
    <w:p>
      <w:pPr>
        <w:spacing w:after="0" w:line="218"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11. Amendment, Modification, Suspension or Discontinuance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13" w:lineRule="exact"/>
        <w:rPr>
          <w:sz w:val="20"/>
          <w:szCs w:val="20"/>
          <w:color w:val="auto"/>
        </w:rPr>
      </w:pPr>
    </w:p>
    <w:p>
      <w:pPr>
        <w:ind w:left="80" w:right="99"/>
        <w:spacing w:after="0" w:line="241" w:lineRule="auto"/>
        <w:rPr>
          <w:sz w:val="20"/>
          <w:szCs w:val="20"/>
          <w:color w:val="auto"/>
        </w:rPr>
      </w:pPr>
      <w:r>
        <w:rPr>
          <w:rFonts w:ascii="Arial" w:cs="Arial" w:eastAsia="Arial" w:hAnsi="Arial"/>
          <w:sz w:val="17"/>
          <w:szCs w:val="17"/>
          <w:color w:val="auto"/>
        </w:rPr>
        <w:t>The Board may amend, modify, suspend or terminate the Plan for the purpose of meeting or addressing any changes in legal requirements or for any other purpose permitted by law. Subject to changes in law or other legal requirements that would permit otherwise, the Plan may not be amended without the consent of the holders of a majority of the shares of Common Stock then outstanding, to (a) increase the Share Capacity, (b) permit the granting of stock options or SARs with exercise or grant prices lower than those specified in Section 6, (c) reduce the exercise</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A-6 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4" w:name="page115"/>
    <w:bookmarkEnd w:id="114"/>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39"/>
        <w:spacing w:after="0" w:line="237" w:lineRule="auto"/>
        <w:rPr>
          <w:sz w:val="20"/>
          <w:szCs w:val="20"/>
          <w:color w:val="auto"/>
        </w:rPr>
      </w:pPr>
      <w:r>
        <w:rPr>
          <w:rFonts w:ascii="Arial" w:cs="Arial" w:eastAsia="Arial" w:hAnsi="Arial"/>
          <w:sz w:val="17"/>
          <w:szCs w:val="17"/>
          <w:color w:val="auto"/>
        </w:rPr>
        <w:t>or grant price of any stock option or SAR (except for adjustments pursuant to Section 14), (d) cancel any outstanding stock option or SAR and replace it with a new stock option or SAR (with a lower exercise or grant price, as the case may be) or other Award or cash in a manner which would either (x) be reportable on Kyndryl’s proxy statement as stock options that have been “repriced” (as such term is used in Item 402 of Regulation S-K promulgated under the Exchange Act), or (y) result in any “repricing” for financial statement reporting purposes (or otherwise cause the Award to fail to qualify for equity accounting treatment) or (e) take any other action that is considered a “repricing” or otherwise requires stockholder approval under rules of the applicable securities exchange or inter-dealer quotation service on which the Common Stock is listed or quoted.</w:t>
      </w:r>
    </w:p>
    <w:p>
      <w:pPr>
        <w:spacing w:after="0" w:line="130" w:lineRule="exact"/>
        <w:rPr>
          <w:sz w:val="20"/>
          <w:szCs w:val="20"/>
          <w:color w:val="auto"/>
        </w:rPr>
      </w:pPr>
    </w:p>
    <w:p>
      <w:pPr>
        <w:ind w:left="80" w:right="119"/>
        <w:spacing w:after="0" w:line="236" w:lineRule="auto"/>
        <w:rPr>
          <w:sz w:val="20"/>
          <w:szCs w:val="20"/>
          <w:color w:val="auto"/>
        </w:rPr>
      </w:pPr>
      <w:r>
        <w:rPr>
          <w:rFonts w:ascii="Arial" w:cs="Arial" w:eastAsia="Arial" w:hAnsi="Arial"/>
          <w:sz w:val="17"/>
          <w:szCs w:val="17"/>
          <w:color w:val="auto"/>
        </w:rPr>
        <w:t>Rights under any Award granted before amendment of the Plan shall not be impaired by any amendment of the Plan (and shall continue to be subject to the terms of the Plan as in effect as of immediately prior to the applicable amendment), and rights under Awards shall not be materially impaired by any amendment of an Award, unless the Participant consents in writing; provided, however, that no consent is required if the Committee determines in its sole discretion and prior to a Change in Control that such amendment is either required or advisable in order for the Company, the Plan or the Award to satisfy any applicable law, regulation or stock exchange listing requirement or to avoid adverse tax or financial accounting consequences. A cancellation of an Award where the Participant receives a payment equal in value to the fair value of the vested Award or, in the case of vested stock options or SARs, the difference between the fair value and the exercise price, shall not be an impairment of the Participant’s rights that requires consent of the Participant.</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12. Termination of Employment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139"/>
        <w:spacing w:after="0" w:line="238" w:lineRule="auto"/>
        <w:rPr>
          <w:sz w:val="20"/>
          <w:szCs w:val="20"/>
          <w:color w:val="auto"/>
        </w:rPr>
      </w:pPr>
      <w:r>
        <w:rPr>
          <w:rFonts w:ascii="Arial" w:cs="Arial" w:eastAsia="Arial" w:hAnsi="Arial"/>
          <w:sz w:val="17"/>
          <w:szCs w:val="17"/>
          <w:color w:val="auto"/>
        </w:rPr>
        <w:t>If the employment of a Participant terminates or a Participant otherwise terminates service with the Company, all unvested Awards shall be canceled immediately, except to the extent the Award Agreement or the Committee provides otherwise. Except as otherwise may be provided in an Award Agreement, the Participant, or such other person permitted by Section 10, may exercise stock options and SARs (to the extent that the Participant was entitled to exercise such stock option or SAR as of the date of termination) until the earlier of (x) the date 90 days following the termination of employment or service and (y) the expiration of the term of the stock option or SAR as set forth in the applicable Award Agreement, after which time the stock option or SAR shall terminate.</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13. Cancellation and Rescission of Awards/Clawback.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99" w:hanging="4"/>
        <w:spacing w:after="0" w:line="233" w:lineRule="auto"/>
        <w:tabs>
          <w:tab w:leader="none" w:pos="3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Except to the extent the Award Agreement specifies otherwise, the Committee may cancel, rescind, suspend, withhold or otherwise limit or restrict any unexpired, unpaid or deferred Awards at any time if the Participant is not in compliance with all applicable provisions of the Award Agreement and the Plan, or if the Participant engages in any Detrimental Activity. For purposes of this Section 13, “Detrimental Activity” shall include: (i) the rendering of services, for any organization or engaging directly or indirectly in any business that is or becomes competitive with the Company, or which organization or business, or the rendering of services to such organization or business, is or becomes otherwise prejudicial to or in conflict with the interests of the Company; (ii) the disclosure to anyone outside the Company, or the use other than in the Company’s business, without prior written authorization from the Company, of any confidential information or material, as defined in the Company’s Agreement Regarding Confidential Information and Intellectual Property (or similar agreement with the Company), relating to the business of the Company, acquired by the Participant either during or after employment with the Company; (iii) the failure or refusal to disclose promptly and to assign to the Company, pursuant to the Company’s Agreement Regarding Confidential Information and Intellectual Property (or similar agreement with the Company), all right, title and interest in any invention or idea, patentable or not, made or conceived by the Participant during employment by the Company, relating in any manner to the actual or anticipated business, research or development work of the Company or the failure or refusal to do anything reasonably necessary to enable the Company to secure a patent where appropriate in the United States and in other countries; (iv) activity that results in or could result in termination of the Participant’s employment for Cause; (v) a violation of any rules, policies, procedures or guidelines of the Company, including but not limited to the Company’s Business Conduct Guidelines; (vi) any attempt directly or indirectly to induce any employee of the Company to be employed or perform services elsewhere that would impede such employee’s service to the Company or any attempt directly or indirectly to solicit the trade or business of any current or prospective customer, supplier or partner of the Company that would interfere with such customer, supplier or partner’s business with the Company; or (vii) the Participant being convicted of, or entering a guilty plea with respect to, a crime, whether or not connected with the Company.</w:t>
      </w:r>
    </w:p>
    <w:p>
      <w:pPr>
        <w:spacing w:after="0" w:line="143" w:lineRule="exact"/>
        <w:rPr>
          <w:rFonts w:ascii="Arial" w:cs="Arial" w:eastAsia="Arial" w:hAnsi="Arial"/>
          <w:sz w:val="17"/>
          <w:szCs w:val="17"/>
          <w:color w:val="auto"/>
        </w:rPr>
      </w:pPr>
    </w:p>
    <w:p>
      <w:pPr>
        <w:ind w:left="80" w:right="279" w:hanging="4"/>
        <w:spacing w:after="0" w:line="249" w:lineRule="auto"/>
        <w:tabs>
          <w:tab w:leader="none" w:pos="3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To the extent requested by the Company, upon exercise, payment or delivery pursuant to an Award, the Participant shall certify in a manner acceptable to the Company that the Participant is in compliance with the terms and conditions of the Plan. In the event a Participant fails to comply with the provisions of paragraphs (a)(i) - (vii) of</w:t>
      </w:r>
    </w:p>
    <w:p>
      <w:pPr>
        <w:spacing w:after="0" w:line="196"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5" w:name="page116"/>
    <w:bookmarkEnd w:id="1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39"/>
        <w:spacing w:after="0" w:line="238" w:lineRule="auto"/>
        <w:rPr>
          <w:sz w:val="20"/>
          <w:szCs w:val="20"/>
          <w:color w:val="auto"/>
        </w:rPr>
      </w:pPr>
      <w:r>
        <w:rPr>
          <w:rFonts w:ascii="Arial" w:cs="Arial" w:eastAsia="Arial" w:hAnsi="Arial"/>
          <w:sz w:val="17"/>
          <w:szCs w:val="17"/>
          <w:color w:val="auto"/>
        </w:rPr>
        <w:t>this Section 13 prior to, or during the Rescission Period, then any exercise, payment or delivery may be rescinded within two years after such exercise, payment or delivery. In the event of any such rescission, the Participant shall pay to the Company the amount of any gain realized or payment received as a result of the rescinded exercise, payment or delivery, in such manner and on such terms and conditions as may be required, and the Company shall be entitled to set-off against the amount of any such gain any amount owed to the Participant by the Company. As used herein, “Rescission Period” shall mean that period of time established by the Committee which shall not be less than 6 months after any exercise, payment or delivery pursuant to an Award.</w:t>
      </w:r>
    </w:p>
    <w:p>
      <w:pPr>
        <w:spacing w:after="0" w:line="128" w:lineRule="exact"/>
        <w:rPr>
          <w:sz w:val="20"/>
          <w:szCs w:val="20"/>
          <w:color w:val="auto"/>
        </w:rPr>
      </w:pPr>
    </w:p>
    <w:p>
      <w:pPr>
        <w:ind w:left="80" w:right="179" w:hanging="4"/>
        <w:spacing w:after="0" w:line="238" w:lineRule="auto"/>
        <w:tabs>
          <w:tab w:leader="none" w:pos="327"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the extent required by applicable law (including, without limitation, Section 304 of the Sarbanes-Oxley Act and Section 954 of the Dodd-Frank Wall Street Reform and Consumer Protection Act) or the rules and regulations of the securities exchange or inter-dealer quotation service on which the shares of Common Stock are listed or quoted, or pursuant to any written policy adopted by the Company (including the Company’s Clawback Policy and the Company’s Financial Restatement Clawback Policy), Awards shall be subject (including on a retroactive basis) to clawback, forfeiture, recoupment or similar requirements (and such requirements shall be deemed incorporated by reference into all outstanding Award Agreements).</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14.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13" w:lineRule="exact"/>
        <w:rPr>
          <w:sz w:val="20"/>
          <w:szCs w:val="20"/>
          <w:color w:val="auto"/>
        </w:rPr>
      </w:pPr>
    </w:p>
    <w:p>
      <w:pPr>
        <w:ind w:left="80" w:right="199"/>
        <w:spacing w:after="0" w:line="241" w:lineRule="auto"/>
        <w:rPr>
          <w:sz w:val="20"/>
          <w:szCs w:val="20"/>
          <w:color w:val="auto"/>
        </w:rPr>
      </w:pPr>
      <w:r>
        <w:rPr>
          <w:rFonts w:ascii="Arial" w:cs="Arial" w:eastAsia="Arial" w:hAnsi="Arial"/>
          <w:sz w:val="17"/>
          <w:szCs w:val="17"/>
          <w:color w:val="auto"/>
        </w:rPr>
        <w:t>In the event of any change in the outstanding Common Stock by reason of a stock split, stock dividend, combination or reclassification of shares, recapitalization, merger, or similar event, the Committee shall adjust proportionately:</w:t>
      </w:r>
    </w:p>
    <w:p>
      <w:pPr>
        <w:spacing w:after="0" w:line="1" w:lineRule="exact"/>
        <w:rPr>
          <w:sz w:val="20"/>
          <w:szCs w:val="20"/>
          <w:color w:val="auto"/>
        </w:rPr>
      </w:pPr>
    </w:p>
    <w:p>
      <w:pPr>
        <w:ind w:left="80" w:right="99" w:hanging="4"/>
        <w:spacing w:after="0" w:line="234" w:lineRule="auto"/>
        <w:tabs>
          <w:tab w:leader="none" w:pos="336"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number of shares of Common Stock (i) available for issuance under the Plan, (ii) available for issuance under ISOs, and (iii) covered by outstanding Awards denominated in stock or units of stock; (b) the exercise and grant prices related to outstanding Awards; and (c) the appropriate Fair Market Value and other price determinations for such Awards. Notwithstanding the foregoing, in the event of any change in the outstanding Common Stock by reason of a stock split or a reverse stock split, the above-referenced proportionate adjustments, if applicable, shall be mandatory. In the event of any other change affecting the Common Stock or any distribution (other than normal cash dividends) to holders of Common Stock, such adjustments in the number and kind of shares and the exercise, grant and conversion prices of the affected Awards as may be deemed equitable by the Committee, including adjustments to avoid fractional shares, shall be made to give proper effect to such event.</w:t>
      </w:r>
    </w:p>
    <w:p>
      <w:pPr>
        <w:spacing w:after="0" w:line="132" w:lineRule="exact"/>
        <w:rPr>
          <w:sz w:val="20"/>
          <w:szCs w:val="20"/>
          <w:color w:val="auto"/>
        </w:rPr>
      </w:pPr>
    </w:p>
    <w:p>
      <w:pPr>
        <w:ind w:left="80" w:right="139"/>
        <w:spacing w:after="0" w:line="236" w:lineRule="auto"/>
        <w:rPr>
          <w:sz w:val="20"/>
          <w:szCs w:val="20"/>
          <w:color w:val="auto"/>
        </w:rPr>
      </w:pPr>
      <w:r>
        <w:rPr>
          <w:rFonts w:ascii="Arial" w:cs="Arial" w:eastAsia="Arial" w:hAnsi="Arial"/>
          <w:sz w:val="17"/>
          <w:szCs w:val="17"/>
          <w:color w:val="auto"/>
        </w:rPr>
        <w:t>In addition, the Committee may upon at least 10 days’ advance notice to the affected Participants, cancel any outstanding Award and pay to the holders thereof, in cash, securities or other property (including of the acquiring or successor company), or any combination thereof, the value of such Awards based upon the price per share of Common Stock (in the case of a Change in Control, the price received or to be received by other stockholders of Kyndryl in the transaction constituting the Change in Control), and it being understood that any stock option or SAR having a per-share exercise or hurdle price equal to, or in excess of, the Fair Market Value (as of the date specified by the Committee) of a share of Common Stock subject thereto may be canceled and terminated without any payment or consideration therefor. Notwithstanding the above, the Committee shall exercise such discretion over the timing of settlement of any Award subject to Section 409A of the Code as needed to comply with Section 409A of the Code.</w:t>
      </w:r>
    </w:p>
    <w:p>
      <w:pPr>
        <w:spacing w:after="0" w:line="21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15. Effect of a Change in Control 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12700</wp:posOffset>
            </wp:positionV>
            <wp:extent cx="562356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26" w:lineRule="exact"/>
        <w:rPr>
          <w:sz w:val="20"/>
          <w:szCs w:val="20"/>
          <w:color w:val="auto"/>
        </w:rPr>
      </w:pPr>
    </w:p>
    <w:p>
      <w:pPr>
        <w:ind w:left="80" w:right="219"/>
        <w:spacing w:after="0" w:line="244" w:lineRule="auto"/>
        <w:rPr>
          <w:sz w:val="20"/>
          <w:szCs w:val="20"/>
          <w:color w:val="auto"/>
        </w:rPr>
      </w:pPr>
      <w:r>
        <w:rPr>
          <w:rFonts w:ascii="Arial" w:cs="Arial" w:eastAsia="Arial" w:hAnsi="Arial"/>
          <w:sz w:val="17"/>
          <w:szCs w:val="17"/>
          <w:color w:val="auto"/>
        </w:rPr>
        <w:t>Except to the extent otherwise provided in an Award Agreement or any applicable employment, consulting, change-in-control, severance or other agreement between a Participant and the Company with respect to an Award held by such Participant, in the event of a Change in Control, notwithstanding any provision of the Plan to the contrary (except Section 11):</w:t>
      </w:r>
    </w:p>
    <w:p>
      <w:pPr>
        <w:spacing w:after="0" w:line="123" w:lineRule="exact"/>
        <w:rPr>
          <w:sz w:val="20"/>
          <w:szCs w:val="20"/>
          <w:color w:val="auto"/>
        </w:rPr>
      </w:pPr>
    </w:p>
    <w:p>
      <w:pPr>
        <w:ind w:left="80" w:right="99" w:hanging="4"/>
        <w:spacing w:after="0" w:line="236" w:lineRule="auto"/>
        <w:tabs>
          <w:tab w:leader="none" w:pos="33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If the acquirer or successor company in such Change in Control has agreed to provide for the substitution, assumption, exchange or other continuation of Awards granted pursuant to the Plan, then, if a Participant’s employment with or service to the Company or an affiliate is terminated by the Company without Cause (and other than due to death or Disability) on or within 24 months following a Change in Control, then, with respect to any substituted, assumed, exchanged or otherwise continued Awards outstanding as of such termination of employment or service (i) all such awards that are stock options or SARs shall become immediately exercisable with respect to 100% of the shares of Common Stock subject to such stock options and SARs, and (ii) any restricted period (and any other time-based vesting conditions) shall expire immediately with respect to 100% of the shares of Restricted Stock and shares underlying Restricted Stock Units and any other Awards held by such Participant; further, any performance-based vesting conditions applicable to any Award outstanding as of the consummation of the Change in</w:t>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A-8 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6" w:name="page117"/>
    <w:bookmarkEnd w:id="1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559"/>
        <w:spacing w:after="0" w:line="249" w:lineRule="auto"/>
        <w:rPr>
          <w:sz w:val="20"/>
          <w:szCs w:val="20"/>
          <w:color w:val="auto"/>
        </w:rPr>
      </w:pPr>
      <w:r>
        <w:rPr>
          <w:rFonts w:ascii="Arial" w:cs="Arial" w:eastAsia="Arial" w:hAnsi="Arial"/>
          <w:sz w:val="17"/>
          <w:szCs w:val="17"/>
          <w:color w:val="auto"/>
        </w:rPr>
        <w:t>Control shall be deemed achieved as of the consummation of the Change in Control at the higher of target achievement level or actual performance achievement as determined by the Committee through the date of the consummation of the Change in Control.</w:t>
      </w:r>
    </w:p>
    <w:p>
      <w:pPr>
        <w:spacing w:after="0" w:line="121" w:lineRule="exact"/>
        <w:rPr>
          <w:sz w:val="20"/>
          <w:szCs w:val="20"/>
          <w:color w:val="auto"/>
        </w:rPr>
      </w:pPr>
    </w:p>
    <w:p>
      <w:pPr>
        <w:ind w:left="80" w:right="119" w:hanging="4"/>
        <w:spacing w:after="0" w:line="236" w:lineRule="auto"/>
        <w:tabs>
          <w:tab w:leader="none" w:pos="33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acquirer or successor company in such Change in Control has not agreed to provide for the substitution, assumption, exchange or other continuation of Awards granted pursuant to the Plan, then, (i) all stock options and SARs outstanding as of the consummation of the Change in Control shall become immediately exercisable with respect to 100% of the shares of Common Stock subject to such stock options and SARs, and (ii) the restricted period (and any other time-based vesting conditions) shall expire immediately with respect to 100% of the shares of Restricted Stock and shares underlying Restricted Stock Units and any other Awards outstanding as of the consummation of the Change in Control; further, any performance-based vesting conditions applicable to any Award outstanding as of the consummation of the Change in Control shall be deemed achieved as of the consummation of the Change in Control at the higher of target achievement level or actual performance achievement as determined by the Committee through the date of the consummation of the Change in Control.</w:t>
      </w:r>
    </w:p>
    <w:p>
      <w:pPr>
        <w:spacing w:after="0" w:line="129" w:lineRule="exact"/>
        <w:rPr>
          <w:rFonts w:ascii="Arial" w:cs="Arial" w:eastAsia="Arial" w:hAnsi="Arial"/>
          <w:sz w:val="17"/>
          <w:szCs w:val="17"/>
          <w:color w:val="auto"/>
        </w:rPr>
      </w:pPr>
    </w:p>
    <w:p>
      <w:pPr>
        <w:ind w:left="80" w:right="179" w:hanging="4"/>
        <w:spacing w:after="0" w:line="239" w:lineRule="auto"/>
        <w:tabs>
          <w:tab w:leader="none" w:pos="32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With respect to all outstanding Awards held by non-employee Directors as of the consummation of the Change in Control, (i) all stock options and SARs outstanding as of the consummation of the Change in Control shall become immediately exercisable with respect to 100% of the shares of the Common Stock subject to such stock options and SARs, and (ii) the restricted period (and any other time-based vesting conditions) shall expire immediately with respect to 100% of the shares of Restricted Stock and shares underlying Restricted Stock Units and any other Awards outstanding as of the consummation of the Change in Control.</w:t>
      </w:r>
    </w:p>
    <w:p>
      <w:pPr>
        <w:spacing w:after="0" w:line="199"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16.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159" w:hanging="4"/>
        <w:spacing w:after="0" w:line="236" w:lineRule="auto"/>
        <w:tabs>
          <w:tab w:leader="none" w:pos="33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It is intended that the Plan comply with Section 409A of the Code, and all provisions of the Plan shall be construed and interpreted in a manner consistent with the requirements for avoiding taxes or penalties under Section 409A of the Code. Each Participant is solely responsible and liable for the satisfaction of all taxes and penalties that may be imposed on or in respect of such Participant in connection with the Plan or any other plan maintained by the Company, including any taxes and penalties under Section 409A of the Code, and the Company shall not have any obligation to indemnify or otherwise hold such Participant or any beneficiary harmless from any or all of such taxes or penalties. With respect to any Award that is considered “deferred compensation” subject to Section 409A of the Code, references in the Plan to “termination of employment” (and substantially similar phrases) shall mean “separation from service” within the meaning of Section 409A of the Code. For purposes of Section 409A of the Code, each of the payments that may be made in respect of any Award granted under the Plan is designated as a separate payment.</w:t>
      </w:r>
    </w:p>
    <w:p>
      <w:pPr>
        <w:spacing w:after="0" w:line="126" w:lineRule="exact"/>
        <w:rPr>
          <w:rFonts w:ascii="Arial" w:cs="Arial" w:eastAsia="Arial" w:hAnsi="Arial"/>
          <w:sz w:val="17"/>
          <w:szCs w:val="17"/>
          <w:color w:val="auto"/>
        </w:rPr>
      </w:pPr>
    </w:p>
    <w:p>
      <w:pPr>
        <w:ind w:left="80" w:right="159" w:hanging="4"/>
        <w:spacing w:after="0" w:line="238" w:lineRule="auto"/>
        <w:tabs>
          <w:tab w:leader="none" w:pos="33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Notwithstanding anything in the Plan to the contrary, if the Participant is a “specified employee” within the meaning of Section 409A(a)(2)(B)(i) of the Code, no payments or deliveries in respect of any Awards that are “deferred compensation” subject to Section 409A of the Code shall be made to such Participant prior to the date that is six months after the date of such Participant’s “separation from service” within the meaning of Section 409A of the Code or, if earlier, the Participant’s date of death. All such delayed payments or deliveries will be paid or delivered (without interest) in a single lump sum on the earliest date permitted under Section 409A of the Code that is also a business day.</w:t>
      </w:r>
    </w:p>
    <w:p>
      <w:pPr>
        <w:spacing w:after="0" w:line="128" w:lineRule="exact"/>
        <w:rPr>
          <w:rFonts w:ascii="Arial" w:cs="Arial" w:eastAsia="Arial" w:hAnsi="Arial"/>
          <w:sz w:val="17"/>
          <w:szCs w:val="17"/>
          <w:color w:val="auto"/>
        </w:rPr>
      </w:pPr>
    </w:p>
    <w:p>
      <w:pPr>
        <w:ind w:left="80" w:right="79" w:hanging="4"/>
        <w:spacing w:after="0" w:line="237" w:lineRule="auto"/>
        <w:tabs>
          <w:tab w:leader="none" w:pos="327"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In the event that the timing of payments in respect of any Award that would otherwise be considered “deferred compensation” subject to Section 409A of the Code would be accelerated upon the occurrence of (A) a Change in Control, no such acceleration shall be permitted unless the event giving rise to the Change in Control satisfies the definition of a change in the ownership or effective control of a corporation, or a change in the ownership of a substantial portion of the assets of a corporation pursuant to Section 409A of the Code and any Treasury Regulations promulgated thereunder, or (B) a Disability, no such acceleration shall be permitted unless the Disability also satisfies the definition of “disability” pursuant to Section 409A of the Code and any Treasury Regulations promulgated thereunder.</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17. Employees Based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26" w:lineRule="exact"/>
        <w:rPr>
          <w:sz w:val="20"/>
          <w:szCs w:val="20"/>
          <w:color w:val="auto"/>
        </w:rPr>
      </w:pPr>
    </w:p>
    <w:p>
      <w:pPr>
        <w:ind w:left="80" w:right="119"/>
        <w:spacing w:after="0" w:line="241" w:lineRule="auto"/>
        <w:rPr>
          <w:sz w:val="20"/>
          <w:szCs w:val="20"/>
          <w:color w:val="auto"/>
        </w:rPr>
      </w:pPr>
      <w:r>
        <w:rPr>
          <w:rFonts w:ascii="Arial" w:cs="Arial" w:eastAsia="Arial" w:hAnsi="Arial"/>
          <w:sz w:val="17"/>
          <w:szCs w:val="17"/>
          <w:color w:val="auto"/>
        </w:rPr>
        <w:t>Notwithstanding any provision of the Plan to the contrary, in order to comply with the laws in other countries in which the Company operates or that are applicable to the Participants, the Committee, in its sole discretion, shall have the power and authority to: (a) determine which subsidiaries of Kyndryl shall be covered by the Plan; (b) determine which employees and service providers outside of the United States are eligible to participate in the Plan; (c) modify the terms and conditions of any Award granted to the Participants outside of the United States to comply with applicable</w:t>
      </w:r>
    </w:p>
    <w:p>
      <w:pPr>
        <w:spacing w:after="0" w:line="201"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158115</wp:posOffset>
            </wp:positionV>
            <wp:extent cx="6995160" cy="171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7" w:name="page118"/>
    <w:bookmarkEnd w:id="1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99"/>
        <w:spacing w:after="0" w:line="239" w:lineRule="auto"/>
        <w:rPr>
          <w:sz w:val="20"/>
          <w:szCs w:val="20"/>
          <w:color w:val="auto"/>
        </w:rPr>
      </w:pPr>
      <w:r>
        <w:rPr>
          <w:rFonts w:ascii="Arial" w:cs="Arial" w:eastAsia="Arial" w:hAnsi="Arial"/>
          <w:sz w:val="17"/>
          <w:szCs w:val="17"/>
          <w:color w:val="auto"/>
        </w:rPr>
        <w:t>foreign laws; (d) establish sub-plans and modify exercise procedures and other terms and procedures, to the extent such actions may be necessary or advisable, and any sub-plans and modifications to Plan terms and procedures established by the Committee shall be attached to the Plan document as appendices; and (e) take any action, before or after an Award is made, that it deems advisable to obtain approval or comply with any necessary local government regulatory exemptions or approvals. Notwithstanding the above, the Committee may not take any actions hereunder, and no Awards shall be granted, that would violate applicable law.</w:t>
      </w:r>
    </w:p>
    <w:p>
      <w:pPr>
        <w:spacing w:after="0" w:line="21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F0533D"/>
        </w:rPr>
        <w:t>18.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3810</wp:posOffset>
            </wp:positionV>
            <wp:extent cx="56235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13" w:lineRule="exact"/>
        <w:rPr>
          <w:sz w:val="20"/>
          <w:szCs w:val="20"/>
          <w:color w:val="auto"/>
        </w:rPr>
      </w:pPr>
    </w:p>
    <w:p>
      <w:pPr>
        <w:ind w:left="80" w:right="319" w:hanging="4"/>
        <w:spacing w:after="0" w:line="267" w:lineRule="auto"/>
        <w:tabs>
          <w:tab w:leader="none" w:pos="3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Any notice to the Company required by any of the provisions of the Plan shall be addressed to the chief human resources officer of Kyndryl in writing, and shall become effective when it is received.</w:t>
      </w:r>
    </w:p>
    <w:p>
      <w:pPr>
        <w:spacing w:after="0" w:line="105" w:lineRule="exact"/>
        <w:rPr>
          <w:rFonts w:ascii="Arial" w:cs="Arial" w:eastAsia="Arial" w:hAnsi="Arial"/>
          <w:sz w:val="17"/>
          <w:szCs w:val="17"/>
          <w:color w:val="auto"/>
        </w:rPr>
      </w:pPr>
    </w:p>
    <w:p>
      <w:pPr>
        <w:ind w:left="80" w:right="139" w:hanging="4"/>
        <w:spacing w:after="0" w:line="267" w:lineRule="auto"/>
        <w:tabs>
          <w:tab w:leader="none" w:pos="3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Plan shall be unfunded, and the Company shall not be required to establish any special account or fund or to otherwise segregate or encumber assets to ensure payment of any Award.</w:t>
      </w:r>
    </w:p>
    <w:p>
      <w:pPr>
        <w:spacing w:after="0" w:line="105" w:lineRule="exact"/>
        <w:rPr>
          <w:rFonts w:ascii="Arial" w:cs="Arial" w:eastAsia="Arial" w:hAnsi="Arial"/>
          <w:sz w:val="17"/>
          <w:szCs w:val="17"/>
          <w:color w:val="auto"/>
        </w:rPr>
      </w:pPr>
    </w:p>
    <w:p>
      <w:pPr>
        <w:ind w:left="80" w:right="139" w:hanging="4"/>
        <w:spacing w:after="0" w:line="249" w:lineRule="auto"/>
        <w:tabs>
          <w:tab w:leader="none" w:pos="32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Nothing contained in the Plan shall prevent the Company from adopting other or additional compensation arrangements or plans, subject to stockholder approval if such approval is required, and such arrangements or plans may be either generally applicable or applicable only in specific cases.</w:t>
      </w:r>
    </w:p>
    <w:p>
      <w:pPr>
        <w:spacing w:after="0" w:line="120" w:lineRule="exact"/>
        <w:rPr>
          <w:rFonts w:ascii="Arial" w:cs="Arial" w:eastAsia="Arial" w:hAnsi="Arial"/>
          <w:sz w:val="17"/>
          <w:szCs w:val="17"/>
          <w:color w:val="auto"/>
        </w:rPr>
      </w:pPr>
    </w:p>
    <w:p>
      <w:pPr>
        <w:ind w:left="80" w:right="119" w:hanging="4"/>
        <w:spacing w:after="0" w:line="239" w:lineRule="auto"/>
        <w:tabs>
          <w:tab w:leader="none" w:pos="3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No Participant shall have any claim or right to be granted an Award under the Plan and nothing contained in the Plan shall be deemed or be construed to give any Participant the right to be retained in the employ of the Company or to interfere with the right of the Company to discharge any Participant at any time without regard to the effect such discharge may have upon the Participant under the Plan. Except to the extent otherwise provided in any plan or in an Award Agreement, no Award under the Plan shall be deemed compensation for purposes of computing benefits or contributions under any other plan of the Company.</w:t>
      </w:r>
    </w:p>
    <w:p>
      <w:pPr>
        <w:spacing w:after="0" w:line="128" w:lineRule="exact"/>
        <w:rPr>
          <w:rFonts w:ascii="Arial" w:cs="Arial" w:eastAsia="Arial" w:hAnsi="Arial"/>
          <w:sz w:val="17"/>
          <w:szCs w:val="17"/>
          <w:color w:val="auto"/>
        </w:rPr>
      </w:pPr>
    </w:p>
    <w:p>
      <w:pPr>
        <w:ind w:left="80" w:right="139" w:hanging="4"/>
        <w:spacing w:after="0" w:line="249" w:lineRule="auto"/>
        <w:tabs>
          <w:tab w:leader="none" w:pos="3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With respect to shares subject to an Award, a Participant shall not be deemed to be a stockholder of Kyndryl, and the Participant shall not have any of the rights or privileges of a stockholder of Kyndryl, until shares of Common Stock have been issued to the Participant.</w:t>
      </w:r>
    </w:p>
    <w:p>
      <w:pPr>
        <w:spacing w:after="0" w:line="120" w:lineRule="exact"/>
        <w:rPr>
          <w:rFonts w:ascii="Arial" w:cs="Arial" w:eastAsia="Arial" w:hAnsi="Arial"/>
          <w:sz w:val="17"/>
          <w:szCs w:val="17"/>
          <w:color w:val="auto"/>
        </w:rPr>
      </w:pPr>
    </w:p>
    <w:p>
      <w:pPr>
        <w:ind w:left="80" w:right="239" w:hanging="4"/>
        <w:spacing w:after="0" w:line="267" w:lineRule="auto"/>
        <w:tabs>
          <w:tab w:leader="none" w:pos="28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Shares acquired under the Plan shall be subject to the Company’s Insider Trading Policy to the extent applicable to a Participant.</w:t>
      </w:r>
    </w:p>
    <w:p>
      <w:pPr>
        <w:spacing w:after="0" w:line="105" w:lineRule="exact"/>
        <w:rPr>
          <w:rFonts w:ascii="Arial" w:cs="Arial" w:eastAsia="Arial" w:hAnsi="Arial"/>
          <w:sz w:val="17"/>
          <w:szCs w:val="17"/>
          <w:color w:val="auto"/>
        </w:rPr>
      </w:pPr>
    </w:p>
    <w:p>
      <w:pPr>
        <w:ind w:left="80" w:right="219" w:hanging="4"/>
        <w:spacing w:after="0" w:line="238" w:lineRule="auto"/>
        <w:tabs>
          <w:tab w:leader="none" w:pos="3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To the extent permitted by applicable law, the Company may (i) deliver by email or other electronic means (including posting on a website maintained by the Company or by a third party under contract with the Company) all documents relating to the Plan or any Award thereunder (including, without limitation, prospectuses and other securities requirements) and all other documents that the Company is required to deliver to its security holders (including, without limitation, annual reports and proxy statements) and (ii) permit the Participants to electronically execute applicable Plan documents (including, but not limited to, Award Agreements) in a manner prescribed to the Committee.</w:t>
      </w:r>
    </w:p>
    <w:p>
      <w:pPr>
        <w:spacing w:after="0" w:line="128" w:lineRule="exact"/>
        <w:rPr>
          <w:rFonts w:ascii="Arial" w:cs="Arial" w:eastAsia="Arial" w:hAnsi="Arial"/>
          <w:sz w:val="17"/>
          <w:szCs w:val="17"/>
          <w:color w:val="auto"/>
        </w:rPr>
      </w:pPr>
    </w:p>
    <w:p>
      <w:pPr>
        <w:ind w:left="80" w:right="199" w:hanging="4"/>
        <w:spacing w:after="0" w:line="236" w:lineRule="auto"/>
        <w:tabs>
          <w:tab w:leader="none" w:pos="33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Plan and each Award Agreement shall be governed by, and construed in accordance with, the laws of the State of New York, without regard to its conflict of law rules. Any dispute arising under or relating to the Plan and each Award Agreement shall be resolved by final and binding arbitration administered by JAMS in New York, New York pursuant to its applicable rules and governed by the Federal Arbitration Act (FAA). Judgment on any arbitration award may be entered in any court having jurisdiction thereof. Except to the extent otherwise provided in the Award Agreement, recipients of an Award under the Plan are deemed to submit to the exclusive jurisdiction and venue of the state and federal courts located in New York County or Westchester County, New York for purposes of enforcing any such arbitration award and irrevocably waive any objection to the venue of any such proceeding, including any objection that such proceeding has been brought in an inconvenient forum.</w:t>
      </w:r>
    </w:p>
    <w:p>
      <w:pPr>
        <w:spacing w:after="0" w:line="133" w:lineRule="exact"/>
        <w:rPr>
          <w:rFonts w:ascii="Arial" w:cs="Arial" w:eastAsia="Arial" w:hAnsi="Arial"/>
          <w:sz w:val="17"/>
          <w:szCs w:val="17"/>
          <w:color w:val="auto"/>
        </w:rPr>
      </w:pPr>
    </w:p>
    <w:p>
      <w:pPr>
        <w:ind w:left="80" w:right="159" w:hanging="4"/>
        <w:spacing w:after="0" w:line="244" w:lineRule="auto"/>
        <w:tabs>
          <w:tab w:leader="none" w:pos="27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the event that a Participant or the Company brings an action to enforce the terms of the Plan, or any Award Agreement and the Company prevails, the Participant shall pay all costs and expenses incurred by the Company in connection with that action, including reasonable attorneys’ fees, and all further costs and fees, including reasonable attorneys’ fees incurred by the Company in connection with collection.</w:t>
      </w:r>
    </w:p>
    <w:p>
      <w:pPr>
        <w:spacing w:after="0" w:line="123" w:lineRule="exact"/>
        <w:rPr>
          <w:rFonts w:ascii="Arial" w:cs="Arial" w:eastAsia="Arial" w:hAnsi="Arial"/>
          <w:sz w:val="17"/>
          <w:szCs w:val="17"/>
          <w:color w:val="auto"/>
        </w:rPr>
      </w:pPr>
    </w:p>
    <w:p>
      <w:pPr>
        <w:ind w:left="80" w:right="339" w:hanging="4"/>
        <w:spacing w:after="0" w:line="241" w:lineRule="auto"/>
        <w:tabs>
          <w:tab w:leader="none" w:pos="279"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Committee (including, for the avoidance of doubt any officers to whom it may delegate authority) shall have full discretionary power and authority to interpret the Plan and to make any determinations thereunder, including determinations under Section 13, and the Committee’s (or such officer’s) determinations shall be binding and conclusive. Determinations made by the Committee (or any such officer) under the Plan need not be uniform and may be made selectively among individuals, whether or not such individuals are similarly situated.</w:t>
      </w:r>
    </w:p>
    <w:p>
      <w:pPr>
        <w:spacing w:after="0" w:line="201"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 xml:space="preserve">A-10  </w:t>
      </w:r>
      <w:r>
        <w:rPr>
          <w:rFonts w:ascii="Arial" w:cs="Arial" w:eastAsia="Arial" w:hAnsi="Arial"/>
          <w:sz w:val="16"/>
          <w:szCs w:val="16"/>
          <w:b w:val="1"/>
          <w:bCs w:val="1"/>
          <w:color w:val="F0533D"/>
        </w:rPr>
        <w:t>|</w:t>
      </w:r>
      <w:r>
        <w:rPr>
          <w:rFonts w:ascii="Arial" w:cs="Arial" w:eastAsia="Arial" w:hAnsi="Arial"/>
          <w:sz w:val="16"/>
          <w:szCs w:val="16"/>
          <w:b w:val="1"/>
          <w:bCs w:val="1"/>
          <w:color w:val="auto"/>
        </w:rPr>
        <w:t xml:space="preserve">  KYNDRYL</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8" w:name="page119"/>
    <w:bookmarkEnd w:id="1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80" w:right="199" w:hanging="4"/>
        <w:spacing w:after="0" w:line="244" w:lineRule="auto"/>
        <w:tabs>
          <w:tab w:leader="none" w:pos="327" w:val="left"/>
        </w:tabs>
        <w:numPr>
          <w:ilvl w:val="0"/>
          <w:numId w:val="140"/>
        </w:numPr>
        <w:rPr>
          <w:rFonts w:ascii="Arial" w:cs="Arial" w:eastAsia="Arial" w:hAnsi="Arial"/>
          <w:sz w:val="17"/>
          <w:szCs w:val="17"/>
          <w:color w:val="auto"/>
        </w:rPr>
      </w:pPr>
      <w:r>
        <w:rPr>
          <w:rFonts w:ascii="Arial" w:cs="Arial" w:eastAsia="Arial" w:hAnsi="Arial"/>
          <w:sz w:val="17"/>
          <w:szCs w:val="17"/>
          <w:color w:val="auto"/>
        </w:rPr>
        <w:t>If any provision of the Plan is or becomes or is deemed invalid, illegal or unenforceable in any jurisdiction, or would disqualify the Plan or any Award under any law deemed applicable by the Committee, such provision shall be construed or deemed amended or limited in scope to conform to applicable laws or, in the discretion of the Committee, it shall be stricken and the remainder of the Plan shall remain in full force and effect.</w:t>
      </w:r>
    </w:p>
    <w:p>
      <w:pPr>
        <w:spacing w:after="0" w:line="150" w:lineRule="exact"/>
        <w:rPr>
          <w:rFonts w:ascii="Arial" w:cs="Arial" w:eastAsia="Arial" w:hAnsi="Arial"/>
          <w:sz w:val="17"/>
          <w:szCs w:val="17"/>
          <w:color w:val="auto"/>
        </w:rPr>
      </w:pPr>
    </w:p>
    <w:p>
      <w:pPr>
        <w:ind w:left="280" w:hanging="204"/>
        <w:spacing w:after="0"/>
        <w:tabs>
          <w:tab w:leader="none" w:pos="2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Plan shall become effective on the Effective Date.</w:t>
      </w:r>
    </w:p>
    <w:p>
      <w:pPr>
        <w:spacing w:after="0" w:line="155" w:lineRule="exact"/>
        <w:rPr>
          <w:rFonts w:ascii="Arial" w:cs="Arial" w:eastAsia="Arial" w:hAnsi="Arial"/>
          <w:sz w:val="17"/>
          <w:szCs w:val="17"/>
          <w:color w:val="auto"/>
        </w:rPr>
      </w:pPr>
    </w:p>
    <w:p>
      <w:pPr>
        <w:ind w:left="80" w:right="199" w:hanging="4"/>
        <w:spacing w:after="0" w:line="238" w:lineRule="auto"/>
        <w:tabs>
          <w:tab w:leader="none" w:pos="384"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Notwithstanding anything in the Plan to the contrary, each Assumed Award shall be subject to the terms and conditions of the Prior Plan and award agreement to which such Assumed Award was subject immediately prior to the Spin-Off, subject to the adjustment of such Assumed Award by the Executive Compensation and Management Resources Committee of International Business Machines Corporation and the terms of the Employee Matters Agreement; provided that following the date of the Spin-Off, each such Assumed Award shall relate solely to shares of Common Stock and be administered by the Committee in accordance with the administrative procedures in effect under the Plan.</w:t>
      </w:r>
    </w:p>
    <w:p>
      <w:pPr>
        <w:spacing w:after="0" w:line="204" w:lineRule="exact"/>
        <w:rPr>
          <w:sz w:val="20"/>
          <w:szCs w:val="20"/>
          <w:color w:val="auto"/>
        </w:rPr>
      </w:pPr>
    </w:p>
    <w:p>
      <w:pPr>
        <w:jc w:val="right"/>
        <w:ind w:right="79"/>
        <w:spacing w:after="0"/>
        <w:rPr>
          <w:sz w:val="20"/>
          <w:szCs w:val="20"/>
          <w:color w:val="auto"/>
        </w:rPr>
      </w:pPr>
      <w:r>
        <w:rPr>
          <w:rFonts w:ascii="Arial" w:cs="Arial" w:eastAsia="Arial" w:hAnsi="Arial"/>
          <w:sz w:val="16"/>
          <w:szCs w:val="16"/>
          <w:b w:val="1"/>
          <w:bCs w:val="1"/>
          <w:color w:val="auto"/>
        </w:rPr>
        <w:t>KYNDRYL</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F0533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166370</wp:posOffset>
            </wp:positionV>
            <wp:extent cx="6995160" cy="171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102870</wp:posOffset>
            </wp:positionV>
            <wp:extent cx="6814820" cy="885507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14820" cy="885507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102870</wp:posOffset>
            </wp:positionV>
            <wp:extent cx="6995160" cy="827278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995160" cy="827278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lvl w:ilvl="1">
      <w:lvlJc w:val="left"/>
      <w:lvlText w:val="☐"/>
      <w:numFmt w:val="bullet"/>
      <w:start w:val="1"/>
    </w:lvl>
  </w:abstractNum>
  <w:abstractNum w:abstractNumId="1">
    <w:nsid w:val="799D0247"/>
    <w:multiLevelType w:val="hybridMultilevel"/>
    <w:lvl w:ilvl="0">
      <w:lvlJc w:val="left"/>
      <w:lvlText w:val="☒"/>
      <w:numFmt w:val="bullet"/>
      <w:start w:val="1"/>
    </w:lvl>
    <w:lvl w:ilvl="1">
      <w:lvlJc w:val="left"/>
      <w:lvlText w:val="☐"/>
      <w:numFmt w:val="bullet"/>
      <w:start w:val="1"/>
    </w:lvl>
  </w:abstractNum>
  <w:abstractNum w:abstractNumId="2">
    <w:nsid w:val="6B94764"/>
    <w:multiLevelType w:val="hybridMultilevel"/>
    <w:lvl w:ilvl="0">
      <w:lvlJc w:val="left"/>
      <w:lvlText w:val="1"/>
      <w:numFmt w:val="bullet"/>
      <w:start w:val="1"/>
    </w:lvl>
  </w:abstractNum>
  <w:abstractNum w:abstractNumId="3">
    <w:nsid w:val="42C296BD"/>
    <w:multiLevelType w:val="hybridMultilevel"/>
    <w:lvl w:ilvl="0">
      <w:lvlJc w:val="left"/>
      <w:lvlText w:val="2"/>
      <w:numFmt w:val="bullet"/>
      <w:start w:val="1"/>
    </w:lvl>
  </w:abstractNum>
  <w:abstractNum w:abstractNumId="4">
    <w:nsid w:val="168E121F"/>
    <w:multiLevelType w:val="hybridMultilevel"/>
    <w:lvl w:ilvl="0">
      <w:lvlJc w:val="left"/>
      <w:lvlText w:val="3"/>
      <w:numFmt w:val="bullet"/>
      <w:start w:val="1"/>
    </w:lvl>
  </w:abstractNum>
  <w:abstractNum w:abstractNumId="5">
    <w:nsid w:val="1EBA5D23"/>
    <w:multiLevelType w:val="hybridMultilevel"/>
    <w:lvl w:ilvl="0">
      <w:lvlJc w:val="left"/>
      <w:lvlText w:val="4"/>
      <w:numFmt w:val="bullet"/>
      <w:start w:val="1"/>
    </w:lvl>
  </w:abstractNum>
  <w:abstractNum w:abstractNumId="6">
    <w:nsid w:val="661E3F1E"/>
    <w:multiLevelType w:val="hybridMultilevel"/>
    <w:lvl w:ilvl="0">
      <w:lvlJc w:val="left"/>
      <w:lvlText w:val="•"/>
      <w:numFmt w:val="bullet"/>
      <w:start w:val="1"/>
    </w:lvl>
  </w:abstractNum>
  <w:abstractNum w:abstractNumId="7">
    <w:nsid w:val="5DC79EA8"/>
    <w:multiLevelType w:val="hybridMultilevel"/>
    <w:lvl w:ilvl="0">
      <w:lvlJc w:val="left"/>
      <w:lvlText w:val="1"/>
      <w:numFmt w:val="bullet"/>
      <w:start w:val="1"/>
    </w:lvl>
  </w:abstractNum>
  <w:abstractNum w:abstractNumId="8">
    <w:nsid w:val="540A471C"/>
    <w:multiLevelType w:val="hybridMultilevel"/>
    <w:lvl w:ilvl="0">
      <w:lvlJc w:val="left"/>
      <w:lvlText w:val="2"/>
      <w:numFmt w:val="bullet"/>
      <w:start w:val="1"/>
    </w:lvl>
  </w:abstractNum>
  <w:abstractNum w:abstractNumId="9">
    <w:nsid w:val="7BD3EE7B"/>
    <w:multiLevelType w:val="hybridMultilevel"/>
    <w:lvl w:ilvl="0">
      <w:lvlJc w:val="left"/>
      <w:lvlText w:val="3"/>
      <w:numFmt w:val="bullet"/>
      <w:start w:val="1"/>
    </w:lvl>
  </w:abstractNum>
  <w:abstractNum w:abstractNumId="10">
    <w:nsid w:val="51D9C564"/>
    <w:multiLevelType w:val="hybridMultilevel"/>
    <w:lvl w:ilvl="0">
      <w:lvlJc w:val="left"/>
      <w:lvlText w:val="5"/>
      <w:numFmt w:val="bullet"/>
      <w:start w:val="1"/>
    </w:lvl>
  </w:abstractNum>
  <w:abstractNum w:abstractNumId="11">
    <w:nsid w:val="613EFDC5"/>
    <w:multiLevelType w:val="hybridMultilevel"/>
    <w:lvl w:ilvl="0">
      <w:lvlJc w:val="left"/>
      <w:lvlText w:val="6"/>
      <w:numFmt w:val="bullet"/>
      <w:start w:val="1"/>
    </w:lvl>
  </w:abstractNum>
  <w:abstractNum w:abstractNumId="12">
    <w:nsid w:val="BF72B14"/>
    <w:multiLevelType w:val="hybridMultilevel"/>
    <w:lvl w:ilvl="0">
      <w:lvlJc w:val="left"/>
      <w:lvlText w:val="7"/>
      <w:numFmt w:val="bullet"/>
      <w:start w:val="1"/>
    </w:lvl>
  </w:abstractNum>
  <w:abstractNum w:abstractNumId="13">
    <w:nsid w:val="11447B73"/>
    <w:multiLevelType w:val="hybridMultilevel"/>
    <w:lvl w:ilvl="0">
      <w:lvlJc w:val="left"/>
      <w:lvlText w:val="%1"/>
      <w:numFmt w:val="decimal"/>
      <w:start w:val="17"/>
    </w:lvl>
  </w:abstractNum>
  <w:abstractNum w:abstractNumId="14">
    <w:nsid w:val="42963E5A"/>
    <w:multiLevelType w:val="hybridMultilevel"/>
    <w:lvl w:ilvl="0">
      <w:lvlJc w:val="left"/>
      <w:lvlText w:val="%1"/>
      <w:numFmt w:val="decimal"/>
      <w:start w:val="20"/>
    </w:lvl>
  </w:abstractNum>
  <w:abstractNum w:abstractNumId="15">
    <w:nsid w:val="A0382C5"/>
    <w:multiLevelType w:val="hybridMultilevel"/>
    <w:lvl w:ilvl="0">
      <w:lvlJc w:val="left"/>
      <w:lvlText w:val="%1"/>
      <w:numFmt w:val="decimal"/>
      <w:start w:val="21"/>
    </w:lvl>
  </w:abstractNum>
  <w:abstractNum w:abstractNumId="16">
    <w:nsid w:val="8F2B15E"/>
    <w:multiLevelType w:val="hybridMultilevel"/>
    <w:lvl w:ilvl="0">
      <w:lvlJc w:val="left"/>
      <w:lvlText w:val="%1"/>
      <w:numFmt w:val="decimal"/>
      <w:start w:val="23"/>
    </w:lvl>
  </w:abstractNum>
  <w:abstractNum w:abstractNumId="17">
    <w:nsid w:val="1A32234B"/>
    <w:multiLevelType w:val="hybridMultilevel"/>
    <w:lvl w:ilvl="0">
      <w:lvlJc w:val="left"/>
      <w:lvlText w:val="%1"/>
      <w:numFmt w:val="decimal"/>
      <w:start w:val="23"/>
    </w:lvl>
  </w:abstractNum>
  <w:abstractNum w:abstractNumId="18">
    <w:nsid w:val="3B0FD379"/>
    <w:multiLevelType w:val="hybridMultilevel"/>
    <w:lvl w:ilvl="0">
      <w:lvlJc w:val="left"/>
      <w:lvlText w:val="%1"/>
      <w:numFmt w:val="decimal"/>
      <w:start w:val="29"/>
    </w:lvl>
  </w:abstractNum>
  <w:abstractNum w:abstractNumId="19">
    <w:nsid w:val="68EB2F63"/>
    <w:multiLevelType w:val="hybridMultilevel"/>
    <w:lvl w:ilvl="0">
      <w:lvlJc w:val="left"/>
      <w:lvlText w:val="%1"/>
      <w:numFmt w:val="decimal"/>
      <w:start w:val="29"/>
    </w:lvl>
  </w:abstractNum>
  <w:abstractNum w:abstractNumId="20">
    <w:nsid w:val="4962813B"/>
    <w:multiLevelType w:val="hybridMultilevel"/>
    <w:lvl w:ilvl="0">
      <w:lvlJc w:val="left"/>
      <w:lvlText w:val="%1"/>
      <w:numFmt w:val="decimal"/>
      <w:start w:val="30"/>
    </w:lvl>
  </w:abstractNum>
  <w:abstractNum w:abstractNumId="21">
    <w:nsid w:val="60B6DF70"/>
    <w:multiLevelType w:val="hybridMultilevel"/>
    <w:lvl w:ilvl="0">
      <w:lvlJc w:val="left"/>
      <w:lvlText w:val="%1"/>
      <w:numFmt w:val="decimal"/>
      <w:start w:val="30"/>
    </w:lvl>
  </w:abstractNum>
  <w:abstractNum w:abstractNumId="22">
    <w:nsid w:val="6A5EE64"/>
    <w:multiLevelType w:val="hybridMultilevel"/>
    <w:lvl w:ilvl="0">
      <w:lvlJc w:val="left"/>
      <w:lvlText w:val="%1"/>
      <w:numFmt w:val="decimal"/>
      <w:start w:val="36"/>
    </w:lvl>
  </w:abstractNum>
  <w:abstractNum w:abstractNumId="23">
    <w:nsid w:val="14330624"/>
    <w:multiLevelType w:val="hybridMultilevel"/>
    <w:lvl w:ilvl="0">
      <w:lvlJc w:val="left"/>
      <w:lvlText w:val="%1"/>
      <w:numFmt w:val="decimal"/>
      <w:start w:val="62"/>
    </w:lvl>
  </w:abstractNum>
  <w:abstractNum w:abstractNumId="24">
    <w:nsid w:val="7FFFCA11"/>
    <w:multiLevelType w:val="hybridMultilevel"/>
    <w:lvl w:ilvl="0">
      <w:lvlJc w:val="left"/>
      <w:lvlText w:val="%1"/>
      <w:numFmt w:val="decimal"/>
      <w:start w:val="78"/>
    </w:lvl>
  </w:abstractNum>
  <w:abstractNum w:abstractNumId="25">
    <w:nsid w:val="1A27709E"/>
    <w:multiLevelType w:val="hybridMultilevel"/>
    <w:lvl w:ilvl="0">
      <w:lvlJc w:val="left"/>
      <w:lvlText w:val="%1"/>
      <w:numFmt w:val="decimal"/>
      <w:start w:val="83"/>
    </w:lvl>
  </w:abstractNum>
  <w:abstractNum w:abstractNumId="26">
    <w:nsid w:val="71EA1109"/>
    <w:multiLevelType w:val="hybridMultilevel"/>
    <w:lvl w:ilvl="0">
      <w:lvlJc w:val="left"/>
      <w:lvlText w:val="%1"/>
      <w:numFmt w:val="decimal"/>
      <w:start w:val="90"/>
    </w:lvl>
  </w:abstractNum>
  <w:abstractNum w:abstractNumId="27">
    <w:nsid w:val="100F59DC"/>
    <w:multiLevelType w:val="hybridMultilevel"/>
    <w:lvl w:ilvl="0">
      <w:lvlJc w:val="left"/>
      <w:lvlText w:val="%1"/>
      <w:numFmt w:val="decimal"/>
      <w:start w:val="92"/>
    </w:lvl>
  </w:abstractNum>
  <w:abstractNum w:abstractNumId="28">
    <w:nsid w:val="7FB7E0AA"/>
    <w:multiLevelType w:val="hybridMultilevel"/>
    <w:lvl w:ilvl="0">
      <w:lvlJc w:val="left"/>
      <w:lvlText w:val="%1"/>
      <w:numFmt w:val="decimal"/>
      <w:start w:val="93"/>
    </w:lvl>
  </w:abstractNum>
  <w:abstractNum w:abstractNumId="29">
    <w:nsid w:val="6EB5BD4"/>
    <w:multiLevelType w:val="hybridMultilevel"/>
    <w:lvl w:ilvl="0">
      <w:lvlJc w:val="left"/>
      <w:lvlText w:val="2"/>
      <w:numFmt w:val="bullet"/>
      <w:start w:val="1"/>
    </w:lvl>
  </w:abstractNum>
  <w:abstractNum w:abstractNumId="30">
    <w:nsid w:val="6F6DD9AC"/>
    <w:multiLevelType w:val="hybridMultilevel"/>
    <w:lvl w:ilvl="0">
      <w:lvlJc w:val="left"/>
      <w:lvlText w:val="3"/>
      <w:numFmt w:val="bullet"/>
      <w:start w:val="1"/>
    </w:lvl>
  </w:abstractNum>
  <w:abstractNum w:abstractNumId="31">
    <w:nsid w:val="94211F2"/>
    <w:multiLevelType w:val="hybridMultilevel"/>
    <w:lvl w:ilvl="0">
      <w:lvlJc w:val="left"/>
      <w:lvlText w:val="4"/>
      <w:numFmt w:val="bullet"/>
      <w:start w:val="1"/>
    </w:lvl>
  </w:abstractNum>
  <w:abstractNum w:abstractNumId="32">
    <w:nsid w:val="885E1B"/>
    <w:multiLevelType w:val="hybridMultilevel"/>
    <w:lvl w:ilvl="0">
      <w:lvlJc w:val="left"/>
      <w:lvlText w:val="•"/>
      <w:numFmt w:val="bullet"/>
      <w:start w:val="1"/>
    </w:lvl>
  </w:abstractNum>
  <w:abstractNum w:abstractNumId="33">
    <w:nsid w:val="76272110"/>
    <w:multiLevelType w:val="hybridMultilevel"/>
    <w:lvl w:ilvl="0">
      <w:lvlJc w:val="left"/>
      <w:lvlText w:val="*"/>
      <w:numFmt w:val="bullet"/>
      <w:start w:val="1"/>
    </w:lvl>
  </w:abstractNum>
  <w:abstractNum w:abstractNumId="34">
    <w:nsid w:val="4C04A8AF"/>
    <w:multiLevelType w:val="hybridMultilevel"/>
    <w:lvl w:ilvl="0">
      <w:lvlJc w:val="left"/>
      <w:lvlText w:val=" "/>
      <w:numFmt w:val="bullet"/>
      <w:start w:val="1"/>
    </w:lvl>
  </w:abstractNum>
  <w:abstractNum w:abstractNumId="35">
    <w:nsid w:val="1716703B"/>
    <w:multiLevelType w:val="hybridMultilevel"/>
    <w:lvl w:ilvl="0">
      <w:lvlJc w:val="left"/>
      <w:lvlText w:val=" "/>
      <w:numFmt w:val="bullet"/>
      <w:start w:val="1"/>
    </w:lvl>
  </w:abstractNum>
  <w:abstractNum w:abstractNumId="36">
    <w:nsid w:val="14E17E33"/>
    <w:multiLevelType w:val="hybridMultilevel"/>
    <w:lvl w:ilvl="0">
      <w:lvlJc w:val="left"/>
      <w:lvlText w:val=" "/>
      <w:numFmt w:val="bullet"/>
      <w:start w:val="1"/>
    </w:lvl>
  </w:abstractNum>
  <w:abstractNum w:abstractNumId="37">
    <w:nsid w:val="3222E7CD"/>
    <w:multiLevelType w:val="hybridMultilevel"/>
    <w:lvl w:ilvl="0">
      <w:lvlJc w:val="left"/>
      <w:lvlText w:val=" "/>
      <w:numFmt w:val="bullet"/>
      <w:start w:val="1"/>
    </w:lvl>
  </w:abstractNum>
  <w:abstractNum w:abstractNumId="38">
    <w:nsid w:val="74DE0EE3"/>
    <w:multiLevelType w:val="hybridMultilevel"/>
    <w:lvl w:ilvl="0">
      <w:lvlJc w:val="left"/>
      <w:lvlText w:val="•"/>
      <w:numFmt w:val="bullet"/>
      <w:start w:val="1"/>
    </w:lvl>
  </w:abstractNum>
  <w:abstractNum w:abstractNumId="39">
    <w:nsid w:val="68EBC550"/>
    <w:multiLevelType w:val="hybridMultilevel"/>
    <w:lvl w:ilvl="0">
      <w:lvlJc w:val="left"/>
      <w:lvlText w:val="•"/>
      <w:numFmt w:val="bullet"/>
      <w:start w:val="1"/>
    </w:lvl>
  </w:abstractNum>
  <w:abstractNum w:abstractNumId="40">
    <w:nsid w:val="2DF6D648"/>
    <w:multiLevelType w:val="hybridMultilevel"/>
    <w:lvl w:ilvl="0">
      <w:lvlJc w:val="left"/>
      <w:lvlText w:val="•"/>
      <w:numFmt w:val="bullet"/>
      <w:start w:val="1"/>
    </w:lvl>
  </w:abstractNum>
  <w:abstractNum w:abstractNumId="41">
    <w:nsid w:val="46B7D447"/>
    <w:multiLevelType w:val="hybridMultilevel"/>
    <w:lvl w:ilvl="0">
      <w:lvlJc w:val="left"/>
      <w:lvlText w:val="•"/>
      <w:numFmt w:val="bullet"/>
      <w:start w:val="1"/>
    </w:lvl>
  </w:abstractNum>
  <w:abstractNum w:abstractNumId="42">
    <w:nsid w:val="4A2AC315"/>
    <w:multiLevelType w:val="hybridMultilevel"/>
    <w:lvl w:ilvl="0">
      <w:lvlJc w:val="left"/>
      <w:lvlText w:val="•"/>
      <w:numFmt w:val="bullet"/>
      <w:start w:val="1"/>
    </w:lvl>
  </w:abstractNum>
  <w:abstractNum w:abstractNumId="43">
    <w:nsid w:val="39EE015C"/>
    <w:multiLevelType w:val="hybridMultilevel"/>
    <w:lvl w:ilvl="0">
      <w:lvlJc w:val="left"/>
      <w:lvlText w:val=" "/>
      <w:numFmt w:val="bullet"/>
      <w:start w:val="1"/>
    </w:lvl>
  </w:abstractNum>
  <w:abstractNum w:abstractNumId="44">
    <w:nsid w:val="57FC4FBB"/>
    <w:multiLevelType w:val="hybridMultilevel"/>
    <w:lvl w:ilvl="0">
      <w:lvlJc w:val="left"/>
      <w:lvlText w:val="•"/>
      <w:numFmt w:val="bullet"/>
      <w:start w:val="1"/>
    </w:lvl>
  </w:abstractNum>
  <w:abstractNum w:abstractNumId="45">
    <w:nsid w:val="CC1016F"/>
    <w:multiLevelType w:val="hybridMultilevel"/>
    <w:lvl w:ilvl="0">
      <w:lvlJc w:val="left"/>
      <w:lvlText w:val="(%1)"/>
      <w:numFmt w:val="decimal"/>
      <w:start w:val="1"/>
    </w:lvl>
  </w:abstractNum>
  <w:abstractNum w:abstractNumId="46">
    <w:nsid w:val="43F18422"/>
    <w:multiLevelType w:val="hybridMultilevel"/>
    <w:lvl w:ilvl="0">
      <w:lvlJc w:val="left"/>
      <w:lvlText w:val="%1"/>
      <w:numFmt w:val="decimal"/>
      <w:start w:val="37"/>
    </w:lvl>
  </w:abstractNum>
  <w:abstractNum w:abstractNumId="47">
    <w:nsid w:val="60EF0119"/>
    <w:multiLevelType w:val="hybridMultilevel"/>
    <w:lvl w:ilvl="0">
      <w:lvlJc w:val="left"/>
      <w:lvlText w:val="%1"/>
      <w:numFmt w:val="decimal"/>
      <w:start w:val="38"/>
    </w:lvl>
  </w:abstractNum>
  <w:abstractNum w:abstractNumId="48">
    <w:nsid w:val="26F324BA"/>
    <w:multiLevelType w:val="hybridMultilevel"/>
    <w:lvl w:ilvl="0">
      <w:lvlJc w:val="left"/>
      <w:lvlText w:val="%1"/>
      <w:numFmt w:val="decimal"/>
      <w:start w:val="39"/>
    </w:lvl>
  </w:abstractNum>
  <w:abstractNum w:abstractNumId="49">
    <w:nsid w:val="7F01579B"/>
    <w:multiLevelType w:val="hybridMultilevel"/>
    <w:lvl w:ilvl="0">
      <w:lvlJc w:val="left"/>
      <w:lvlText w:val="%1"/>
      <w:numFmt w:val="decimal"/>
      <w:start w:val="44"/>
    </w:lvl>
  </w:abstractNum>
  <w:abstractNum w:abstractNumId="50">
    <w:nsid w:val="49DA307D"/>
    <w:multiLevelType w:val="hybridMultilevel"/>
    <w:lvl w:ilvl="0">
      <w:lvlJc w:val="left"/>
      <w:lvlText w:val="%1"/>
      <w:numFmt w:val="decimal"/>
      <w:start w:val="44"/>
    </w:lvl>
  </w:abstractNum>
  <w:abstractNum w:abstractNumId="51">
    <w:nsid w:val="7055A5F5"/>
    <w:multiLevelType w:val="hybridMultilevel"/>
    <w:lvl w:ilvl="0">
      <w:lvlJc w:val="left"/>
      <w:lvlText w:val="%1"/>
      <w:numFmt w:val="decimal"/>
      <w:start w:val="44"/>
    </w:lvl>
  </w:abstractNum>
  <w:abstractNum w:abstractNumId="52">
    <w:nsid w:val="5FB8370B"/>
    <w:multiLevelType w:val="hybridMultilevel"/>
    <w:lvl w:ilvl="0">
      <w:lvlJc w:val="left"/>
      <w:lvlText w:val="%1"/>
      <w:numFmt w:val="decimal"/>
      <w:start w:val="47"/>
    </w:lvl>
  </w:abstractNum>
  <w:abstractNum w:abstractNumId="53">
    <w:nsid w:val="50801EE1"/>
    <w:multiLevelType w:val="hybridMultilevel"/>
    <w:lvl w:ilvl="0">
      <w:lvlJc w:val="left"/>
      <w:lvlText w:val="%1"/>
      <w:numFmt w:val="decimal"/>
      <w:start w:val="61"/>
    </w:lvl>
  </w:abstractNum>
  <w:abstractNum w:abstractNumId="54">
    <w:nsid w:val="488AC1A"/>
    <w:multiLevelType w:val="hybridMultilevel"/>
    <w:lvl w:ilvl="0">
      <w:lvlJc w:val="left"/>
      <w:lvlText w:val="%1"/>
      <w:numFmt w:val="decimal"/>
      <w:start w:val="67"/>
    </w:lvl>
  </w:abstractNum>
  <w:abstractNum w:abstractNumId="55">
    <w:nsid w:val="5FB8011C"/>
    <w:multiLevelType w:val="hybridMultilevel"/>
    <w:lvl w:ilvl="0">
      <w:lvlJc w:val="left"/>
      <w:lvlText w:val="%1"/>
      <w:numFmt w:val="decimal"/>
      <w:start w:val="69"/>
    </w:lvl>
  </w:abstractNum>
  <w:abstractNum w:abstractNumId="56">
    <w:nsid w:val="6AA78F7F"/>
    <w:multiLevelType w:val="hybridMultilevel"/>
    <w:lvl w:ilvl="0">
      <w:lvlJc w:val="left"/>
      <w:lvlText w:val="%1"/>
      <w:numFmt w:val="decimal"/>
      <w:start w:val="69"/>
    </w:lvl>
  </w:abstractNum>
  <w:abstractNum w:abstractNumId="57">
    <w:nsid w:val="7672BD23"/>
    <w:multiLevelType w:val="hybridMultilevel"/>
    <w:lvl w:ilvl="0">
      <w:lvlJc w:val="left"/>
      <w:lvlText w:val="%1"/>
      <w:numFmt w:val="decimal"/>
      <w:start w:val="78"/>
    </w:lvl>
  </w:abstractNum>
  <w:abstractNum w:abstractNumId="58">
    <w:nsid w:val="6FC75AF8"/>
    <w:multiLevelType w:val="hybridMultilevel"/>
    <w:lvl w:ilvl="0">
      <w:lvlJc w:val="left"/>
      <w:lvlText w:val=" "/>
      <w:numFmt w:val="bullet"/>
      <w:start w:val="1"/>
    </w:lvl>
  </w:abstractNum>
  <w:abstractNum w:abstractNumId="59">
    <w:nsid w:val="6A5F7029"/>
    <w:multiLevelType w:val="hybridMultilevel"/>
    <w:lvl w:ilvl="0">
      <w:lvlJc w:val="left"/>
      <w:lvlText w:val=" "/>
      <w:numFmt w:val="bullet"/>
      <w:start w:val="1"/>
    </w:lvl>
  </w:abstractNum>
  <w:abstractNum w:abstractNumId="60">
    <w:nsid w:val="7D5E18F8"/>
    <w:multiLevelType w:val="hybridMultilevel"/>
    <w:lvl w:ilvl="0">
      <w:lvlJc w:val="left"/>
      <w:lvlText w:val="•"/>
      <w:numFmt w:val="bullet"/>
      <w:start w:val="1"/>
    </w:lvl>
  </w:abstractNum>
  <w:abstractNum w:abstractNumId="61">
    <w:nsid w:val="5F3534A4"/>
    <w:multiLevelType w:val="hybridMultilevel"/>
    <w:lvl w:ilvl="0">
      <w:lvlJc w:val="left"/>
      <w:lvlText w:val="*"/>
      <w:numFmt w:val="bullet"/>
      <w:start w:val="1"/>
    </w:lvl>
  </w:abstractNum>
  <w:abstractNum w:abstractNumId="62">
    <w:nsid w:val="73A1821B"/>
    <w:multiLevelType w:val="hybridMultilevel"/>
    <w:lvl w:ilvl="0">
      <w:lvlJc w:val="left"/>
      <w:lvlText w:val="•"/>
      <w:numFmt w:val="bullet"/>
      <w:start w:val="1"/>
    </w:lvl>
  </w:abstractNum>
  <w:abstractNum w:abstractNumId="63">
    <w:nsid w:val="7DE67713"/>
    <w:multiLevelType w:val="hybridMultilevel"/>
    <w:lvl w:ilvl="0">
      <w:lvlJc w:val="left"/>
      <w:lvlText w:val="•"/>
      <w:numFmt w:val="bullet"/>
      <w:start w:val="1"/>
    </w:lvl>
  </w:abstractNum>
  <w:abstractNum w:abstractNumId="64">
    <w:nsid w:val="555C55B5"/>
    <w:multiLevelType w:val="hybridMultilevel"/>
    <w:lvl w:ilvl="0">
      <w:lvlJc w:val="left"/>
      <w:lvlText w:val="(%1)"/>
      <w:numFmt w:val="decimal"/>
      <w:start w:val="1"/>
    </w:lvl>
  </w:abstractNum>
  <w:abstractNum w:abstractNumId="65">
    <w:nsid w:val="3FA62ACA"/>
    <w:multiLevelType w:val="hybridMultilevel"/>
    <w:lvl w:ilvl="0">
      <w:lvlJc w:val="left"/>
      <w:lvlText w:val="(%1)"/>
      <w:numFmt w:val="decimal"/>
      <w:start w:val="1"/>
    </w:lvl>
  </w:abstractNum>
  <w:abstractNum w:abstractNumId="66">
    <w:nsid w:val="14FCE74E"/>
    <w:multiLevelType w:val="hybridMultilevel"/>
    <w:lvl w:ilvl="0">
      <w:lvlJc w:val="left"/>
      <w:lvlText w:val="(%1)"/>
      <w:numFmt w:val="decimal"/>
      <w:start w:val="1"/>
    </w:lvl>
  </w:abstractNum>
  <w:abstractNum w:abstractNumId="67">
    <w:nsid w:val="6A3DD3E8"/>
    <w:multiLevelType w:val="hybridMultilevel"/>
    <w:lvl w:ilvl="0">
      <w:lvlJc w:val="left"/>
      <w:lvlText w:val="(%1)"/>
      <w:numFmt w:val="decimal"/>
      <w:start w:val="1"/>
    </w:lvl>
  </w:abstractNum>
  <w:abstractNum w:abstractNumId="68">
    <w:nsid w:val="71C91298"/>
    <w:multiLevelType w:val="hybridMultilevel"/>
    <w:lvl w:ilvl="0">
      <w:lvlJc w:val="left"/>
      <w:lvlText w:val="(%1)"/>
      <w:numFmt w:val="decimal"/>
      <w:start w:val="1"/>
    </w:lvl>
  </w:abstractNum>
  <w:abstractNum w:abstractNumId="69">
    <w:nsid w:val="9DAF632"/>
    <w:multiLevelType w:val="hybridMultilevel"/>
    <w:lvl w:ilvl="0">
      <w:lvlJc w:val="left"/>
      <w:lvlText w:val="(%1)"/>
      <w:numFmt w:val="decimal"/>
      <w:start w:val="1"/>
    </w:lvl>
  </w:abstractNum>
  <w:abstractNum w:abstractNumId="70">
    <w:nsid w:val="53299938"/>
    <w:multiLevelType w:val="hybridMultilevel"/>
    <w:lvl w:ilvl="0">
      <w:lvlJc w:val="left"/>
      <w:lvlText w:val="(%1)"/>
      <w:numFmt w:val="decimal"/>
      <w:start w:val="1"/>
    </w:lvl>
  </w:abstractNum>
  <w:abstractNum w:abstractNumId="71">
    <w:nsid w:val="1FBFE8E0"/>
    <w:multiLevelType w:val="hybridMultilevel"/>
    <w:lvl w:ilvl="0">
      <w:lvlJc w:val="left"/>
      <w:lvlText w:val="(%1)"/>
      <w:numFmt w:val="decimal"/>
      <w:start w:val="1"/>
    </w:lvl>
    <w:lvl w:ilvl="1">
      <w:lvlJc w:val="left"/>
      <w:lvlText w:val="•"/>
      <w:numFmt w:val="bullet"/>
      <w:start w:val="1"/>
    </w:lvl>
  </w:abstractNum>
  <w:abstractNum w:abstractNumId="72">
    <w:nsid w:val="5092CA79"/>
    <w:multiLevelType w:val="hybridMultilevel"/>
    <w:lvl w:ilvl="0">
      <w:lvlJc w:val="left"/>
      <w:lvlText w:val="(%1)"/>
      <w:numFmt w:val="decimal"/>
      <w:start w:val="1"/>
    </w:lvl>
  </w:abstractNum>
  <w:abstractNum w:abstractNumId="73">
    <w:nsid w:val="1D545C4D"/>
    <w:multiLevelType w:val="hybridMultilevel"/>
    <w:lvl w:ilvl="0">
      <w:lvlJc w:val="left"/>
      <w:lvlText w:val="(%1)"/>
      <w:numFmt w:val="decimal"/>
      <w:start w:val="3"/>
    </w:lvl>
  </w:abstractNum>
  <w:abstractNum w:abstractNumId="74">
    <w:nsid w:val="59ADEA3D"/>
    <w:multiLevelType w:val="hybridMultilevel"/>
    <w:lvl w:ilvl="0">
      <w:lvlJc w:val="left"/>
      <w:lvlText w:val="(%1)"/>
      <w:numFmt w:val="decimal"/>
      <w:start w:val="1"/>
    </w:lvl>
  </w:abstractNum>
  <w:abstractNum w:abstractNumId="75">
    <w:nsid w:val="288F1A34"/>
    <w:multiLevelType w:val="hybridMultilevel"/>
    <w:lvl w:ilvl="0">
      <w:lvlJc w:val="left"/>
      <w:lvlText w:val="•"/>
      <w:numFmt w:val="bullet"/>
      <w:start w:val="1"/>
    </w:lvl>
  </w:abstractNum>
  <w:abstractNum w:abstractNumId="76">
    <w:nsid w:val="2A155DBC"/>
    <w:multiLevelType w:val="hybridMultilevel"/>
    <w:lvl w:ilvl="0">
      <w:lvlJc w:val="left"/>
      <w:lvlText w:val="•"/>
      <w:numFmt w:val="bullet"/>
      <w:start w:val="1"/>
    </w:lvl>
  </w:abstractNum>
  <w:abstractNum w:abstractNumId="77">
    <w:nsid w:val="1D9F6E5F"/>
    <w:multiLevelType w:val="hybridMultilevel"/>
    <w:lvl w:ilvl="0">
      <w:lvlJc w:val="left"/>
      <w:lvlText w:val="•"/>
      <w:numFmt w:val="bullet"/>
      <w:start w:val="1"/>
    </w:lvl>
  </w:abstractNum>
  <w:abstractNum w:abstractNumId="78">
    <w:nsid w:val="97E1B4E"/>
    <w:multiLevelType w:val="hybridMultilevel"/>
    <w:lvl w:ilvl="0">
      <w:lvlJc w:val="left"/>
      <w:lvlText w:val="•"/>
      <w:numFmt w:val="bullet"/>
      <w:start w:val="1"/>
    </w:lvl>
  </w:abstractNum>
  <w:abstractNum w:abstractNumId="79">
    <w:nsid w:val="51088277"/>
    <w:multiLevelType w:val="hybridMultilevel"/>
    <w:lvl w:ilvl="0">
      <w:lvlJc w:val="left"/>
      <w:lvlText w:val="(%1)"/>
      <w:numFmt w:val="decimal"/>
      <w:start w:val="1"/>
    </w:lvl>
  </w:abstractNum>
  <w:abstractNum w:abstractNumId="80">
    <w:nsid w:val="1CA0C5FA"/>
    <w:multiLevelType w:val="hybridMultilevel"/>
    <w:lvl w:ilvl="0">
      <w:lvlJc w:val="left"/>
      <w:lvlText w:val="(%1)"/>
      <w:numFmt w:val="decimal"/>
      <w:start w:val="4"/>
    </w:lvl>
  </w:abstractNum>
  <w:abstractNum w:abstractNumId="81">
    <w:nsid w:val="53584BCB"/>
    <w:multiLevelType w:val="hybridMultilevel"/>
    <w:lvl w:ilvl="0">
      <w:lvlJc w:val="left"/>
      <w:lvlText w:val=" "/>
      <w:numFmt w:val="bullet"/>
      <w:start w:val="1"/>
    </w:lvl>
  </w:abstractNum>
  <w:abstractNum w:abstractNumId="82">
    <w:nsid w:val="415E286C"/>
    <w:multiLevelType w:val="hybridMultilevel"/>
    <w:lvl w:ilvl="0">
      <w:lvlJc w:val="left"/>
      <w:lvlText w:val="(%1)"/>
      <w:numFmt w:val="decimal"/>
      <w:start w:val="1"/>
    </w:lvl>
  </w:abstractNum>
  <w:abstractNum w:abstractNumId="83">
    <w:nsid w:val="7C58FD05"/>
    <w:multiLevelType w:val="hybridMultilevel"/>
    <w:lvl w:ilvl="0">
      <w:lvlJc w:val="left"/>
      <w:lvlText w:val="(%1)"/>
      <w:numFmt w:val="decimal"/>
      <w:start w:val="1"/>
    </w:lvl>
  </w:abstractNum>
  <w:abstractNum w:abstractNumId="84">
    <w:nsid w:val="23D86AAC"/>
    <w:multiLevelType w:val="hybridMultilevel"/>
    <w:lvl w:ilvl="0">
      <w:lvlJc w:val="left"/>
      <w:lvlText w:val="(%1)"/>
      <w:numFmt w:val="decimal"/>
      <w:start w:val="1"/>
    </w:lvl>
    <w:lvl w:ilvl="1">
      <w:lvlJc w:val="left"/>
      <w:lvlText w:val=" "/>
      <w:numFmt w:val="bullet"/>
      <w:start w:val="1"/>
    </w:lvl>
  </w:abstractNum>
  <w:abstractNum w:abstractNumId="85">
    <w:nsid w:val="45E6D486"/>
    <w:multiLevelType w:val="hybridMultilevel"/>
    <w:lvl w:ilvl="0">
      <w:lvlJc w:val="left"/>
      <w:lvlText w:val="(%1)"/>
      <w:numFmt w:val="decimal"/>
      <w:start w:val="1"/>
    </w:lvl>
  </w:abstractNum>
  <w:abstractNum w:abstractNumId="86">
    <w:nsid w:val="5C10FE21"/>
    <w:multiLevelType w:val="hybridMultilevel"/>
    <w:lvl w:ilvl="0">
      <w:lvlJc w:val="left"/>
      <w:lvlText w:val="•"/>
      <w:numFmt w:val="bullet"/>
      <w:start w:val="1"/>
    </w:lvl>
  </w:abstractNum>
  <w:abstractNum w:abstractNumId="87">
    <w:nsid w:val="E7FFA2B"/>
    <w:multiLevelType w:val="hybridMultilevel"/>
    <w:lvl w:ilvl="0">
      <w:lvlJc w:val="left"/>
      <w:lvlText w:val="•"/>
      <w:numFmt w:val="bullet"/>
      <w:start w:val="1"/>
    </w:lvl>
  </w:abstractNum>
  <w:abstractNum w:abstractNumId="88">
    <w:nsid w:val="3C5991AA"/>
    <w:multiLevelType w:val="hybridMultilevel"/>
    <w:lvl w:ilvl="0">
      <w:lvlJc w:val="left"/>
      <w:lvlText w:val="(%1)"/>
      <w:numFmt w:val="decimal"/>
      <w:start w:val="1"/>
    </w:lvl>
    <w:lvl w:ilvl="1">
      <w:lvlJc w:val="left"/>
      <w:lvlText w:val="•"/>
      <w:numFmt w:val="bullet"/>
      <w:start w:val="1"/>
    </w:lvl>
  </w:abstractNum>
  <w:abstractNum w:abstractNumId="89">
    <w:nsid w:val="4BD8591A"/>
    <w:multiLevelType w:val="hybridMultilevel"/>
    <w:lvl w:ilvl="0">
      <w:lvlJc w:val="left"/>
      <w:lvlText w:val="(%1)"/>
      <w:numFmt w:val="decimal"/>
      <w:start w:val="1"/>
    </w:lvl>
    <w:lvl w:ilvl="1">
      <w:lvlJc w:val="left"/>
      <w:lvlText w:val="•"/>
      <w:numFmt w:val="bullet"/>
      <w:start w:val="1"/>
    </w:lvl>
  </w:abstractNum>
  <w:abstractNum w:abstractNumId="90">
    <w:nsid w:val="78DF6A55"/>
    <w:multiLevelType w:val="hybridMultilevel"/>
    <w:lvl w:ilvl="0">
      <w:lvlJc w:val="left"/>
      <w:lvlText w:val="•"/>
      <w:numFmt w:val="bullet"/>
      <w:start w:val="1"/>
    </w:lvl>
  </w:abstractNum>
  <w:abstractNum w:abstractNumId="91">
    <w:nsid w:val="39B7AAA2"/>
    <w:multiLevelType w:val="hybridMultilevel"/>
    <w:lvl w:ilvl="0">
      <w:lvlJc w:val="left"/>
      <w:lvlText w:val="•"/>
      <w:numFmt w:val="bullet"/>
      <w:start w:val="1"/>
    </w:lvl>
  </w:abstractNum>
  <w:abstractNum w:abstractNumId="92">
    <w:nsid w:val="2B0D8DBE"/>
    <w:multiLevelType w:val="hybridMultilevel"/>
    <w:lvl w:ilvl="0">
      <w:lvlJc w:val="left"/>
      <w:lvlText w:val="•"/>
      <w:numFmt w:val="bullet"/>
      <w:start w:val="1"/>
    </w:lvl>
  </w:abstractNum>
  <w:abstractNum w:abstractNumId="93">
    <w:nsid w:val="6C80EC70"/>
    <w:multiLevelType w:val="hybridMultilevel"/>
    <w:lvl w:ilvl="0">
      <w:lvlJc w:val="left"/>
      <w:lvlText w:val="•"/>
      <w:numFmt w:val="bullet"/>
      <w:start w:val="1"/>
    </w:lvl>
  </w:abstractNum>
  <w:abstractNum w:abstractNumId="94">
    <w:nsid w:val="379E21B5"/>
    <w:multiLevelType w:val="hybridMultilevel"/>
    <w:lvl w:ilvl="0">
      <w:lvlJc w:val="left"/>
      <w:lvlText w:val="•"/>
      <w:numFmt w:val="bullet"/>
      <w:start w:val="1"/>
    </w:lvl>
  </w:abstractNum>
  <w:abstractNum w:abstractNumId="95">
    <w:nsid w:val="69E373"/>
    <w:multiLevelType w:val="hybridMultilevel"/>
    <w:lvl w:ilvl="0">
      <w:lvlJc w:val="left"/>
      <w:lvlText w:val="•"/>
      <w:numFmt w:val="bullet"/>
      <w:start w:val="1"/>
    </w:lvl>
  </w:abstractNum>
  <w:abstractNum w:abstractNumId="96">
    <w:nsid w:val="2C27173B"/>
    <w:multiLevelType w:val="hybridMultilevel"/>
    <w:lvl w:ilvl="0">
      <w:lvlJc w:val="left"/>
      <w:lvlText w:val="%1)"/>
      <w:numFmt w:val="upperLetter"/>
      <w:start w:val="11"/>
    </w:lvl>
  </w:abstractNum>
  <w:abstractNum w:abstractNumId="97">
    <w:nsid w:val="4C9B0904"/>
    <w:multiLevelType w:val="hybridMultilevel"/>
    <w:lvl w:ilvl="0">
      <w:lvlJc w:val="left"/>
      <w:lvlText w:val="(%1)"/>
      <w:numFmt w:val="decimal"/>
      <w:start w:val="1"/>
    </w:lvl>
  </w:abstractNum>
  <w:abstractNum w:abstractNumId="98">
    <w:nsid w:val="6AA7B75C"/>
    <w:multiLevelType w:val="hybridMultilevel"/>
    <w:lvl w:ilvl="0">
      <w:lvlJc w:val="left"/>
      <w:lvlText w:val="(%1)"/>
      <w:numFmt w:val="lowerLetter"/>
      <w:start w:val="1"/>
    </w:lvl>
  </w:abstractNum>
  <w:abstractNum w:abstractNumId="99">
    <w:nsid w:val="1DF029D3"/>
    <w:multiLevelType w:val="hybridMultilevel"/>
    <w:lvl w:ilvl="0">
      <w:lvlJc w:val="left"/>
      <w:lvlText w:val="(%1)"/>
      <w:numFmt w:val="lowerLetter"/>
      <w:start w:val="3"/>
    </w:lvl>
  </w:abstractNum>
  <w:abstractNum w:abstractNumId="100">
    <w:nsid w:val="5675FF36"/>
    <w:multiLevelType w:val="hybridMultilevel"/>
    <w:lvl w:ilvl="0">
      <w:lvlJc w:val="left"/>
      <w:lvlText w:val="(%1)"/>
      <w:numFmt w:val="decimal"/>
      <w:start w:val="3"/>
    </w:lvl>
  </w:abstractNum>
  <w:abstractNum w:abstractNumId="101">
    <w:nsid w:val="3DD15094"/>
    <w:multiLevelType w:val="hybridMultilevel"/>
    <w:lvl w:ilvl="0">
      <w:lvlJc w:val="left"/>
      <w:lvlText w:val="•"/>
      <w:numFmt w:val="bullet"/>
      <w:start w:val="1"/>
    </w:lvl>
  </w:abstractNum>
  <w:abstractNum w:abstractNumId="102">
    <w:nsid w:val="3DB012B3"/>
    <w:multiLevelType w:val="hybridMultilevel"/>
    <w:lvl w:ilvl="0">
      <w:lvlJc w:val="left"/>
      <w:lvlText w:val="•"/>
      <w:numFmt w:val="bullet"/>
      <w:start w:val="1"/>
    </w:lvl>
  </w:abstractNum>
  <w:abstractNum w:abstractNumId="103">
    <w:nsid w:val="2708C9AF"/>
    <w:multiLevelType w:val="hybridMultilevel"/>
    <w:lvl w:ilvl="0">
      <w:lvlJc w:val="left"/>
      <w:lvlText w:val="(%1)"/>
      <w:numFmt w:val="decimal"/>
      <w:start w:val="1"/>
    </w:lvl>
  </w:abstractNum>
  <w:abstractNum w:abstractNumId="104">
    <w:nsid w:val="5B25ACE2"/>
    <w:multiLevelType w:val="hybridMultilevel"/>
    <w:lvl w:ilvl="0">
      <w:lvlJc w:val="left"/>
      <w:lvlText w:val="•"/>
      <w:numFmt w:val="bullet"/>
      <w:start w:val="1"/>
    </w:lvl>
  </w:abstractNum>
  <w:abstractNum w:abstractNumId="105">
    <w:nsid w:val="175DFCF0"/>
    <w:multiLevelType w:val="hybridMultilevel"/>
    <w:lvl w:ilvl="0">
      <w:lvlJc w:val="left"/>
      <w:lvlText w:val="•"/>
      <w:numFmt w:val="bullet"/>
      <w:start w:val="1"/>
    </w:lvl>
  </w:abstractNum>
  <w:abstractNum w:abstractNumId="106">
    <w:nsid w:val="4F97E3E4"/>
    <w:multiLevelType w:val="hybridMultilevel"/>
    <w:lvl w:ilvl="0">
      <w:lvlJc w:val="left"/>
      <w:lvlText w:val="(%1)"/>
      <w:numFmt w:val="decimal"/>
      <w:start w:val="1"/>
    </w:lvl>
  </w:abstractNum>
  <w:abstractNum w:abstractNumId="107">
    <w:nsid w:val="53B0A9E"/>
    <w:multiLevelType w:val="hybridMultilevel"/>
    <w:lvl w:ilvl="0">
      <w:lvlJc w:val="left"/>
      <w:lvlText w:val="•"/>
      <w:numFmt w:val="bullet"/>
      <w:start w:val="1"/>
    </w:lvl>
  </w:abstractNum>
  <w:abstractNum w:abstractNumId="108">
    <w:nsid w:val="34FD6B4F"/>
    <w:multiLevelType w:val="hybridMultilevel"/>
    <w:lvl w:ilvl="0">
      <w:lvlJc w:val="left"/>
      <w:lvlText w:val="•"/>
      <w:numFmt w:val="bullet"/>
      <w:start w:val="1"/>
    </w:lvl>
  </w:abstractNum>
  <w:abstractNum w:abstractNumId="109">
    <w:nsid w:val="5915FF32"/>
    <w:multiLevelType w:val="hybridMultilevel"/>
    <w:lvl w:ilvl="0">
      <w:lvlJc w:val="left"/>
      <w:lvlText w:val="•"/>
      <w:numFmt w:val="bullet"/>
      <w:start w:val="1"/>
    </w:lvl>
  </w:abstractNum>
  <w:abstractNum w:abstractNumId="110">
    <w:nsid w:val="56438D15"/>
    <w:multiLevelType w:val="hybridMultilevel"/>
    <w:lvl w:ilvl="0">
      <w:lvlJc w:val="left"/>
      <w:lvlText w:val="(%1)"/>
      <w:numFmt w:val="decimal"/>
      <w:start w:val="1"/>
    </w:lvl>
  </w:abstractNum>
  <w:abstractNum w:abstractNumId="111">
    <w:nsid w:val="519E3149"/>
    <w:multiLevelType w:val="hybridMultilevel"/>
    <w:lvl w:ilvl="0">
      <w:lvlJc w:val="left"/>
      <w:lvlText w:val="1"/>
      <w:numFmt w:val="bullet"/>
      <w:start w:val="1"/>
    </w:lvl>
  </w:abstractNum>
  <w:abstractNum w:abstractNumId="112">
    <w:nsid w:val="2C6E4AFD"/>
    <w:multiLevelType w:val="hybridMultilevel"/>
    <w:lvl w:ilvl="0">
      <w:lvlJc w:val="left"/>
      <w:lvlText w:val="2"/>
      <w:numFmt w:val="bullet"/>
      <w:start w:val="1"/>
    </w:lvl>
  </w:abstractNum>
  <w:abstractNum w:abstractNumId="113">
    <w:nsid w:val="17A1B582"/>
    <w:multiLevelType w:val="hybridMultilevel"/>
    <w:lvl w:ilvl="0">
      <w:lvlJc w:val="left"/>
      <w:lvlText w:val="3"/>
      <w:numFmt w:val="bullet"/>
      <w:start w:val="1"/>
    </w:lvl>
  </w:abstractNum>
  <w:abstractNum w:abstractNumId="114">
    <w:nsid w:val="4DF72E4E"/>
    <w:multiLevelType w:val="hybridMultilevel"/>
    <w:lvl w:ilvl="0">
      <w:lvlJc w:val="left"/>
      <w:lvlText w:val="4"/>
      <w:numFmt w:val="bullet"/>
      <w:start w:val="1"/>
    </w:lvl>
  </w:abstractNum>
  <w:abstractNum w:abstractNumId="115">
    <w:nsid w:val="5046B5A9"/>
    <w:multiLevelType w:val="hybridMultilevel"/>
    <w:lvl w:ilvl="0">
      <w:lvlJc w:val="left"/>
      <w:lvlText w:val="5"/>
      <w:numFmt w:val="bullet"/>
      <w:start w:val="1"/>
    </w:lvl>
  </w:abstractNum>
  <w:abstractNum w:abstractNumId="116">
    <w:nsid w:val="5D888A08"/>
    <w:multiLevelType w:val="hybridMultilevel"/>
    <w:lvl w:ilvl="0">
      <w:lvlJc w:val="left"/>
      <w:lvlText w:val="6"/>
      <w:numFmt w:val="bullet"/>
      <w:start w:val="1"/>
    </w:lvl>
  </w:abstractNum>
  <w:abstractNum w:abstractNumId="117">
    <w:nsid w:val="2A082C70"/>
    <w:multiLevelType w:val="hybridMultilevel"/>
    <w:lvl w:ilvl="0">
      <w:lvlJc w:val="left"/>
      <w:lvlText w:val="*"/>
      <w:numFmt w:val="bullet"/>
      <w:start w:val="1"/>
    </w:lvl>
  </w:abstractNum>
  <w:abstractNum w:abstractNumId="118">
    <w:nsid w:val="5EC6AFD4"/>
    <w:multiLevelType w:val="hybridMultilevel"/>
    <w:lvl w:ilvl="0">
      <w:lvlJc w:val="left"/>
      <w:lvlText w:val="(%1)"/>
      <w:numFmt w:val="decimal"/>
      <w:start w:val="1"/>
    </w:lvl>
  </w:abstractNum>
  <w:abstractNum w:abstractNumId="119">
    <w:nsid w:val="19E21BB2"/>
    <w:multiLevelType w:val="hybridMultilevel"/>
    <w:lvl w:ilvl="0">
      <w:lvlJc w:val="left"/>
      <w:lvlText w:val="(%1)"/>
      <w:numFmt w:val="decimal"/>
      <w:start w:val="4"/>
    </w:lvl>
  </w:abstractNum>
  <w:abstractNum w:abstractNumId="120">
    <w:nsid w:val="75E0858A"/>
    <w:multiLevelType w:val="hybridMultilevel"/>
    <w:lvl w:ilvl="0">
      <w:lvlJc w:val="left"/>
      <w:lvlText w:val="(%1)"/>
      <w:numFmt w:val="decimal"/>
      <w:start w:val="1"/>
    </w:lvl>
  </w:abstractNum>
  <w:abstractNum w:abstractNumId="121">
    <w:nsid w:val="57A61A29"/>
    <w:multiLevelType w:val="hybridMultilevel"/>
    <w:lvl w:ilvl="0">
      <w:lvlJc w:val="left"/>
      <w:lvlText w:val="•"/>
      <w:numFmt w:val="bullet"/>
      <w:start w:val="1"/>
    </w:lvl>
  </w:abstractNum>
  <w:abstractNum w:abstractNumId="122">
    <w:nsid w:val="5399C654"/>
    <w:multiLevelType w:val="hybridMultilevel"/>
    <w:lvl w:ilvl="0">
      <w:lvlJc w:val="left"/>
      <w:lvlText w:val="•"/>
      <w:numFmt w:val="bullet"/>
      <w:start w:val="1"/>
    </w:lvl>
  </w:abstractNum>
  <w:abstractNum w:abstractNumId="123">
    <w:nsid w:val="20EE1348"/>
    <w:multiLevelType w:val="hybridMultilevel"/>
    <w:lvl w:ilvl="0">
      <w:lvlJc w:val="left"/>
      <w:lvlText w:val="•"/>
      <w:numFmt w:val="bullet"/>
      <w:start w:val="1"/>
    </w:lvl>
  </w:abstractNum>
  <w:abstractNum w:abstractNumId="124">
    <w:nsid w:val="4427069A"/>
    <w:multiLevelType w:val="hybridMultilevel"/>
    <w:lvl w:ilvl="0">
      <w:lvlJc w:val="left"/>
      <w:lvlText w:val="•"/>
      <w:numFmt w:val="bullet"/>
      <w:start w:val="1"/>
    </w:lvl>
  </w:abstractNum>
  <w:abstractNum w:abstractNumId="125">
    <w:nsid w:val="B37E80A"/>
    <w:multiLevelType w:val="hybridMultilevel"/>
    <w:lvl w:ilvl="0">
      <w:lvlJc w:val="left"/>
      <w:lvlText w:val="(%1)"/>
      <w:numFmt w:val="decimal"/>
      <w:start w:val="1"/>
    </w:lvl>
  </w:abstractNum>
  <w:abstractNum w:abstractNumId="126">
    <w:nsid w:val="2157F6BC"/>
    <w:multiLevelType w:val="hybridMultilevel"/>
    <w:lvl w:ilvl="0">
      <w:lvlJc w:val="left"/>
      <w:lvlText w:val="(%1)"/>
      <w:numFmt w:val="lowerLetter"/>
      <w:start w:val="1"/>
    </w:lvl>
    <w:lvl w:ilvl="1">
      <w:lvlJc w:val="left"/>
      <w:lvlText w:val="%2."/>
      <w:numFmt w:val="lowerRoman"/>
      <w:start w:val="1"/>
    </w:lvl>
  </w:abstractNum>
  <w:abstractNum w:abstractNumId="127">
    <w:nsid w:val="704E1DD5"/>
    <w:multiLevelType w:val="hybridMultilevel"/>
    <w:lvl w:ilvl="0">
      <w:lvlJc w:val="left"/>
      <w:lvlText w:val="%1"/>
      <w:numFmt w:val="lowerLetter"/>
      <w:start w:val="1"/>
    </w:lvl>
    <w:lvl w:ilvl="1">
      <w:lvlJc w:val="left"/>
      <w:lvlText w:val="%2."/>
      <w:numFmt w:val="lowerRoman"/>
      <w:start w:val="2"/>
    </w:lvl>
  </w:abstractNum>
  <w:abstractNum w:abstractNumId="128">
    <w:nsid w:val="57D2F10E"/>
    <w:multiLevelType w:val="hybridMultilevel"/>
    <w:lvl w:ilvl="0">
      <w:lvlJc w:val="left"/>
      <w:lvlText w:val="(%1)"/>
      <w:numFmt w:val="lowerLetter"/>
      <w:start w:val="8"/>
    </w:lvl>
    <w:lvl w:ilvl="1">
      <w:lvlJc w:val="left"/>
      <w:lvlText w:val="%2"/>
      <w:numFmt w:val="lowerRoman"/>
      <w:start w:val="1"/>
    </w:lvl>
  </w:abstractNum>
  <w:abstractNum w:abstractNumId="129">
    <w:nsid w:val="BFFAE18"/>
    <w:multiLevelType w:val="hybridMultilevel"/>
    <w:lvl w:ilvl="0">
      <w:lvlJc w:val="left"/>
      <w:lvlText w:val="(%1)"/>
      <w:numFmt w:val="lowerLetter"/>
      <w:start w:val="15"/>
    </w:lvl>
  </w:abstractNum>
  <w:abstractNum w:abstractNumId="130">
    <w:nsid w:val="E3E47A8"/>
    <w:multiLevelType w:val="hybridMultilevel"/>
    <w:lvl w:ilvl="0">
      <w:lvlJc w:val="left"/>
      <w:lvlText w:val="(%1)"/>
      <w:numFmt w:val="lowerLetter"/>
      <w:start w:val="1"/>
    </w:lvl>
  </w:abstractNum>
  <w:abstractNum w:abstractNumId="131">
    <w:nsid w:val="2E48F044"/>
    <w:multiLevelType w:val="hybridMultilevel"/>
    <w:lvl w:ilvl="0">
      <w:lvlJc w:val="left"/>
      <w:lvlText w:val="(%1)"/>
      <w:numFmt w:val="lowerLetter"/>
      <w:start w:val="3"/>
    </w:lvl>
  </w:abstractNum>
  <w:abstractNum w:abstractNumId="132">
    <w:nsid w:val="49D0FEAC"/>
    <w:multiLevelType w:val="hybridMultilevel"/>
    <w:lvl w:ilvl="0">
      <w:lvlJc w:val="left"/>
      <w:lvlText w:val="(%1)"/>
      <w:numFmt w:val="lowerLetter"/>
      <w:start w:val="1"/>
    </w:lvl>
  </w:abstractNum>
  <w:abstractNum w:abstractNumId="133">
    <w:nsid w:val="4BEE5A5B"/>
    <w:multiLevelType w:val="hybridMultilevel"/>
    <w:lvl w:ilvl="0">
      <w:lvlJc w:val="left"/>
      <w:lvlText w:val="(%1)"/>
      <w:numFmt w:val="lowerLetter"/>
      <w:start w:val="3"/>
    </w:lvl>
  </w:abstractNum>
  <w:abstractNum w:abstractNumId="134">
    <w:nsid w:val="5551B9F3"/>
    <w:multiLevelType w:val="hybridMultilevel"/>
    <w:lvl w:ilvl="0">
      <w:lvlJc w:val="left"/>
      <w:lvlText w:val="(%1)"/>
      <w:numFmt w:val="lowerLetter"/>
      <w:start w:val="1"/>
    </w:lvl>
  </w:abstractNum>
  <w:abstractNum w:abstractNumId="135">
    <w:nsid w:val="24F6AB8E"/>
    <w:multiLevelType w:val="hybridMultilevel"/>
    <w:lvl w:ilvl="0">
      <w:lvlJc w:val="left"/>
      <w:lvlText w:val="(%1)"/>
      <w:numFmt w:val="lowerLetter"/>
      <w:start w:val="1"/>
    </w:lvl>
  </w:abstractNum>
  <w:abstractNum w:abstractNumId="136">
    <w:nsid w:val="634C574C"/>
    <w:multiLevelType w:val="hybridMultilevel"/>
    <w:lvl w:ilvl="0">
      <w:lvlJc w:val="left"/>
      <w:lvlText w:val="(%1)"/>
      <w:numFmt w:val="lowerLetter"/>
      <w:start w:val="2"/>
    </w:lvl>
  </w:abstractNum>
  <w:abstractNum w:abstractNumId="137">
    <w:nsid w:val="24E99DD7"/>
    <w:multiLevelType w:val="hybridMultilevel"/>
    <w:lvl w:ilvl="0">
      <w:lvlJc w:val="left"/>
      <w:lvlText w:val="(%1)"/>
      <w:numFmt w:val="lowerLetter"/>
      <w:start w:val="1"/>
    </w:lvl>
  </w:abstractNum>
  <w:abstractNum w:abstractNumId="138">
    <w:nsid w:val="2A31B62D"/>
    <w:multiLevelType w:val="hybridMultilevel"/>
    <w:lvl w:ilvl="0">
      <w:lvlJc w:val="left"/>
      <w:lvlText w:val="(%1)"/>
      <w:numFmt w:val="lowerLetter"/>
      <w:start w:val="1"/>
    </w:lvl>
  </w:abstractNum>
  <w:abstractNum w:abstractNumId="139">
    <w:nsid w:val="1849C29B"/>
    <w:multiLevelType w:val="hybridMultilevel"/>
    <w:lvl w:ilvl="0">
      <w:lvlJc w:val="left"/>
      <w:lvlText w:val="(%1)"/>
      <w:numFmt w:val="lowerLetter"/>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jpe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jpe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jpe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jpeg"/><Relationship Id="rId380" Type="http://schemas.openxmlformats.org/officeDocument/2006/relationships/image" Target="media/image373.jpeg"/><Relationship Id="rId381" Type="http://schemas.openxmlformats.org/officeDocument/2006/relationships/image" Target="media/image374.jpeg"/><Relationship Id="rId382" Type="http://schemas.openxmlformats.org/officeDocument/2006/relationships/image" Target="media/image375.jpeg"/><Relationship Id="rId383" Type="http://schemas.openxmlformats.org/officeDocument/2006/relationships/image" Target="media/image376.jpeg"/><Relationship Id="rId384" Type="http://schemas.openxmlformats.org/officeDocument/2006/relationships/image" Target="media/image377.jpe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jpeg"/><Relationship Id="rId516" Type="http://schemas.openxmlformats.org/officeDocument/2006/relationships/image" Target="media/image509.pn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jpe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jpeg"/><Relationship Id="rId578" Type="http://schemas.openxmlformats.org/officeDocument/2006/relationships/image" Target="media/image571.pn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jpeg"/><Relationship Id="rId604" Type="http://schemas.openxmlformats.org/officeDocument/2006/relationships/image" Target="media/image597.jpe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jpeg"/><Relationship Id="rId617" Type="http://schemas.openxmlformats.org/officeDocument/2006/relationships/image" Target="media/image610.jpe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jpeg"/><Relationship Id="rId644" Type="http://schemas.openxmlformats.org/officeDocument/2006/relationships/image" Target="media/image637.jpe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2026-06-16T15:37:28Z</dcterms:created>
  <dcterms:modified xsi:type="dcterms:W3CDTF">2026-06-16T15:37:28Z</dcterms:modified>
</cp:coreProperties>
</file>