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754380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6" w:lineRule="exact"/>
        <w:rPr>
          <w:sz w:val="24"/>
          <w:szCs w:val="24"/>
          <w:color w:val="auto"/>
        </w:rPr>
      </w:pPr>
    </w:p>
    <w:p>
      <w:pPr>
        <w:ind w:left="2120" w:hanging="210"/>
        <w:spacing w:after="0"/>
        <w:tabs>
          <w:tab w:leader="none" w:pos="2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w:t>
      </w:r>
    </w:p>
    <w:p>
      <w:pPr>
        <w:spacing w:after="0" w:line="15" w:lineRule="exact"/>
        <w:rPr>
          <w:rFonts w:ascii="MS PGothic" w:cs="MS PGothic" w:eastAsia="MS PGothic" w:hAnsi="MS PGothic"/>
          <w:sz w:val="18"/>
          <w:szCs w:val="18"/>
          <w:color w:val="auto"/>
        </w:rPr>
      </w:pPr>
    </w:p>
    <w:p>
      <w:pPr>
        <w:ind w:left="2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OF THE SECURITIES EXCHANGE ACT OF 1934</w:t>
      </w:r>
    </w:p>
    <w:p>
      <w:pPr>
        <w:spacing w:after="0" w:line="200" w:lineRule="exact"/>
        <w:rPr>
          <w:sz w:val="24"/>
          <w:szCs w:val="24"/>
          <w:color w:val="auto"/>
        </w:rPr>
      </w:pPr>
    </w:p>
    <w:p>
      <w:pPr>
        <w:spacing w:after="0" w:line="217" w:lineRule="exact"/>
        <w:rPr>
          <w:sz w:val="24"/>
          <w:szCs w:val="24"/>
          <w:color w:val="auto"/>
        </w:rPr>
      </w:pPr>
    </w:p>
    <w:p>
      <w:pPr>
        <w:ind w:left="2100" w:hanging="195"/>
        <w:spacing w:after="0"/>
        <w:tabs>
          <w:tab w:leader="none" w:pos="21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7"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_________________ TO _________________</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001-40853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04" w:lineRule="exact"/>
        <w:rPr>
          <w:sz w:val="24"/>
          <w:szCs w:val="24"/>
          <w:color w:val="auto"/>
        </w:rPr>
      </w:pPr>
    </w:p>
    <w:tbl>
      <w:tblPr>
        <w:tblLayout w:type="fixed"/>
        <w:tblInd w:w="300" w:type="dxa"/>
        <w:tblCellMar>
          <w:top w:w="0" w:type="dxa"/>
          <w:left w:w="0" w:type="dxa"/>
          <w:bottom w:w="0" w:type="dxa"/>
          <w:right w:w="0" w:type="dxa"/>
        </w:tblCellMar>
      </w:tblPr>
      <w:tr>
        <w:trPr>
          <w:trHeight w:val="224"/>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40" w:type="dxa"/>
            <w:vAlign w:val="bottom"/>
          </w:tcPr>
          <w:p>
            <w:pPr>
              <w:jc w:val="right"/>
              <w:ind w:right="715"/>
              <w:spacing w:after="0"/>
              <w:rPr>
                <w:sz w:val="20"/>
                <w:szCs w:val="20"/>
                <w:color w:val="auto"/>
              </w:rPr>
            </w:pPr>
            <w:r>
              <w:rPr>
                <w:rFonts w:ascii="Times New Roman" w:cs="Times New Roman" w:eastAsia="Times New Roman" w:hAnsi="Times New Roman"/>
                <w:sz w:val="18"/>
                <w:szCs w:val="18"/>
                <w:b w:val="1"/>
                <w:bCs w:val="1"/>
                <w:color w:val="auto"/>
              </w:rPr>
              <w:t>86-1185492</w:t>
            </w:r>
          </w:p>
        </w:tc>
      </w:tr>
      <w:tr>
        <w:trPr>
          <w:trHeight w:val="210"/>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140" w:type="dxa"/>
            <w:vAlign w:val="bottom"/>
          </w:tcPr>
          <w:p>
            <w:pPr>
              <w:jc w:val="center"/>
              <w:ind w:left="595"/>
              <w:spacing w:after="0"/>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416"/>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8"/>
                <w:szCs w:val="18"/>
                <w:b w:val="1"/>
                <w:bCs w:val="1"/>
                <w:color w:val="auto"/>
                <w:w w:val="99"/>
              </w:rPr>
              <w:t>One Vanderbilt Avenue, 15th Floor</w:t>
            </w:r>
          </w:p>
        </w:tc>
        <w:tc>
          <w:tcPr>
            <w:tcW w:w="3140" w:type="dxa"/>
            <w:vAlign w:val="bottom"/>
          </w:tcPr>
          <w:p>
            <w:pPr>
              <w:spacing w:after="0"/>
              <w:rPr>
                <w:sz w:val="24"/>
                <w:szCs w:val="24"/>
                <w:color w:val="auto"/>
              </w:rPr>
            </w:pPr>
          </w:p>
        </w:tc>
      </w:tr>
      <w:tr>
        <w:trPr>
          <w:trHeight w:val="224"/>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140" w:type="dxa"/>
            <w:vAlign w:val="bottom"/>
          </w:tcPr>
          <w:p>
            <w:pPr>
              <w:jc w:val="right"/>
              <w:ind w:right="915"/>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10"/>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140" w:type="dxa"/>
            <w:vAlign w:val="bottom"/>
          </w:tcPr>
          <w:p>
            <w:pPr>
              <w:jc w:val="center"/>
              <w:ind w:left="595"/>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212-896-2098</w:t>
      </w:r>
    </w:p>
    <w:p>
      <w:pPr>
        <w:spacing w:after="0" w:line="31"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2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9"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3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3020" w:type="dxa"/>
            <w:vAlign w:val="bottom"/>
            <w:gridSpan w:val="3"/>
            <w:vMerge w:val="continue"/>
          </w:tcPr>
          <w:p>
            <w:pPr>
              <w:spacing w:after="0"/>
              <w:rPr>
                <w:sz w:val="16"/>
                <w:szCs w:val="16"/>
                <w:color w:val="auto"/>
              </w:rPr>
            </w:pPr>
          </w:p>
        </w:tc>
        <w:tc>
          <w:tcPr>
            <w:tcW w:w="3040" w:type="dxa"/>
            <w:vAlign w:val="bottom"/>
            <w:gridSpan w:val="2"/>
            <w:vMerge w:val="continue"/>
          </w:tcPr>
          <w:p>
            <w:pPr>
              <w:spacing w:after="0"/>
              <w:rPr>
                <w:sz w:val="16"/>
                <w:szCs w:val="16"/>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60" w:type="dxa"/>
            <w:vAlign w:val="bottom"/>
          </w:tcPr>
          <w:p>
            <w:pPr>
              <w:spacing w:after="0"/>
              <w:rPr>
                <w:sz w:val="18"/>
                <w:szCs w:val="18"/>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KD</w:t>
            </w:r>
          </w:p>
        </w:tc>
        <w:tc>
          <w:tcPr>
            <w:tcW w:w="180" w:type="dxa"/>
            <w:vAlign w:val="bottom"/>
          </w:tcPr>
          <w:p>
            <w:pPr>
              <w:spacing w:after="0"/>
              <w:rPr>
                <w:sz w:val="18"/>
                <w:szCs w:val="18"/>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c>
          <w:tcPr>
            <w:tcW w:w="0" w:type="dxa"/>
            <w:vAlign w:val="bottom"/>
          </w:tcPr>
          <w:p>
            <w:pPr>
              <w:spacing w:after="0"/>
              <w:rPr>
                <w:sz w:val="1"/>
                <w:szCs w:val="1"/>
                <w:color w:val="auto"/>
              </w:rPr>
            </w:pPr>
          </w:p>
        </w:tc>
      </w:tr>
    </w:tbl>
    <w:p>
      <w:pPr>
        <w:spacing w:after="0" w:line="127" w:lineRule="exact"/>
        <w:rPr>
          <w:sz w:val="24"/>
          <w:szCs w:val="24"/>
          <w:color w:val="auto"/>
        </w:rPr>
      </w:pPr>
    </w:p>
    <w:p>
      <w:pPr>
        <w:ind w:left="60" w:right="179" w:firstLine="648"/>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l3 or l5(d)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left="60" w:right="99" w:firstLine="648"/>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left="60" w:right="159" w:firstLine="64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sectPr>
      </w:pPr>
    </w:p>
    <w:p>
      <w:pPr>
        <w:spacing w:after="0" w:line="222" w:lineRule="exact"/>
        <w:rPr>
          <w:sz w:val="24"/>
          <w:szCs w:val="24"/>
          <w:color w:val="auto"/>
        </w:rPr>
      </w:pPr>
    </w:p>
    <w:p>
      <w:pPr>
        <w:ind w:left="146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3" w:lineRule="exact"/>
        <w:rPr>
          <w:sz w:val="24"/>
          <w:szCs w:val="24"/>
          <w:color w:val="auto"/>
        </w:rPr>
      </w:pPr>
    </w:p>
    <w:p>
      <w:pPr>
        <w:ind w:left="150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jc w:val="center"/>
        <w:ind w:right="1319"/>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73" w:lineRule="exact"/>
        <w:rPr>
          <w:sz w:val="24"/>
          <w:szCs w:val="24"/>
          <w:color w:val="auto"/>
        </w:rPr>
      </w:pPr>
    </w:p>
    <w:p>
      <w:pPr>
        <w:jc w:val="center"/>
        <w:ind w:right="1319"/>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30" w:lineRule="exact"/>
        <w:rPr>
          <w:sz w:val="24"/>
          <w:szCs w:val="24"/>
          <w:color w:val="auto"/>
        </w:rPr>
      </w:pPr>
    </w:p>
    <w:p>
      <w:pPr>
        <w:jc w:val="center"/>
        <w:ind w:right="1319"/>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34" w:lineRule="exact"/>
        <w:rPr>
          <w:sz w:val="24"/>
          <w:szCs w:val="24"/>
          <w:color w:val="auto"/>
        </w:rPr>
      </w:pPr>
    </w:p>
    <w:p>
      <w:pPr>
        <w:sectPr>
          <w:pgSz w:w="11900" w:h="16838" w:orient="portrait"/>
          <w:cols w:equalWidth="0" w:num="2">
            <w:col w:w="5040" w:space="720"/>
            <w:col w:w="3259"/>
          </w:cols>
          <w:pgMar w:left="1440" w:top="661" w:right="1440" w:bottom="1440" w:gutter="0" w:footer="0" w:header="0"/>
          <w:type w:val="continuous"/>
        </w:sectPr>
      </w:pPr>
    </w:p>
    <w:p>
      <w:pPr>
        <w:ind w:left="60" w:right="239" w:firstLine="648"/>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 w:right="1319" w:firstLine="648"/>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ind w:left="60" w:right="339" w:firstLine="648"/>
        <w:spacing w:after="0" w:line="275" w:lineRule="auto"/>
        <w:rPr>
          <w:sz w:val="20"/>
          <w:szCs w:val="20"/>
          <w:color w:val="auto"/>
        </w:rPr>
      </w:pPr>
      <w:r>
        <w:rPr>
          <w:rFonts w:ascii="Times New Roman" w:cs="Times New Roman" w:eastAsia="Times New Roman" w:hAnsi="Times New Roman"/>
          <w:sz w:val="16"/>
          <w:szCs w:val="16"/>
          <w:color w:val="auto"/>
        </w:rPr>
        <w:t>The number of shares of the registrant’s Common Stock, par value $0.01 per share, outstanding as of January 31, 2024 was 230,103,348.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466725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46990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89535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Index</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36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6220" w:type="dxa"/>
            <w:vAlign w:val="bottom"/>
            <w:gridSpan w:val="12"/>
            <w:vMerge w:val="restart"/>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1"/>
        </w:trPr>
        <w:tc>
          <w:tcPr>
            <w:tcW w:w="2360" w:type="dxa"/>
            <w:vAlign w:val="bottom"/>
            <w:tcBorders>
              <w:bottom w:val="single" w:sz="8" w:color="0000EE"/>
            </w:tcBorders>
            <w:gridSpan w:val="11"/>
            <w:vMerge w:val="continue"/>
          </w:tcPr>
          <w:p>
            <w:pPr>
              <w:spacing w:after="0"/>
              <w:rPr>
                <w:sz w:val="13"/>
                <w:szCs w:val="13"/>
                <w:color w:val="auto"/>
              </w:rPr>
            </w:pPr>
          </w:p>
        </w:tc>
        <w:tc>
          <w:tcPr>
            <w:tcW w:w="6220" w:type="dxa"/>
            <w:vAlign w:val="bottom"/>
            <w:gridSpan w:val="12"/>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Item 1. Consolidated Financial Statements (Unaudited):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Consolidated Income Statement for the three and nine months ended December 31, 2023 and 2022</w:t>
            </w:r>
          </w:p>
        </w:tc>
        <w:tc>
          <w:tcPr>
            <w:tcW w:w="112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Consolidated Statement of Comprehensive Income (Loss) for the three and nine months ended December 31,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2023 and 2022</w:t>
            </w:r>
          </w:p>
        </w:tc>
        <w:tc>
          <w:tcPr>
            <w:tcW w:w="6600" w:type="dxa"/>
            <w:vAlign w:val="bottom"/>
            <w:tcBorders>
              <w:top w:val="single" w:sz="8" w:color="0000EE"/>
            </w:tcBorders>
            <w:gridSpan w:val="15"/>
          </w:tcPr>
          <w:p>
            <w:pPr>
              <w:spacing w:after="0"/>
              <w:rPr>
                <w:sz w:val="17"/>
                <w:szCs w:val="17"/>
                <w:color w:val="auto"/>
              </w:rPr>
            </w:pPr>
          </w:p>
        </w:tc>
        <w:tc>
          <w:tcPr>
            <w:tcW w:w="38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Consolidated Balance Sheet at December 31, 2023 and March 31, 2023</w:t>
            </w:r>
          </w:p>
        </w:tc>
        <w:tc>
          <w:tcPr>
            <w:tcW w:w="308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Consolidated Statement of Cash Flows for the nine months ended December 31, 2023 and 2022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Consolidated Statement of Equity for the three and nine months ended December 31, 2023 and 2022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4080" w:type="dxa"/>
            <w:vAlign w:val="bottom"/>
            <w:tcBorders>
              <w:top w:val="single" w:sz="8" w:color="0000EE"/>
            </w:tcBorders>
            <w:gridSpan w:val="6"/>
          </w:tcPr>
          <w:p>
            <w:pPr>
              <w:spacing w:after="0"/>
              <w:rPr>
                <w:sz w:val="24"/>
                <w:szCs w:val="24"/>
                <w:color w:val="auto"/>
              </w:rPr>
            </w:pPr>
          </w:p>
        </w:tc>
        <w:tc>
          <w:tcPr>
            <w:tcW w:w="100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Item 2. Management’s Discussion and Analysis of Financial Condition and Results of Operations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300" w:type="dxa"/>
            <w:vAlign w:val="bottom"/>
            <w:tcBorders>
              <w:bottom w:val="single" w:sz="8" w:color="0000EE"/>
            </w:tcBorders>
            <w:gridSpan w:val="15"/>
          </w:tcPr>
          <w:p>
            <w:pPr>
              <w:ind w:left="60"/>
              <w:spacing w:after="0"/>
              <w:rPr>
                <w:sz w:val="20"/>
                <w:szCs w:val="20"/>
                <w:color w:val="auto"/>
              </w:rPr>
            </w:pPr>
            <w:r>
              <w:rPr>
                <w:rFonts w:ascii="Times New Roman" w:cs="Times New Roman" w:eastAsia="Times New Roman" w:hAnsi="Times New Roman"/>
                <w:sz w:val="18"/>
                <w:szCs w:val="18"/>
                <w:b w:val="1"/>
                <w:bCs w:val="1"/>
                <w:color w:val="0000EE"/>
                <w:w w:val="99"/>
              </w:rPr>
              <w:t>Item 3. Quantitative and Qualitative Disclosures About Market Risk</w:t>
            </w:r>
          </w:p>
        </w:tc>
        <w:tc>
          <w:tcPr>
            <w:tcW w:w="316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Item 4. Controls and Procedures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1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w w:val="99"/>
              </w:rPr>
              <w:t>Part II - Other Information:</w:t>
            </w:r>
          </w:p>
        </w:tc>
        <w:tc>
          <w:tcPr>
            <w:tcW w:w="6400" w:type="dxa"/>
            <w:vAlign w:val="bottom"/>
            <w:gridSpan w:val="14"/>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8"/>
              </w:rPr>
              <w:t>Item 1. Legal Proceedings</w:t>
            </w:r>
          </w:p>
        </w:tc>
        <w:tc>
          <w:tcPr>
            <w:tcW w:w="6420" w:type="dxa"/>
            <w:vAlign w:val="bottom"/>
            <w:gridSpan w:val="15"/>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8"/>
              </w:rPr>
              <w:t>Item 1A. Risk Factors</w:t>
            </w:r>
          </w:p>
        </w:tc>
        <w:tc>
          <w:tcPr>
            <w:tcW w:w="672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Item 2. Unregistered Sales of Equity Securities, Use of Proceeds, and Issuer Purchases of Equity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2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w w:val="99"/>
              </w:rPr>
              <w:t>Item 3. Defaults Upon Senior Securities</w:t>
            </w:r>
          </w:p>
        </w:tc>
        <w:tc>
          <w:tcPr>
            <w:tcW w:w="5100" w:type="dxa"/>
            <w:vAlign w:val="bottom"/>
            <w:tcBorders>
              <w:top w:val="single" w:sz="8" w:color="0000EE"/>
            </w:tcBorders>
            <w:gridSpan w:val="9"/>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rPr>
              <w:t>Item 4. Mine Safety Disclosures</w:t>
            </w:r>
          </w:p>
        </w:tc>
        <w:tc>
          <w:tcPr>
            <w:tcW w:w="592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w w:val="98"/>
              </w:rPr>
              <w:t>Item 5. Other Information</w:t>
            </w:r>
          </w:p>
        </w:tc>
        <w:tc>
          <w:tcPr>
            <w:tcW w:w="638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7"/>
              </w:rPr>
              <w:t>Item 6. Exhibits</w:t>
            </w:r>
          </w:p>
        </w:tc>
        <w:tc>
          <w:tcPr>
            <w:tcW w:w="7180" w:type="dxa"/>
            <w:vAlign w:val="bottom"/>
            <w:gridSpan w:val="18"/>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tcBorders>
              <w:bottom w:val="single" w:sz="8" w:color="auto"/>
            </w:tcBorders>
            <w:gridSpan w:val="5"/>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 **</w:t>
            </w:r>
          </w:p>
        </w:tc>
        <w:tc>
          <w:tcPr>
            <w:tcW w:w="4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10,055</w:t>
            </w:r>
          </w:p>
        </w:tc>
        <w:tc>
          <w:tcPr>
            <w:tcW w:w="4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Transaction-related costs (benefits)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12,367</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4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tc>
        <w:tc>
          <w:tcPr>
            <w:tcW w:w="4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4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4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basic shares outstanding</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diluted shares outstanding</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  Including related-party revenue of $287 for the nine months ended December 31, 2022.</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 Including related-party cost of services of $1,382 for the nine months ended December 31, 2022.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 (LOSS)</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6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10"/>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prior service (credits) costs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194"/>
        </w:trPr>
        <w:tc>
          <w:tcPr>
            <w:tcW w:w="46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tax (expense) benefit related to items of other</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38"/>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0"/>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0"/>
        </w:trPr>
        <w:tc>
          <w:tcPr>
            <w:tcW w:w="4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(In millions, except per share amount)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8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20" w:type="dxa"/>
            <w:vAlign w:val="bottom"/>
            <w:gridSpan w:val="2"/>
            <w:shd w:val="clear" w:color="auto" w:fill="CCEE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1,688</w:t>
            </w:r>
          </w:p>
        </w:tc>
        <w:tc>
          <w:tcPr>
            <w:tcW w:w="480" w:type="dxa"/>
            <w:vAlign w:val="bottom"/>
            <w:gridSpan w:val="2"/>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80" w:type="dxa"/>
            <w:vAlign w:val="bottom"/>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Accounts receivable (net of allowances for credit losses of $24 at December 31, 2023 and</w:t>
            </w: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w:t>
            </w: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$32 at March 31, 2023)</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costs (current portion)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578</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Pr>
          <w:p>
            <w:pPr>
              <w:spacing w:after="0"/>
              <w:rPr>
                <w:sz w:val="12"/>
                <w:szCs w:val="12"/>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4,851</w:t>
            </w:r>
          </w:p>
        </w:tc>
        <w:tc>
          <w:tcPr>
            <w:tcW w:w="260" w:type="dxa"/>
            <w:vAlign w:val="bottom"/>
          </w:tcPr>
          <w:p>
            <w:pPr>
              <w:spacing w:after="0"/>
              <w:rPr>
                <w:sz w:val="12"/>
                <w:szCs w:val="12"/>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42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2,806</w:t>
            </w:r>
          </w:p>
        </w:tc>
        <w:tc>
          <w:tcPr>
            <w:tcW w:w="4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right-of-use assets, net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915</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costs (noncurrent portion)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taxes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Pension assets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82"/>
        </w:trPr>
        <w:tc>
          <w:tcPr>
            <w:tcW w:w="55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Pr>
          <w:p>
            <w:pPr>
              <w:spacing w:after="0"/>
              <w:rPr>
                <w:sz w:val="15"/>
                <w:szCs w:val="15"/>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10,969</w:t>
            </w:r>
          </w:p>
        </w:tc>
        <w:tc>
          <w:tcPr>
            <w:tcW w:w="260" w:type="dxa"/>
            <w:vAlign w:val="bottom"/>
          </w:tcPr>
          <w:p>
            <w:pPr>
              <w:spacing w:after="0"/>
              <w:rPr>
                <w:sz w:val="15"/>
                <w:szCs w:val="15"/>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11,464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4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42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1,477</w:t>
            </w:r>
          </w:p>
        </w:tc>
        <w:tc>
          <w:tcPr>
            <w:tcW w:w="4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Value-added tax and income tax liabilities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compensation and benefits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(current portion)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contract costs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accrued expenses and liabilities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593</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Pr>
          <w:p>
            <w:pPr>
              <w:spacing w:after="0"/>
              <w:rPr>
                <w:sz w:val="12"/>
                <w:szCs w:val="12"/>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5,152</w:t>
            </w:r>
          </w:p>
        </w:tc>
        <w:tc>
          <w:tcPr>
            <w:tcW w:w="260" w:type="dxa"/>
            <w:vAlign w:val="bottom"/>
          </w:tcPr>
          <w:p>
            <w:pPr>
              <w:spacing w:after="0"/>
              <w:rPr>
                <w:sz w:val="12"/>
                <w:szCs w:val="12"/>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4,868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42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2,629</w:t>
            </w:r>
          </w:p>
        </w:tc>
        <w:tc>
          <w:tcPr>
            <w:tcW w:w="4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Retirement and nonpension postretirement benefit obligations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493</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income (noncurrent portion)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lease liabilities (noncurrent portion)</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9,676</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par value $0.01 per share, and additional paid-in capital</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(shares authorized: 1,000.0; shares issued: December 31, 2023 – 233.3, March 31, 2023 –</w:t>
            </w:r>
          </w:p>
        </w:tc>
        <w:tc>
          <w:tcPr>
            <w:tcW w:w="42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4,501</w:t>
            </w:r>
          </w:p>
        </w:tc>
        <w:tc>
          <w:tcPr>
            <w:tcW w:w="480" w:type="dxa"/>
            <w:vAlign w:val="bottom"/>
            <w:gridSpan w:val="2"/>
            <w:vMerge w:val="restart"/>
          </w:tcPr>
          <w:p>
            <w:pPr>
              <w:jc w:val="right"/>
              <w:ind w:right="103"/>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4,428</w:t>
            </w:r>
          </w:p>
        </w:tc>
        <w:tc>
          <w:tcPr>
            <w:tcW w:w="0" w:type="dxa"/>
            <w:vAlign w:val="bottom"/>
          </w:tcPr>
          <w:p>
            <w:pPr>
              <w:spacing w:after="0"/>
              <w:rPr>
                <w:sz w:val="1"/>
                <w:szCs w:val="1"/>
                <w:color w:val="auto"/>
              </w:rPr>
            </w:pPr>
          </w:p>
        </w:tc>
      </w:tr>
      <w:tr>
        <w:trPr>
          <w:trHeight w:val="171"/>
        </w:trPr>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229.6)</w:t>
            </w:r>
          </w:p>
        </w:tc>
        <w:tc>
          <w:tcPr>
            <w:tcW w:w="420" w:type="dxa"/>
            <w:vAlign w:val="bottom"/>
            <w:gridSpan w:val="2"/>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(2,274)</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Treasury stock, at cost (shares: December 31, 2023 – 3.3, March 31, 2023 – 1.9)</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(995)</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stockholders’ equity before non-controlling interests</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1,189</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1,365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Non-controlling interests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1,293</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1,462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2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10,969</w:t>
            </w:r>
          </w:p>
        </w:tc>
        <w:tc>
          <w:tcPr>
            <w:tcW w:w="2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cash provided by operating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Depreciation of property, equipment and capitalized software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Amortization of transition costs and prepaid software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Amortization of capitalized contract costs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(gain) loss on asset sales and other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costs (excluding amortization)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Right-of-use assets and liabilities (excluding depreciation)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Workforce rebalancing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Other assets and other liabilities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disposition of property and equipment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Debt repayments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Common stock repurchases for tax withholdings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Pr>
          <w:p>
            <w:pPr>
              <w:spacing w:after="0"/>
              <w:rPr>
                <w:sz w:val="18"/>
                <w:szCs w:val="18"/>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data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 net of refunds received</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on debt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EQUITY</w:t>
      </w:r>
    </w:p>
    <w:p>
      <w:pPr>
        <w:ind w:left="4120"/>
        <w:spacing w:after="0" w:line="224" w:lineRule="auto"/>
        <w:rPr>
          <w:sz w:val="20"/>
          <w:szCs w:val="20"/>
          <w:color w:val="auto"/>
        </w:rPr>
      </w:pPr>
      <w:r>
        <w:rPr>
          <w:rFonts w:ascii="Times New Roman" w:cs="Times New Roman" w:eastAsia="Times New Roman" w:hAnsi="Times New Roman"/>
          <w:sz w:val="14"/>
          <w:szCs w:val="14"/>
          <w:b w:val="1"/>
          <w:bCs w:val="1"/>
          <w:color w:val="auto"/>
        </w:rPr>
        <w:t>(In millions)</w:t>
      </w:r>
    </w:p>
    <w:p>
      <w:pPr>
        <w:spacing w:after="0" w:line="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8"/>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96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October 1, 2023</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229.5</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4,476</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(1,167)</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(2,262)</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issued under</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employee plans</w:t>
            </w:r>
          </w:p>
        </w:tc>
        <w:tc>
          <w:tcPr>
            <w:tcW w:w="1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10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Borders>
              <w:bottom w:val="single" w:sz="8" w:color="CCEEFF"/>
            </w:tcBorders>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December 31, 2023</w:t>
            </w:r>
          </w:p>
        </w:tc>
        <w:tc>
          <w:tcPr>
            <w:tcW w:w="10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230.0</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4,501</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(995)</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(2,274)</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8"/>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8"/>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10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6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8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October 1, 2022</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226.8</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4,370</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(1,567)</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(1,136)</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issued under</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employee plans</w:t>
            </w:r>
          </w:p>
        </w:tc>
        <w:tc>
          <w:tcPr>
            <w:tcW w:w="1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10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Borders>
              <w:bottom w:val="single" w:sz="8" w:color="CCEEFF"/>
            </w:tcBorders>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December 31, 2022</w:t>
            </w:r>
          </w:p>
        </w:tc>
        <w:tc>
          <w:tcPr>
            <w:tcW w:w="10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227.5</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4,397</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(1,303)</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(1,241)</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8"/>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96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April 1, 2023</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227.7</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4,428</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(1,062)</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(1,978)</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issued under</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employee plans</w:t>
            </w:r>
          </w:p>
        </w:tc>
        <w:tc>
          <w:tcPr>
            <w:tcW w:w="1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10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Borders>
              <w:bottom w:val="single" w:sz="8" w:color="CCEEFF"/>
            </w:tcBorders>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December 31, 2023</w:t>
            </w:r>
          </w:p>
        </w:tc>
        <w:tc>
          <w:tcPr>
            <w:tcW w:w="10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230.0</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4,501</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(995)</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(2,274)</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8"/>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 w:type="dxa"/>
            <w:vAlign w:val="bottom"/>
          </w:tcPr>
          <w:p>
            <w:pPr>
              <w:spacing w:after="0"/>
              <w:rPr>
                <w:sz w:val="12"/>
                <w:szCs w:val="12"/>
                <w:color w:val="auto"/>
              </w:rPr>
            </w:pPr>
          </w:p>
        </w:tc>
        <w:tc>
          <w:tcPr>
            <w:tcW w:w="9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8"/>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20" w:type="dxa"/>
            <w:vAlign w:val="bottom"/>
          </w:tcPr>
          <w:p>
            <w:pPr>
              <w:spacing w:after="0"/>
              <w:rPr>
                <w:sz w:val="12"/>
                <w:szCs w:val="12"/>
                <w:color w:val="auto"/>
              </w:rPr>
            </w:pPr>
          </w:p>
        </w:tc>
        <w:tc>
          <w:tcPr>
            <w:tcW w:w="108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Equity - April 1, 2022</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224.5</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4,315</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(1,089)</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(605)</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2,711</w:t>
            </w:r>
          </w:p>
        </w:tc>
        <w:tc>
          <w:tcPr>
            <w:tcW w:w="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(637)</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8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of tax</w:t>
            </w:r>
          </w:p>
        </w:tc>
        <w:tc>
          <w:tcPr>
            <w:tcW w:w="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8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under</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employee plans</w:t>
            </w:r>
          </w:p>
        </w:tc>
        <w:tc>
          <w:tcPr>
            <w:tcW w:w="1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10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Borders>
              <w:bottom w:val="single" w:sz="8" w:color="CCEEFF"/>
            </w:tcBorders>
            <w:gridSpan w:val="3"/>
          </w:tcPr>
          <w:p>
            <w:pPr>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bottom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Equity - December 31, 2022</w:t>
            </w:r>
          </w:p>
        </w:tc>
        <w:tc>
          <w:tcPr>
            <w:tcW w:w="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227.5</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4,397</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(1,303)</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(1,241)</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1,930</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0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Kyndryl Holdings, Inc. (“we”, “the Company” or “Kyndryl”) is a leading technology services company and the largest IT infrastructure services provider in the world, serving as a partner to thousands of enterprise customers whose operations span over 100 countries. Prior to November 3, 2021, the Company was wholly owned by International Business Machines Corporation (“IBM” or “former Parent”).</w:t>
      </w:r>
    </w:p>
    <w:p>
      <w:pPr>
        <w:spacing w:after="0" w:line="180"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November 2021, our former Parent effected the spin-off (the “Separation” or the “Spin-off”) of the infrastructure services unit of its Global Technology Services (“GTS”) segment through the distribution of shares of Kyndryl’s common stock to IBM stockholders. Kyndryl’s stock began trading as an independent company on November 4, 2021. In connection with the Separation, the Company entered into several agreements with IBM governing the relationship of the parties following the Separation.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and footnotes have been prepared in accordance with accounting principles generally accepted in the United States of America (“U.S. GAAP”). Management believes the accompanying financial statements include all adjustments necessary to state fairly the Company’s financial position and its results of operations for all the periods presented. The information included in this Form 10-Q should be read in conjunction with the Company’s Annual Report for the fiscal year ended March 31, 2023.</w:t>
      </w:r>
    </w:p>
    <w:p>
      <w:pPr>
        <w:spacing w:after="0" w:line="183" w:lineRule="exact"/>
        <w:rPr>
          <w:sz w:val="20"/>
          <w:szCs w:val="20"/>
          <w:color w:val="auto"/>
        </w:rPr>
      </w:pPr>
    </w:p>
    <w:p>
      <w:pPr>
        <w:ind w:left="60" w:right="139" w:firstLine="648"/>
        <w:spacing w:after="0" w:line="312" w:lineRule="auto"/>
        <w:rPr>
          <w:sz w:val="20"/>
          <w:szCs w:val="20"/>
          <w:color w:val="auto"/>
        </w:rPr>
      </w:pPr>
      <w:r>
        <w:rPr>
          <w:rFonts w:ascii="Times New Roman" w:cs="Times New Roman" w:eastAsia="Times New Roman" w:hAnsi="Times New Roman"/>
          <w:sz w:val="17"/>
          <w:szCs w:val="17"/>
          <w:color w:val="auto"/>
        </w:rPr>
        <w:t>Within the financial statements and tables presented, certain columns and rows may not add due to the use of rounded numbers for disclosure purposes. Percentages presented are calculated from the underlying whole-dollar amounts.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89"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presented on a consolidated basis. All significant transactions and intercompany accounts between Kyndryl entities were eliminated.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amounts that are reported in the consolidated financial statements and accompanying disclosures. Estimates are used in determining the following, among others: revenue, costs to complete service contracts, income taxes, pension assumptions, valuation of assets including goodwill and intangible assets, the depreciable and amortizable lives of long-lived assets, loss contingencies, allowance for credit losses and deferred transition costs. Actual results may differ from these estimates.</w:t>
      </w:r>
    </w:p>
    <w:p>
      <w:pPr>
        <w:spacing w:after="0" w:line="187" w:lineRule="exact"/>
        <w:rPr>
          <w:sz w:val="20"/>
          <w:szCs w:val="20"/>
          <w:color w:val="auto"/>
        </w:rPr>
      </w:pPr>
    </w:p>
    <w:p>
      <w:pPr>
        <w:jc w:val="both"/>
        <w:ind w:left="60" w:right="619" w:firstLine="648"/>
        <w:spacing w:after="0" w:line="266" w:lineRule="auto"/>
        <w:rPr>
          <w:sz w:val="20"/>
          <w:szCs w:val="20"/>
          <w:color w:val="auto"/>
        </w:rPr>
      </w:pPr>
      <w:r>
        <w:rPr>
          <w:rFonts w:ascii="Times New Roman" w:cs="Times New Roman" w:eastAsia="Times New Roman" w:hAnsi="Times New Roman"/>
          <w:sz w:val="18"/>
          <w:szCs w:val="18"/>
          <w:color w:val="auto"/>
        </w:rPr>
        <w:t>The Company uses the estimated annual effective tax rate method in computing its interim tax provision in accordance with U.S. GAAP. The estimated annual effective tax rate is applied to the year-to-date ordinary income, exclusive of discrete items, to arrive at the reported interim tax provision.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ACCOUNTING PRONOUNCEMENTS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Pronouncements</w:t>
      </w:r>
    </w:p>
    <w:p>
      <w:pPr>
        <w:spacing w:after="0" w:line="22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 Facilitation of the Effects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Reference Rate Reform on Financial Reporting, </w:t>
      </w:r>
      <w:r>
        <w:rPr>
          <w:rFonts w:ascii="Times New Roman" w:cs="Times New Roman" w:eastAsia="Times New Roman" w:hAnsi="Times New Roman"/>
          <w:sz w:val="18"/>
          <w:szCs w:val="18"/>
          <w:color w:val="auto"/>
        </w:rPr>
        <w:t>which included a sunset provision within Topic 848 based on expectations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when the London Interbank Offered Rate (“LIBOR”) would cease being published. The FASB issued temporary, optional expedients related to the accounting for contract modifications and hedging transactions as a result of markets transitioning from the use of LIBOR and other interbank offered rates to alternative reference rates. In December 2022, the FASB issued ASU 2022-06, </w:t>
      </w:r>
      <w:r>
        <w:rPr>
          <w:rFonts w:ascii="Times New Roman" w:cs="Times New Roman" w:eastAsia="Times New Roman" w:hAnsi="Times New Roman"/>
          <w:sz w:val="18"/>
          <w:szCs w:val="18"/>
          <w:i w:val="1"/>
          <w:iCs w:val="1"/>
          <w:color w:val="auto"/>
        </w:rPr>
        <w:t>Reference Rate Reform (Topic 848): Deferral of the Sunset Date of Topic 848</w:t>
      </w:r>
      <w:r>
        <w:rPr>
          <w:rFonts w:ascii="Times New Roman" w:cs="Times New Roman" w:eastAsia="Times New Roman" w:hAnsi="Times New Roman"/>
          <w:sz w:val="18"/>
          <w:szCs w:val="18"/>
          <w:color w:val="auto"/>
        </w:rPr>
        <w:t>, deferring the sunset date of Topic 848 to December 31, 2024. In June 2023, the Company modified its contracts that use LIBOR, transitioning from LIBOR to the Secured Overnight Financing Rate (“SOFR”). The use of SOFR became effective in modified contracts beginning on July 1, 2023. The change of reference rate did not result in any material impact to the Company’s consolidated financial statements.</w:t>
      </w:r>
    </w:p>
    <w:p>
      <w:pPr>
        <w:spacing w:after="0" w:line="187"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In September 2022, the FASB issued ASU 2022-04, which amended its guidance related to supplier finance programs. The amended guidance requires additional disclosures surrounding the use of supplier finance programs to purchase goods or services, including disclosing the key terms of the programs, the amount of obligations outstanding at the end of the reporting period, and a roll-forward of those obligations. The new guidance, except the roll-forward information, is effective for fiscal years beginning after December 15, 2022, including interim periods within those fiscal years. The requirement to present roll-forward information is effective for fiscal years beginning after December 15, 2023. The Company adopted the guidance at the beginning of fiscal year 2024. The Company did not have any outstanding obligations under supplier finance programs in the periods presented.</w:t>
      </w:r>
    </w:p>
    <w:p>
      <w:pPr>
        <w:spacing w:after="0" w:line="19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March 2023, the FASB issued ASU 2023-01, </w:t>
      </w:r>
      <w:r>
        <w:rPr>
          <w:rFonts w:ascii="Times New Roman" w:cs="Times New Roman" w:eastAsia="Times New Roman" w:hAnsi="Times New Roman"/>
          <w:sz w:val="18"/>
          <w:szCs w:val="18"/>
          <w:i w:val="1"/>
          <w:iCs w:val="1"/>
          <w:color w:val="auto"/>
        </w:rPr>
        <w:t>Leases (Topic 842) – Common-Control Arrangements</w:t>
      </w:r>
      <w:r>
        <w:rPr>
          <w:rFonts w:ascii="Times New Roman" w:cs="Times New Roman" w:eastAsia="Times New Roman" w:hAnsi="Times New Roman"/>
          <w:sz w:val="18"/>
          <w:szCs w:val="18"/>
          <w:color w:val="auto"/>
        </w:rPr>
        <w:t>. This guidance amends the accounting for leasehold improvements in common-control arrangements by requiring a lessee in a common-control arrangement to amortize leasehold improvements that it owns over the improvements’ useful life to the common-control group, regardless of the lease term, if the lessee continues to control the use of the underlying asset through a lease. This guidance is effective for fiscal years beginning after December 15, 2023, including interim periods within those fiscal years. Early adoption is permitted. The Company has evaluated the impact of the amended guidance and concluded that the guidance does not have a material impact on the Company’s consolidated financial statements.</w:t>
      </w:r>
    </w:p>
    <w:p>
      <w:pPr>
        <w:spacing w:after="0" w:line="183"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color w:val="auto"/>
        </w:rPr>
        <w:t xml:space="preserve">In August 2023, the FASB issued ASU 2023-05, </w:t>
      </w:r>
      <w:r>
        <w:rPr>
          <w:rFonts w:ascii="Times New Roman" w:cs="Times New Roman" w:eastAsia="Times New Roman" w:hAnsi="Times New Roman"/>
          <w:sz w:val="17"/>
          <w:szCs w:val="17"/>
          <w:i w:val="1"/>
          <w:iCs w:val="1"/>
          <w:color w:val="auto"/>
        </w:rPr>
        <w:t>Business Combinations – Joint Venture Formations (Subtopic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805-60): Recognition and Initial Measurement </w:t>
      </w:r>
      <w:r>
        <w:rPr>
          <w:rFonts w:ascii="Times New Roman" w:cs="Times New Roman" w:eastAsia="Times New Roman" w:hAnsi="Times New Roman"/>
          <w:sz w:val="17"/>
          <w:szCs w:val="17"/>
          <w:color w:val="auto"/>
        </w:rPr>
        <w:t>which requires a joint venture to measure all contributions received upon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formation at fair value. This guidance should be applied prospectively, effective for all newly-formed joint venture entities with a formation date on or after January 1, 2025. Early adoption is permitted. The Company has evaluated the impact of the guidance and does not expect it to have a material impact on the Company’s consolidated financial statements.</w:t>
      </w:r>
    </w:p>
    <w:p>
      <w:pPr>
        <w:spacing w:after="0" w:line="168" w:lineRule="exact"/>
        <w:rPr>
          <w:sz w:val="20"/>
          <w:szCs w:val="20"/>
          <w:color w:val="auto"/>
        </w:rPr>
      </w:pPr>
    </w:p>
    <w:p>
      <w:pPr>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Disclosures</w:t>
      </w:r>
      <w:r>
        <w:rPr>
          <w:rFonts w:ascii="Times New Roman" w:cs="Times New Roman" w:eastAsia="Times New Roman" w:hAnsi="Times New Roman"/>
          <w:sz w:val="18"/>
          <w:szCs w:val="18"/>
          <w:color w:val="auto"/>
        </w:rPr>
        <w:t>, which is intended to improve reportable segment disclosures, primarily through enhanced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significant segment expenses. The guidance should be applied retrospectively, effective for fiscal years beginning after December 15, 2023 and interim periods within fiscal years beginning after December 15, 2024. Early adoption is permitted. The Company is currently evaluating the impact this guidance will have on the Company’s consolidated financial statements.</w:t>
      </w:r>
    </w:p>
    <w:p>
      <w:pPr>
        <w:spacing w:after="0" w:line="182" w:lineRule="exact"/>
        <w:rPr>
          <w:sz w:val="20"/>
          <w:szCs w:val="20"/>
          <w:color w:val="auto"/>
        </w:rPr>
      </w:pPr>
    </w:p>
    <w:p>
      <w:pPr>
        <w:jc w:val="both"/>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is intended to enhance the transparency and usefulness of income tax disclosures through improved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related to the rate reconciliation and income taxes paid. The guidance is effective for annual periods beginning after December 15, 2024. Early adoption is permitted. The Company is currently evaluating the impact this guidance will have on the Company’s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views its segment results to be the best view of disaggregated revenue. Refer to Note 4 – Segments.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remaining performance obligation (“RPO”) represents the aggregate amount of contractual deliverables yet to be recognized as revenue at the end of the reporting period. It is intended to be a statement of overall work under contract that has not yet been performed and does not include contracts for which the customer is not committed. The customer is not considered committed when it is able to terminate for convenience without payment of a substantive penalty. The RPO also includes estimates of variable consideration. RPO estimates are subject to change and are affected by several factors, including terminations, changes in the scope of contracts, periodic revalidations, adjustments for revenue that has not materialized and adjustments for currency.</w:t>
      </w:r>
    </w:p>
    <w:p>
      <w:pPr>
        <w:spacing w:after="0" w:line="189"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At December 31, 2023, the aggregate amount of RPO related to customer contracts that are unsatisfied or partially unsatisfied was $34.5 billion. Approximately 59 percent of the amount is expected to be recognized as revenue in the next two years, approximately 34 percent in the subsequent three years, and the balance thereafter.</w:t>
      </w:r>
    </w:p>
    <w:p>
      <w:pPr>
        <w:spacing w:after="0" w:line="176"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December 31, 2023, revenue was increased by $12 million and $24 million, respectively, and during the three and nine months ended December 31, 2022, revenue was decreased by $3 million and increased by $4 million, respectively, for performance obligations satisfied (or partially satisfied) in previous periods, mainly due to changes in estimates on contracts with cost-to-cost measures of progress.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contract assets and deferred income balances:</w:t>
      </w: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5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1"/>
        </w:trPr>
        <w:tc>
          <w:tcPr>
            <w:tcW w:w="55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Accounts receivable (net of allowances for credit losses of $24 at December</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2023 and $32 at March 31, 2023) *</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(current)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(noncurrent)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55" w:lineRule="exact"/>
        <w:rPr>
          <w:sz w:val="20"/>
          <w:szCs w:val="20"/>
          <w:color w:val="auto"/>
        </w:rPr>
      </w:pPr>
    </w:p>
    <w:p>
      <w:pPr>
        <w:ind w:left="380" w:hanging="330"/>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unbilled receivable balances of $329 million at December 31, 2023 and $384 million at March 31, 2023.</w:t>
      </w:r>
    </w:p>
    <w:p>
      <w:pPr>
        <w:spacing w:after="0" w:line="4" w:lineRule="exact"/>
        <w:rPr>
          <w:sz w:val="20"/>
          <w:szCs w:val="20"/>
          <w:color w:val="auto"/>
        </w:rPr>
      </w:pPr>
    </w:p>
    <w:p>
      <w:pPr>
        <w:ind w:left="380" w:right="119" w:hanging="330"/>
        <w:spacing w:after="0" w:line="239" w:lineRule="auto"/>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assets represent goods or services delivered by the Company, which give the Company the right to consideration that is typically subject to milestone completion or client acceptance and are included within prepaid expenses and other current assets in the Consolidated Balance Sheet.</w:t>
      </w:r>
    </w:p>
    <w:p>
      <w:pPr>
        <w:spacing w:after="0" w:line="181" w:lineRule="exact"/>
        <w:rPr>
          <w:sz w:val="20"/>
          <w:szCs w:val="20"/>
          <w:color w:val="auto"/>
        </w:rPr>
      </w:pPr>
    </w:p>
    <w:p>
      <w:pPr>
        <w:ind w:left="60" w:right="159" w:firstLine="648"/>
        <w:spacing w:after="0" w:line="281" w:lineRule="auto"/>
        <w:rPr>
          <w:sz w:val="20"/>
          <w:szCs w:val="20"/>
          <w:color w:val="auto"/>
        </w:rPr>
      </w:pPr>
      <w:r>
        <w:rPr>
          <w:rFonts w:ascii="Times New Roman" w:cs="Times New Roman" w:eastAsia="Times New Roman" w:hAnsi="Times New Roman"/>
          <w:sz w:val="17"/>
          <w:szCs w:val="17"/>
          <w:color w:val="auto"/>
        </w:rPr>
        <w:t>The amount of revenue recognized during the three and nine months ended December 31, 2023 that was included within the deferred income balance at the beginning of the period was $221 million and $501 million, respectively. The amount of revenue recognized during the three and nine months ended December 31, 2022 that was included within the deferred income balance at the beginning of the period was $249 million and $496 million, respectively.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roll-forwards of the accounts receivable allowance for credit losses for the nine months ended December 31, 2023 and 2022.</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57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5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 (releases)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w:t>
            </w:r>
          </w:p>
        </w:tc>
        <w:tc>
          <w:tcPr>
            <w:tcW w:w="30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driven by currency effects</w:t>
      </w:r>
      <w:r>
        <w:rPr>
          <w:rFonts w:ascii="Times New Roman" w:cs="Times New Roman" w:eastAsia="Times New Roman" w:hAnsi="Times New Roman"/>
          <w:sz w:val="12"/>
          <w:szCs w:val="12"/>
          <w:color w:val="auto"/>
        </w:rPr>
        <w:t>.</w:t>
      </w:r>
    </w:p>
    <w:p>
      <w:pPr>
        <w:spacing w:after="0" w:line="2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contract assets allowance for credit losses was not material in any of the periods presented.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Major Clients</w:t>
      </w:r>
    </w:p>
    <w:p>
      <w:pPr>
        <w:spacing w:after="0" w:line="229"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No single client represented more than 10 percent of the Company’s total revenue during the three and nine months ended December 31, 2023 and 2022. Other than receivables due from our former Parent, no single client represented more than 10 percent of the Company’s total accounts receivable balance as of December 31, 2023 or March 31,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Costs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Costs to acquire and fulfill customer contracts are deferred and amortized over the contract period or expected customer relationship life. The expected customer relationship period is determined based on the average customer relationship period, including expected renewals, for each offering type and ranges from three to six years. For contracts with an estimated amortization period of less than one year, we elected the practical expedient to expense incremental costs immediately.</w:t>
      </w:r>
    </w:p>
    <w:p>
      <w:pPr>
        <w:spacing w:after="0" w:line="183" w:lineRule="exact"/>
        <w:rPr>
          <w:sz w:val="20"/>
          <w:szCs w:val="20"/>
          <w:color w:val="auto"/>
        </w:rPr>
      </w:pPr>
    </w:p>
    <w:p>
      <w:pPr>
        <w:ind w:left="60" w:right="279"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provides amounts of capitalized costs to acquire and fulfill customer contracts at December 31, 2023 and March 31, 2023:</w:t>
      </w:r>
    </w:p>
    <w:tbl>
      <w:tblPr>
        <w:tblLayout w:type="fixed"/>
        <w:tblInd w:w="40" w:type="dxa"/>
        <w:tblCellMar>
          <w:top w:w="0" w:type="dxa"/>
          <w:left w:w="0" w:type="dxa"/>
          <w:bottom w:w="0" w:type="dxa"/>
          <w:right w:w="0" w:type="dxa"/>
        </w:tblCellMar>
      </w:tblPr>
      <w:tr>
        <w:trPr>
          <w:trHeight w:val="149"/>
        </w:trPr>
        <w:tc>
          <w:tcPr>
            <w:tcW w:w="5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315"/>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54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transition costs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software costs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costs to fulfill contracts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Capitalized costs to obtain contracts</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costs *</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279" w:hanging="330"/>
        <w:spacing w:after="0" w:line="261" w:lineRule="auto"/>
        <w:tabs>
          <w:tab w:leader="none" w:pos="3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total deferred costs, $924 million was current and $987 million was noncurrent at December 31, 2023, and $1,070 million was current and $1,166 million was noncurrent at March 31, 2023.</w:t>
      </w:r>
    </w:p>
    <w:p>
      <w:pPr>
        <w:spacing w:after="0" w:line="16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amount of total deferred costs amortized for the three months ended December 31, 2023 was $452 million, composed of $87 million of amortization of deferred transition costs, $227 million of amortization of prepaid software and $138 million of amortization of capitalized contract costs. The amount of total deferred costs amortized for the nine months ended December 31, 2023 was $1,364 million, composed of $259 million of amortization of deferred transition costs, $686 million of amortization of prepaid software and $418 million of amortization of capitalized contract costs.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SEGMENTS</w:t>
      </w:r>
    </w:p>
    <w:p>
      <w:pPr>
        <w:spacing w:after="0" w:line="229"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Our reportable segments correspond to how the chief operating decision maker (“CODM”) reviews performance and allocates resources. Our four reportable segments consist of the following:</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United States: </w:t>
      </w:r>
      <w:r>
        <w:rPr>
          <w:rFonts w:ascii="Times New Roman" w:cs="Times New Roman" w:eastAsia="Times New Roman" w:hAnsi="Times New Roman"/>
          <w:sz w:val="18"/>
          <w:szCs w:val="18"/>
          <w:color w:val="auto"/>
        </w:rPr>
        <w:t>This reportable segment is comprised of Kyndryl’s operations in the United States.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Japan: </w:t>
      </w:r>
      <w:r>
        <w:rPr>
          <w:rFonts w:ascii="Times New Roman" w:cs="Times New Roman" w:eastAsia="Times New Roman" w:hAnsi="Times New Roman"/>
          <w:sz w:val="18"/>
          <w:szCs w:val="18"/>
          <w:color w:val="auto"/>
        </w:rPr>
        <w:t>This reportable segment is comprised of Kyndryl’s operations in Japan.</w:t>
      </w:r>
    </w:p>
    <w:p>
      <w:pPr>
        <w:spacing w:after="0" w:line="225" w:lineRule="exact"/>
        <w:rPr>
          <w:sz w:val="20"/>
          <w:szCs w:val="20"/>
          <w:color w:val="auto"/>
        </w:rPr>
      </w:pPr>
    </w:p>
    <w:p>
      <w:pPr>
        <w:ind w:left="60" w:right="49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Principal Markets: </w:t>
      </w:r>
      <w:r>
        <w:rPr>
          <w:rFonts w:ascii="Times New Roman" w:cs="Times New Roman" w:eastAsia="Times New Roman" w:hAnsi="Times New Roman"/>
          <w:sz w:val="18"/>
          <w:szCs w:val="18"/>
          <w:color w:val="auto"/>
        </w:rPr>
        <w:t>This reportable segment represents the aggregation of our operations in Australia /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Zealand, Canada, France, Germany, India, Italy, Spain / Portugal, and the United Kingdom / Ireland.</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Strategic Markets: </w:t>
      </w:r>
      <w:r>
        <w:rPr>
          <w:rFonts w:ascii="Times New Roman" w:cs="Times New Roman" w:eastAsia="Times New Roman" w:hAnsi="Times New Roman"/>
          <w:sz w:val="18"/>
          <w:szCs w:val="18"/>
          <w:color w:val="auto"/>
        </w:rPr>
        <w:t>This reportable segment is comprised of our operations in all other countries in which we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operate.</w:t>
      </w:r>
    </w:p>
    <w:p>
      <w:pPr>
        <w:spacing w:after="0" w:line="20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measure of segment operating performance used by Kyndryl’s CODM is adjusted EBITDA. Adjusted EBITDA is defined as net income (loss) excluding net interest expense, income taxes, depreciation and amortization (excluding depreciation of right-of-use assets and amortization of capitalized contract costs), charges related to ceasing to use leased and owned fixed assets, charges related to lease terminations, transaction-related costs and benefits, pension expenses other than pension servicing costs and multi-employer plan costs, stock-based compensation expense, workforce rebalancing charges, impairment expense, significant litigation costs, and currency impacts of highly inflationary countries. The use of revenue and adjusted EBITDA aligns with how the CODM assesses performance and allocates resources for the Company’s segments.</w:t>
      </w:r>
    </w:p>
    <w:p>
      <w:pPr>
        <w:spacing w:after="0" w:line="192"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Our geographic markets frequently work together to sell and implement certain contracts. The resulting revenues and costs from these contracts may be apportioned among the participating geographic markets. The economic environment and its effects on the industries served by our geographic markets affect revenues and operating expenses within our geographic markets to differing degrees. Currency fluctuations also tend to affect our geographic markets differently, depending on the geographic concentrations and locations of their businesses.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reflects the results of the Company’s segments: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422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00" w:type="dxa"/>
            <w:vAlign w:val="bottom"/>
          </w:tcPr>
          <w:p>
            <w:pPr>
              <w:spacing w:after="0"/>
              <w:rPr>
                <w:sz w:val="18"/>
                <w:szCs w:val="18"/>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12,202</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20" w:type="dxa"/>
            <w:vAlign w:val="bottom"/>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Segment adjusted EBITDA</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tcPr>
          <w:p>
            <w:pPr>
              <w:spacing w:after="0"/>
              <w:rPr>
                <w:sz w:val="18"/>
                <w:szCs w:val="18"/>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reconciles segment adjusted EBITDA to consolidated pretax income (loss):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4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4220" w:type="dxa"/>
            <w:vAlign w:val="bottom"/>
            <w:gridSpan w:val="3"/>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40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16"/>
        </w:trPr>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8"/>
        </w:trPr>
        <w:tc>
          <w:tcPr>
            <w:tcW w:w="422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Charges related to ceasing to use leased/fixed assets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lease terminations</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Transaction-related (costs) benefits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8"/>
        </w:trPr>
        <w:tc>
          <w:tcPr>
            <w:tcW w:w="422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Depreciation of property, equipment and capitalized</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(639)</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6"/>
        </w:trPr>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(968)</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expense not allocated to the segments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income (loss)</w:t>
            </w: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99" w:hanging="330"/>
        <w:spacing w:after="0" w:line="24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represent pension expenses other than pension servicing costs and multi-employer plan costs, significant litigation costs, currency impacts of highly inflationary countries, and an adjustment to reduce amortization expense for the amount already included in transaction-related (costs) benefits above.</w:t>
      </w: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TAXES</w:t>
      </w:r>
    </w:p>
    <w:p>
      <w:pPr>
        <w:spacing w:after="0" w:line="22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December 31, 2023, the Company’s effective tax rate was 122.6%, compared to 23.2% for the three months ended December 31, 2022. For the nine months ended December 31, 2023, the Company’s effective tax rate was (79.3%), compared to (13.1%) for the nine months ended December 31, 2022. The Company’s negative effective tax rates for the nine months ended December 31, 2023 and 2022 reflect a tax expense on a pretax book loss in those periods. The Company’s positive effective tax rate for the three months ended December 31, 2022 reflects tax benefits on a pretax loss resulting from return-to-provision adjustments recorded in that period.</w:t>
      </w:r>
    </w:p>
    <w:p>
      <w:pPr>
        <w:spacing w:after="0" w:line="18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December 31, 2023 was higher than the Company’s statutory tax rate primarily due to taxes on foreign operations, uncertain tax positions and valuation allowances recorded in certain jurisdictions against deferred tax assets that are not more likely than not to be realized. The Company’s effective tax rate for the nine months ended December 31, 2023 was lower than the Company’s statutory tax rate primarily due to taxes on foreign operations and valuation allowances recorded in certain jurisdictions against deferred tax assets that are not more likely than not to be realized.</w:t>
      </w:r>
    </w:p>
    <w:p>
      <w:pPr>
        <w:spacing w:after="0" w:line="187"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December 31, 2022 differed from the Company’s statutory tax rate primarily due to a benefit recorded during the period resulting from return-to-provision adjustments related to the filing of certain income tax returns. The Company’s effective tax rate for the nine months ended December 31, 2022 was lower than the Company’s statutory tax rate primarily due to taxes on foreign operations and an increase in valuation allowances in certain jurisdictions against deferred tax assets that are not more likely than not to be realized, partially offset by the benefit resulting from return-to-provision adjustments.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NET LOSS PER SHARE</w:t>
      </w:r>
    </w:p>
    <w:p>
      <w:pPr>
        <w:spacing w:after="0" w:line="229" w:lineRule="exact"/>
        <w:rPr>
          <w:sz w:val="20"/>
          <w:szCs w:val="20"/>
          <w:color w:val="auto"/>
        </w:rPr>
      </w:pPr>
    </w:p>
    <w:p>
      <w:pPr>
        <w:ind w:left="60" w:right="159" w:firstLine="648"/>
        <w:spacing w:after="0" w:line="312" w:lineRule="auto"/>
        <w:rPr>
          <w:sz w:val="20"/>
          <w:szCs w:val="20"/>
          <w:color w:val="auto"/>
        </w:rPr>
      </w:pPr>
      <w:r>
        <w:rPr>
          <w:rFonts w:ascii="Times New Roman" w:cs="Times New Roman" w:eastAsia="Times New Roman" w:hAnsi="Times New Roman"/>
          <w:sz w:val="17"/>
          <w:szCs w:val="17"/>
          <w:color w:val="auto"/>
        </w:rPr>
        <w:t>We did not declare any stock dividends in the periods presented. The following table provides the computation of basic and diluted earnings per share of common stock for the three and nine months ended December 31, 2023 and 2022.</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42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4240" w:type="dxa"/>
            <w:vAlign w:val="bottom"/>
            <w:gridSpan w:val="2"/>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12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Net income (loss) on which basic and diluted earnings</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is calculated</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Number of shares on which basic and diluted earnings</w:t>
            </w:r>
          </w:p>
        </w:tc>
        <w:tc>
          <w:tcPr>
            <w:tcW w:w="2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 share is calculated</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December 31, 2023 and 2022, the Company’s basic and diluted weighted-average shares outstanding were the same. The following securities were not included in the computation of diluted earnings (loss) per share because they would have been anti-dilutive:</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80" w:type="dxa"/>
            <w:vAlign w:val="bottom"/>
            <w:gridSpan w:val="2"/>
            <w:vMerge w:val="continue"/>
          </w:tcPr>
          <w:p>
            <w:pPr>
              <w:spacing w:after="0"/>
              <w:rPr>
                <w:sz w:val="14"/>
                <w:szCs w:val="14"/>
                <w:color w:val="auto"/>
              </w:rPr>
            </w:pPr>
          </w:p>
        </w:tc>
        <w:tc>
          <w:tcPr>
            <w:tcW w:w="13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w:t>
            </w:r>
          </w:p>
        </w:tc>
        <w:tc>
          <w:tcPr>
            <w:tcW w:w="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performance-conditioned stock units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market-conditioned stock units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FINANCIAL ASSETS AND LIABILITIES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Company classifies certain assets and liabilities based on the following fair value hierarchy:</w:t>
      </w:r>
    </w:p>
    <w:p>
      <w:pPr>
        <w:spacing w:after="0" w:line="176" w:lineRule="exact"/>
        <w:rPr>
          <w:sz w:val="20"/>
          <w:szCs w:val="20"/>
          <w:color w:val="auto"/>
        </w:rPr>
      </w:pPr>
    </w:p>
    <w:p>
      <w:pPr>
        <w:ind w:left="1040" w:right="239" w:hanging="315"/>
        <w:spacing w:after="0" w:line="283"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1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Quoted prices (unadjusted) in active markets for identical assets or liabilities that can be accessed at the measurement date.</w:t>
      </w:r>
    </w:p>
    <w:p>
      <w:pPr>
        <w:spacing w:after="0" w:line="158" w:lineRule="exact"/>
        <w:rPr>
          <w:rFonts w:ascii="Times New Roman" w:cs="Times New Roman" w:eastAsia="Times New Roman" w:hAnsi="Times New Roman"/>
          <w:sz w:val="18"/>
          <w:szCs w:val="18"/>
          <w:color w:val="auto"/>
        </w:rPr>
      </w:pPr>
    </w:p>
    <w:p>
      <w:pPr>
        <w:ind w:left="1040" w:right="119" w:hanging="315"/>
        <w:spacing w:after="0" w:line="283"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2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Inputs other than quoted prices included within Level 1 that are observable for the asset or liability, either directly or indirectly.</w:t>
      </w:r>
    </w:p>
    <w:p>
      <w:pPr>
        <w:spacing w:after="0" w:line="15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3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Unobservable inputs for the asset or liability.</w:t>
      </w:r>
    </w:p>
    <w:p>
      <w:pPr>
        <w:spacing w:after="0" w:line="226"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The level of an asset or liability within the fair value hierarchy is determined based on the lowest level of any input that is significant to the fair value measurement.</w:t>
      </w:r>
    </w:p>
    <w:p>
      <w:pPr>
        <w:spacing w:after="0" w:line="162"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certain financial instruments, the Company considers certain market valuation adjustments to the “base valuations” using the methodologies described below for several parameters that market participants would consider in determining fair value: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1040" w:right="359" w:hanging="315"/>
        <w:spacing w:after="0" w:line="266"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credit risk adjustments are applied to certain financial instruments, taking into account the actual credit risk of a counterparty as observed in the credit default swap market to determine the true fair value of such an instrument.</w:t>
      </w:r>
    </w:p>
    <w:p>
      <w:pPr>
        <w:spacing w:after="0" w:line="175"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adjustments are applied to reflect the Company’s own credit risk when valuing certain liabilities measured at fair value. The methodology is consistent with that applied in developing counterparty credit risk adjustments, but incorporates the Company’s credit risk as observed in the credit default swap market.</w:t>
      </w:r>
    </w:p>
    <w:p>
      <w:pPr>
        <w:spacing w:after="0" w:line="17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Certain non-financial assets such as property, plant and equipment, operating right-of-use assets, land, goodwill and intangible assets are recorded at fair value or at cost, as appropriate, in the period they are initially recognized, and such balances may be adjusted in subsequent periods if an event occurs or circumstances change that indicate that the asset may be impaired. The impairment models used for non-financial assets depend on the type of asset. The fair value measurements, in such instances, would be classified in Level 3 of the fair value hierarchy.</w:t>
      </w:r>
    </w:p>
    <w:p>
      <w:pPr>
        <w:spacing w:after="0" w:line="183"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perform a qualitative assessment of asset impairments on a periodic basis and recognize an impairment if there are sufficient indicators that the fair value is less than carrying value. There were no impairments of non-financial assets recognized for the three and nine months ended December 31, 2023 and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 and Liabilities Measured at Fair Value</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financial assets and financial liabilities that are measured at fair value on a recurring basis at December 31, 2023 and March 31, 2023:</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3"/>
                <w:szCs w:val="13"/>
                <w:color w:val="auto"/>
              </w:rPr>
            </w:pPr>
          </w:p>
        </w:tc>
        <w:tc>
          <w:tcPr>
            <w:tcW w:w="1900" w:type="dxa"/>
            <w:vAlign w:val="bottom"/>
            <w:gridSpan w:val="6"/>
            <w:vMerge w:val="restart"/>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rPr>
              <w:t>At December 31, 2023</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40" w:type="dxa"/>
            <w:vAlign w:val="bottom"/>
            <w:gridSpan w:val="6"/>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At March 31, 2023</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6"/>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6"/>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60" w:type="dxa"/>
            <w:vAlign w:val="bottom"/>
            <w:gridSpan w:val="2"/>
            <w:vMerge w:val="continue"/>
          </w:tcPr>
          <w:p>
            <w:pPr>
              <w:spacing w:after="0"/>
              <w:rPr>
                <w:sz w:val="12"/>
                <w:szCs w:val="12"/>
                <w:color w:val="auto"/>
              </w:rPr>
            </w:pPr>
          </w:p>
        </w:tc>
        <w:tc>
          <w:tcPr>
            <w:tcW w:w="8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34283D"/>
                <w:w w:val="97"/>
              </w:rPr>
              <w:t>Level</w:t>
            </w:r>
          </w:p>
        </w:tc>
        <w:tc>
          <w:tcPr>
            <w:tcW w:w="12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86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7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278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34283D"/>
              </w:rPr>
              <w:t>Derivatives designated as hedging</w:t>
            </w:r>
          </w:p>
        </w:tc>
        <w:tc>
          <w:tcPr>
            <w:tcW w:w="1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4283D"/>
              </w:rPr>
              <w:t>instruments:</w:t>
            </w: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34283D"/>
              </w:rPr>
              <w:t>Foreign exchange contracts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34283D"/>
                <w:w w:val="88"/>
              </w:rPr>
              <w:t>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29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34283D"/>
              </w:rPr>
              <w:t>Derivatives not designated as hedging</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4283D"/>
              </w:rPr>
              <w:t>instruments:</w:t>
            </w: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34283D"/>
              </w:rPr>
              <w:t>Foreign exchange contracts</w:t>
            </w:r>
          </w:p>
        </w:tc>
        <w:tc>
          <w:tcPr>
            <w:tcW w:w="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34283D"/>
                <w:w w:val="88"/>
              </w:rPr>
              <w:t>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4283D"/>
              </w:rPr>
              <w:t>Total</w:t>
            </w: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gross balances of derivative assets are contained within prepaid expenses and other current assets, and the gross balances of derivative liabilities are contained within other accrued expenses and liabilities in the Consolidated Balance Sheet. The Company may enter into master netting agreements with certain counterparties that allow for netting of exposures. There was no netting of derivative assets against liabilities in the Consolidated Balance Sheet at December 31, 2023 and March 31, 2023. The Company manages counterparty risk by seeking counterparties of high credit quality and by monitoring credit ratings, credit spreads and other relevant public information about its counterparties. The Company does not anticipate nonperformance by any of the counterparties.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 and Liabilities Not Measured at Fair Value</w:t>
      </w:r>
    </w:p>
    <w:p>
      <w:pPr>
        <w:spacing w:after="0" w:line="229" w:lineRule="exact"/>
        <w:rPr>
          <w:sz w:val="20"/>
          <w:szCs w:val="20"/>
          <w:color w:val="auto"/>
        </w:rPr>
      </w:pPr>
    </w:p>
    <w:p>
      <w:pPr>
        <w:jc w:val="both"/>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are financial assets with carrying values that approximate fair value. Accounts payable, other accrued expenses and short-term debt are financial liabilities with carrying values that approximate fair value. If measured at fair value in the consolidated financial statements, these financial assets and liabilities would be classified as Level 3 in the fair value hierarchy, except for short-term debt, which would be classified as Level 2.</w:t>
      </w:r>
    </w:p>
    <w:p>
      <w:pPr>
        <w:spacing w:after="0" w:line="180"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Company also has time deposits that have maturities of 90 days or less, and their carrying values approximate fair value. They are measured for impairment on a recurring basis by comparing their fair value with their amortized cost basis. There were no impairments of financial assets recognized for any of the periods presented.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balances of these time deposits with maturities of 90 days or less contained within cash and cash equivalents in the Consolidated Balance Sheet at December 31, 2023 and March 31, 2023 were $709 million and $814 million, respectively. If measured at fair value in the consolidated financial statements, time deposits with maturities of 90 days or less would be categorized as Level 2 in the fair value hierarchy.</w:t>
      </w:r>
    </w:p>
    <w:p>
      <w:pPr>
        <w:spacing w:after="0" w:line="180" w:lineRule="exact"/>
        <w:rPr>
          <w:sz w:val="20"/>
          <w:szCs w:val="20"/>
          <w:color w:val="auto"/>
        </w:rPr>
      </w:pPr>
    </w:p>
    <w:p>
      <w:pPr>
        <w:ind w:left="60" w:right="299" w:firstLine="648"/>
        <w:spacing w:after="0" w:line="256" w:lineRule="auto"/>
        <w:rPr>
          <w:sz w:val="20"/>
          <w:szCs w:val="20"/>
          <w:color w:val="auto"/>
        </w:rPr>
      </w:pPr>
      <w:r>
        <w:rPr>
          <w:rFonts w:ascii="Times New Roman" w:cs="Times New Roman" w:eastAsia="Times New Roman" w:hAnsi="Times New Roman"/>
          <w:sz w:val="18"/>
          <w:szCs w:val="18"/>
          <w:color w:val="auto"/>
        </w:rPr>
        <w:t>The fair value of our outstanding debt (excluding finance lease obligations) is based on various methodologies, including quoted prices in active markets for identical debt instruments, which is a Level 1 measurement, and calculated fair value using an expected present value technique that uses rates currently available to the Company for debt in active markets with similar terms and remaining maturities, which is a Level 2 measurement. Our outstanding debt (excluding finance lease obligations) had a carrying value of $3.0 billion as of December 31, 2023 and March 31, 2023, and an estimated fair value of $2.6 billion as of December 31, 2023 and $2.5 billion as of March 31, 2023.</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Transfers of Financial Assets</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has entered into agreements with third-party financial institutions to sell certain financial assets (primarily trade receivables) without recourse. The Company has determined these are true sales. The carrying value of the financial asset sold is derecognized, and a net gain or loss on the sale is recognized at the time of the transfer.</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net proceeds from these agreements are reflected as cash provided by operating activities in the Consolidated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Statement of Cash Flows. Gross proceeds from receivables sold to third parties under this program were $846 million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$2.9 billion for the three and nine months ended December 31, 2023, respectively, and $930 million and $2.3 billion for the</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three and nine months ended December 31, 2022, respectively. The fees associated with the transfers of receivables were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$11 million and $39 million for the three and nine months ended December 31, 2023, respectively, and $14 million and $34</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million for the three and nine months ended December 31, 2022, respectively.</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p>
      <w:pPr>
        <w:spacing w:after="0" w:line="229"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The Company has foreign exchange derivative financial instruments designated as cash flow hedges to manage the volatility of cash flows that relate to operating expenses denominated in certain currencies. Changes in fair value of derivatives designated as cash flow hedges are recorded, net of applicable taxes, in other comprehensive income and subsequently reclassified into the same income statement line item as the hedged exposure when the underlying hedged item is recognized in earnings. The cash flows associated with derivatives designated as cash flow hedges are reported in cash flows from operating activities in the Consolidated Statement of Cash Flows.</w:t>
      </w:r>
    </w:p>
    <w:p>
      <w:pPr>
        <w:spacing w:after="0" w:line="187"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At December 31, 2023 and March 31, 2023, the total gross notional amount of foreign exchange contracts designated as cash flow hedges of forecasted foreign currency cost transactions was $281 million and $283 million, respectively. The notional amounts of derivative instruments do not necessarily represent the amounts exchanged by the Company with third parties and are not necessarily a direct measure of the financial exposure. The maximum remaining length of time over which the Company hedged its exposure is approximately one year. At December 31, 2023 and March 31, 2023, the weighted-average remaining maturity of these instruments was approximately 0.5 years.</w:t>
      </w:r>
    </w:p>
    <w:p>
      <w:pPr>
        <w:spacing w:after="0" w:line="18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At December 31, 2023 and March 31, 2023, in connection with cash flow hedges of foreign currency cost transactions, the Company had net deferred gains of $5 million and $1 million (each before taxes), respectively, in accumulated other comprehensive income (“AOCI”). The Company estimates that $5 million (before taxes) of net deferred gains on derivatives in AOCI at December 31, 2023 will be reclassified to net income within the next twelve months, providing an offsetting economic impact against the underlying anticipated transactions.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Company enters into currency forward and swap contracts to hedge exposures related to assets, liabilities and earnings across its subsidiaries. These contracts are not designated as hedging instruments, and therefore changes in fair value of these contracts are reported in earnings in other expense (income) in the Consolidated Income Statement. The gains and losses on these contracts generally offset the gains and losses in the underlying hedged exposures, which are also reported in other expense (income) in the Consolidated Income Statement. Cash flows from derivatives not designated as hedges are reported in cash flows from investing activities in the Consolidated Statement of Cash Flows. The terms of these swap contracts are generally less than one year. At December 31, 2023 and March 31, 2023, the total gross notional amount of derivative instruments in economic hedges of foreign currency exposure was $2.4 billion and $1.5 billion, respectively.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Effect of Derivative Instruments in the Consolidated Income Statement</w:t>
      </w:r>
    </w:p>
    <w:p>
      <w:pPr>
        <w:spacing w:after="0" w:line="229"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effects of derivatives designated as hedging instruments on the Consolidated Income Statement and Other Comprehensive Income are as follows: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Unrealized Gain (Loss)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20" w:type="dxa"/>
            <w:vAlign w:val="bottom"/>
          </w:tcPr>
          <w:p>
            <w:pPr>
              <w:spacing w:after="0"/>
              <w:rPr>
                <w:sz w:val="13"/>
                <w:szCs w:val="13"/>
                <w:color w:val="auto"/>
              </w:rPr>
            </w:pPr>
          </w:p>
        </w:tc>
        <w:tc>
          <w:tcPr>
            <w:tcW w:w="19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Gain (Loss) Reclassified</w:t>
            </w:r>
          </w:p>
        </w:tc>
        <w:tc>
          <w:tcPr>
            <w:tcW w:w="0" w:type="dxa"/>
            <w:vAlign w:val="bottom"/>
          </w:tcPr>
          <w:p>
            <w:pPr>
              <w:spacing w:after="0"/>
              <w:rPr>
                <w:sz w:val="1"/>
                <w:szCs w:val="1"/>
                <w:color w:val="auto"/>
              </w:rPr>
            </w:pPr>
          </w:p>
        </w:tc>
      </w:tr>
      <w:tr>
        <w:trPr>
          <w:trHeight w:val="149"/>
        </w:trPr>
        <w:tc>
          <w:tcPr>
            <w:tcW w:w="2840" w:type="dxa"/>
            <w:vAlign w:val="bottom"/>
            <w:gridSpan w:val="2"/>
            <w:vMerge w:val="continue"/>
          </w:tcPr>
          <w:p>
            <w:pPr>
              <w:spacing w:after="0"/>
              <w:rPr>
                <w:sz w:val="12"/>
                <w:szCs w:val="12"/>
                <w:color w:val="auto"/>
              </w:rPr>
            </w:pPr>
          </w:p>
        </w:tc>
        <w:tc>
          <w:tcPr>
            <w:tcW w:w="186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220" w:type="dxa"/>
            <w:vAlign w:val="bottom"/>
          </w:tcPr>
          <w:p>
            <w:pPr>
              <w:spacing w:after="0"/>
              <w:rPr>
                <w:sz w:val="12"/>
                <w:szCs w:val="12"/>
                <w:color w:val="auto"/>
              </w:rPr>
            </w:pPr>
          </w:p>
        </w:tc>
        <w:tc>
          <w:tcPr>
            <w:tcW w:w="1940" w:type="dxa"/>
            <w:vAlign w:val="bottom"/>
            <w:gridSpan w:val="4"/>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from AOCI to Income</w:t>
            </w:r>
          </w:p>
        </w:tc>
        <w:tc>
          <w:tcPr>
            <w:tcW w:w="0" w:type="dxa"/>
            <w:vAlign w:val="bottom"/>
          </w:tcPr>
          <w:p>
            <w:pPr>
              <w:spacing w:after="0"/>
              <w:rPr>
                <w:sz w:val="1"/>
                <w:szCs w:val="1"/>
                <w:color w:val="auto"/>
              </w:rPr>
            </w:pPr>
          </w:p>
        </w:tc>
      </w:tr>
      <w:tr>
        <w:trPr>
          <w:trHeight w:val="25"/>
        </w:trPr>
        <w:tc>
          <w:tcPr>
            <w:tcW w:w="2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840" w:type="dxa"/>
            <w:vAlign w:val="bottom"/>
            <w:gridSpan w:val="2"/>
            <w:vMerge w:val="continue"/>
          </w:tcPr>
          <w:p>
            <w:pPr>
              <w:spacing w:after="0"/>
              <w:rPr>
                <w:sz w:val="12"/>
                <w:szCs w:val="12"/>
                <w:color w:val="auto"/>
              </w:rPr>
            </w:pPr>
          </w:p>
        </w:tc>
        <w:tc>
          <w:tcPr>
            <w:tcW w:w="70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Unrealized Gain (Loss)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20" w:type="dxa"/>
            <w:vAlign w:val="bottom"/>
          </w:tcPr>
          <w:p>
            <w:pPr>
              <w:spacing w:after="0"/>
              <w:rPr>
                <w:sz w:val="24"/>
                <w:szCs w:val="24"/>
                <w:color w:val="auto"/>
              </w:rPr>
            </w:pPr>
          </w:p>
        </w:tc>
        <w:tc>
          <w:tcPr>
            <w:tcW w:w="1260" w:type="dxa"/>
            <w:vAlign w:val="bottom"/>
            <w:gridSpan w:val="3"/>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40" w:type="dxa"/>
            <w:vAlign w:val="bottom"/>
            <w:gridSpan w:val="2"/>
            <w:vMerge w:val="continue"/>
          </w:tcPr>
          <w:p>
            <w:pPr>
              <w:spacing w:after="0"/>
              <w:rPr>
                <w:sz w:val="12"/>
                <w:szCs w:val="12"/>
                <w:color w:val="auto"/>
              </w:rPr>
            </w:pPr>
          </w:p>
        </w:tc>
        <w:tc>
          <w:tcPr>
            <w:tcW w:w="186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220" w:type="dxa"/>
            <w:vAlign w:val="bottom"/>
          </w:tcPr>
          <w:p>
            <w:pPr>
              <w:spacing w:after="0"/>
              <w:rPr>
                <w:sz w:val="12"/>
                <w:szCs w:val="12"/>
                <w:color w:val="auto"/>
              </w:rPr>
            </w:pPr>
          </w:p>
        </w:tc>
        <w:tc>
          <w:tcPr>
            <w:tcW w:w="1940" w:type="dxa"/>
            <w:vAlign w:val="bottom"/>
            <w:gridSpan w:val="4"/>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AOCI</w:t>
            </w:r>
          </w:p>
        </w:tc>
        <w:tc>
          <w:tcPr>
            <w:tcW w:w="0" w:type="dxa"/>
            <w:vAlign w:val="bottom"/>
          </w:tcPr>
          <w:p>
            <w:pPr>
              <w:spacing w:after="0"/>
              <w:rPr>
                <w:sz w:val="1"/>
                <w:szCs w:val="1"/>
                <w:color w:val="auto"/>
              </w:rPr>
            </w:pPr>
          </w:p>
        </w:tc>
      </w:tr>
      <w:tr>
        <w:trPr>
          <w:trHeight w:val="25"/>
        </w:trPr>
        <w:tc>
          <w:tcPr>
            <w:tcW w:w="2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840" w:type="dxa"/>
            <w:vAlign w:val="bottom"/>
            <w:gridSpan w:val="2"/>
            <w:vMerge w:val="continue"/>
          </w:tcPr>
          <w:p>
            <w:pPr>
              <w:spacing w:after="0"/>
              <w:rPr>
                <w:sz w:val="12"/>
                <w:szCs w:val="12"/>
                <w:color w:val="auto"/>
              </w:rPr>
            </w:pPr>
          </w:p>
        </w:tc>
        <w:tc>
          <w:tcPr>
            <w:tcW w:w="70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December 31, 2023 and 2022, there were no gains or losses excluded from the assessment of hedge effectiveness for cash flow hedges, or associated with an underlying exposure that did not or was not expected to occur, nor are there any anticipated in the normal course of business.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effects of derivatives not designated as hedging instruments on the Consolidated Income Statement are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340" w:type="dxa"/>
            <w:vAlign w:val="bottom"/>
          </w:tcPr>
          <w:p>
            <w:pPr>
              <w:spacing w:after="0"/>
              <w:rPr>
                <w:sz w:val="13"/>
                <w:szCs w:val="13"/>
                <w:color w:val="auto"/>
              </w:rPr>
            </w:pPr>
          </w:p>
        </w:tc>
        <w:tc>
          <w:tcPr>
            <w:tcW w:w="1680" w:type="dxa"/>
            <w:vAlign w:val="bottom"/>
            <w:gridSpan w:val="3"/>
          </w:tcPr>
          <w:p>
            <w:pPr>
              <w:jc w:val="center"/>
              <w:ind w:left="581"/>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gridSpan w:val="2"/>
            <w:vMerge w:val="continue"/>
          </w:tcPr>
          <w:p>
            <w:pPr>
              <w:spacing w:after="0"/>
              <w:rPr>
                <w:sz w:val="12"/>
                <w:szCs w:val="12"/>
                <w:color w:val="auto"/>
              </w:rPr>
            </w:pPr>
          </w:p>
        </w:tc>
        <w:tc>
          <w:tcPr>
            <w:tcW w:w="24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340" w:type="dxa"/>
            <w:vAlign w:val="bottom"/>
          </w:tcPr>
          <w:p>
            <w:pPr>
              <w:spacing w:after="0"/>
              <w:rPr>
                <w:sz w:val="12"/>
                <w:szCs w:val="12"/>
                <w:color w:val="auto"/>
              </w:rPr>
            </w:pPr>
          </w:p>
        </w:tc>
        <w:tc>
          <w:tcPr>
            <w:tcW w:w="2660" w:type="dxa"/>
            <w:vAlign w:val="bottom"/>
            <w:gridSpan w:val="4"/>
          </w:tcPr>
          <w:p>
            <w:pPr>
              <w:jc w:val="center"/>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Recognized on Derivatives</w:t>
            </w:r>
          </w:p>
        </w:tc>
        <w:tc>
          <w:tcPr>
            <w:tcW w:w="0" w:type="dxa"/>
            <w:vAlign w:val="bottom"/>
          </w:tcPr>
          <w:p>
            <w:pPr>
              <w:spacing w:after="0"/>
              <w:rPr>
                <w:sz w:val="1"/>
                <w:szCs w:val="1"/>
                <w:color w:val="auto"/>
              </w:rPr>
            </w:pPr>
          </w:p>
        </w:tc>
      </w:tr>
      <w:tr>
        <w:trPr>
          <w:trHeight w:val="25"/>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4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460" w:type="dxa"/>
            <w:vAlign w:val="bottom"/>
            <w:gridSpan w:val="2"/>
            <w:vMerge w:val="continue"/>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48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3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340" w:type="dxa"/>
            <w:vAlign w:val="bottom"/>
          </w:tcPr>
          <w:p>
            <w:pPr>
              <w:spacing w:after="0"/>
              <w:rPr>
                <w:sz w:val="24"/>
                <w:szCs w:val="24"/>
                <w:color w:val="auto"/>
              </w:rPr>
            </w:pPr>
          </w:p>
        </w:tc>
        <w:tc>
          <w:tcPr>
            <w:tcW w:w="1680" w:type="dxa"/>
            <w:vAlign w:val="bottom"/>
            <w:gridSpan w:val="3"/>
          </w:tcPr>
          <w:p>
            <w:pPr>
              <w:jc w:val="center"/>
              <w:ind w:left="581"/>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60" w:type="dxa"/>
            <w:vAlign w:val="bottom"/>
            <w:gridSpan w:val="2"/>
            <w:vMerge w:val="continue"/>
          </w:tcPr>
          <w:p>
            <w:pPr>
              <w:spacing w:after="0"/>
              <w:rPr>
                <w:sz w:val="12"/>
                <w:szCs w:val="12"/>
                <w:color w:val="auto"/>
              </w:rPr>
            </w:pPr>
          </w:p>
        </w:tc>
        <w:tc>
          <w:tcPr>
            <w:tcW w:w="24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340" w:type="dxa"/>
            <w:vAlign w:val="bottom"/>
          </w:tcPr>
          <w:p>
            <w:pPr>
              <w:spacing w:after="0"/>
              <w:rPr>
                <w:sz w:val="12"/>
                <w:szCs w:val="12"/>
                <w:color w:val="auto"/>
              </w:rPr>
            </w:pPr>
          </w:p>
        </w:tc>
        <w:tc>
          <w:tcPr>
            <w:tcW w:w="2660" w:type="dxa"/>
            <w:vAlign w:val="bottom"/>
            <w:gridSpan w:val="4"/>
          </w:tcPr>
          <w:p>
            <w:pPr>
              <w:jc w:val="center"/>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Recognized on Derivatives</w:t>
            </w:r>
          </w:p>
        </w:tc>
        <w:tc>
          <w:tcPr>
            <w:tcW w:w="0" w:type="dxa"/>
            <w:vAlign w:val="bottom"/>
          </w:tcPr>
          <w:p>
            <w:pPr>
              <w:spacing w:after="0"/>
              <w:rPr>
                <w:sz w:val="1"/>
                <w:szCs w:val="1"/>
                <w:color w:val="auto"/>
              </w:rPr>
            </w:pPr>
          </w:p>
        </w:tc>
      </w:tr>
      <w:tr>
        <w:trPr>
          <w:trHeight w:val="25"/>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24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460" w:type="dxa"/>
            <w:vAlign w:val="bottom"/>
            <w:gridSpan w:val="2"/>
            <w:vMerge w:val="continue"/>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48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3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INTANGIBLE ASSETS INCLUDING GOODWILL</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Company’s intangible asset balances by major asset class.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At December 31, 2023</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At March 31, 2023</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40" w:type="dxa"/>
            <w:vAlign w:val="bottom"/>
          </w:tcPr>
          <w:p>
            <w:pPr>
              <w:spacing w:after="0"/>
              <w:rPr>
                <w:sz w:val="10"/>
                <w:szCs w:val="10"/>
                <w:color w:val="auto"/>
              </w:rPr>
            </w:pPr>
          </w:p>
        </w:tc>
        <w:tc>
          <w:tcPr>
            <w:tcW w:w="9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40" w:type="dxa"/>
            <w:vAlign w:val="bottom"/>
          </w:tcPr>
          <w:p>
            <w:pPr>
              <w:spacing w:after="0"/>
              <w:rPr>
                <w:sz w:val="10"/>
                <w:szCs w:val="10"/>
                <w:color w:val="auto"/>
              </w:rPr>
            </w:pPr>
          </w:p>
        </w:tc>
        <w:tc>
          <w:tcPr>
            <w:tcW w:w="9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40" w:type="dxa"/>
            <w:vAlign w:val="bottom"/>
          </w:tcPr>
          <w:p>
            <w:pPr>
              <w:spacing w:after="0"/>
              <w:rPr>
                <w:sz w:val="10"/>
                <w:szCs w:val="10"/>
                <w:color w:val="auto"/>
              </w:rPr>
            </w:pPr>
          </w:p>
        </w:tc>
        <w:tc>
          <w:tcPr>
            <w:tcW w:w="104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40" w:type="dxa"/>
            <w:vAlign w:val="bottom"/>
          </w:tcPr>
          <w:p>
            <w:pPr>
              <w:spacing w:after="0"/>
              <w:rPr>
                <w:sz w:val="10"/>
                <w:szCs w:val="10"/>
                <w:color w:val="auto"/>
              </w:rPr>
            </w:pPr>
          </w:p>
        </w:tc>
        <w:tc>
          <w:tcPr>
            <w:tcW w:w="9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73"/>
        </w:trPr>
        <w:tc>
          <w:tcPr>
            <w:tcW w:w="2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Completed technology</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tabs>
          <w:tab w:leader="none" w:pos="240" w:val="left"/>
        </w:tabs>
        <w:rPr>
          <w:sz w:val="20"/>
          <w:szCs w:val="20"/>
          <w:color w:val="auto"/>
        </w:rPr>
      </w:pPr>
      <w:r>
        <w:rPr>
          <w:rFonts w:ascii="Times New Roman" w:cs="Times New Roman" w:eastAsia="Times New Roman" w:hAnsi="Times New Roman"/>
          <w:sz w:val="14"/>
          <w:szCs w:val="14"/>
          <w:color w:val="auto"/>
        </w:rPr>
        <w:t>*</w:t>
        <w:tab/>
        <w:t>Amounts include effects from currency translation.</w:t>
      </w:r>
    </w:p>
    <w:p>
      <w:pPr>
        <w:spacing w:after="0" w:line="208"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The net carrying amount of intangible assets increased by $21 million during the nine months ended December 31, 2023, primarily due to additions in capitalized software, partially offset by amortization and foreign currency translation. The aggregate intangible asset amortization expense was $17 million and $44 million for the three and nine months ended December 31, 2023, compared to $11 million and $36 million for the three and nine months ended December 31, 2022, respectively. This included amortization of capitalized software of $9 million and $21 million for the three and for the nine months ended December 31, 2023, which was reported in “Depreciation of property, equipment and capitalized software” on the Consolidated Statement of Cash Flows.</w:t>
      </w:r>
    </w:p>
    <w:p>
      <w:pPr>
        <w:spacing w:after="0" w:line="189"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future amortization expense relating to intangible assets currently recorded in the Consolidated Balance Sheet was estimated to be the following at December 31, 2023:</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3"/>
                <w:szCs w:val="13"/>
                <w:color w:val="auto"/>
              </w:rPr>
            </w:pPr>
          </w:p>
        </w:tc>
        <w:tc>
          <w:tcPr>
            <w:tcW w:w="104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Patents and</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6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March 31:</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126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changes in the goodwill balances by segment for the nine months ended December 31, 2023 were as follows:</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3"/>
                <w:szCs w:val="13"/>
                <w:color w:val="auto"/>
              </w:rPr>
            </w:pPr>
          </w:p>
        </w:tc>
        <w:tc>
          <w:tcPr>
            <w:tcW w:w="17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3"/>
                <w:szCs w:val="13"/>
                <w:color w:val="auto"/>
              </w:rPr>
            </w:pPr>
          </w:p>
        </w:tc>
        <w:tc>
          <w:tcPr>
            <w:tcW w:w="17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Additions and</w:t>
            </w:r>
          </w:p>
        </w:tc>
        <w:tc>
          <w:tcPr>
            <w:tcW w:w="180" w:type="dxa"/>
            <w:vAlign w:val="bottom"/>
          </w:tcPr>
          <w:p>
            <w:pPr>
              <w:spacing w:after="0"/>
              <w:rPr>
                <w:sz w:val="13"/>
                <w:szCs w:val="13"/>
                <w:color w:val="auto"/>
              </w:rPr>
            </w:pPr>
          </w:p>
        </w:tc>
        <w:tc>
          <w:tcPr>
            <w:tcW w:w="148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33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0" w:type="dxa"/>
            <w:vAlign w:val="bottom"/>
          </w:tcPr>
          <w:p>
            <w:pPr>
              <w:spacing w:after="0"/>
              <w:rPr>
                <w:sz w:val="15"/>
                <w:szCs w:val="15"/>
                <w:color w:val="auto"/>
              </w:rPr>
            </w:pPr>
          </w:p>
        </w:tc>
        <w:tc>
          <w:tcPr>
            <w:tcW w:w="17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40" w:type="dxa"/>
            <w:vAlign w:val="bottom"/>
          </w:tcPr>
          <w:p>
            <w:pPr>
              <w:spacing w:after="0"/>
              <w:rPr>
                <w:sz w:val="15"/>
                <w:szCs w:val="15"/>
                <w:color w:val="auto"/>
              </w:rPr>
            </w:pPr>
          </w:p>
        </w:tc>
        <w:tc>
          <w:tcPr>
            <w:tcW w:w="17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5"/>
                <w:szCs w:val="15"/>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9"/>
        </w:trPr>
        <w:tc>
          <w:tcPr>
            <w:tcW w:w="31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Markets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Strategic Markets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9"/>
        </w:trPr>
        <w:tc>
          <w:tcPr>
            <w:tcW w:w="33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tabs>
          <w:tab w:leader="none" w:pos="240" w:val="left"/>
        </w:tabs>
        <w:rPr>
          <w:sz w:val="20"/>
          <w:szCs w:val="20"/>
          <w:color w:val="auto"/>
        </w:rPr>
      </w:pPr>
      <w:r>
        <w:rPr>
          <w:rFonts w:ascii="Times New Roman" w:cs="Times New Roman" w:eastAsia="Times New Roman" w:hAnsi="Times New Roman"/>
          <w:sz w:val="14"/>
          <w:szCs w:val="14"/>
          <w:color w:val="auto"/>
        </w:rPr>
        <w:t>*</w:t>
        <w:tab/>
        <w:t>Primarily driven by foreign currency translation.</w:t>
      </w:r>
    </w:p>
    <w:p>
      <w:pPr>
        <w:spacing w:after="0" w:line="194"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There were no goodwill impairment losses recorded for the nine months ended December 31, 2023 and 2022. Management reviews goodwill for impairment annually and whenever events or changes in circumstances indicate the carrying value of goodwill may not be recoverable by first assessing qualitative factors to determine if it is more likely than not that fair value is less than carrying value.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BORROWINGS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components of our debt:</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3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3"/>
                <w:szCs w:val="13"/>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9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3820" w:type="dxa"/>
            <w:vAlign w:val="bottom"/>
            <w:gridSpan w:val="3"/>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36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floating-rate term loan</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6.58% *</w:t>
            </w: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2024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Commercial loan agreement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2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July 2026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2026</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2.05%</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October 2026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2028</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2.70%</w:t>
            </w:r>
          </w:p>
        </w:tc>
        <w:tc>
          <w:tcPr>
            <w:tcW w:w="2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October 2028</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2031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October 2031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2041</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4.10%</w:t>
            </w:r>
          </w:p>
        </w:tc>
        <w:tc>
          <w:tcPr>
            <w:tcW w:w="2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October 2041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5.38% **</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2024-2028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0"/>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00" w:right="79" w:hanging="250"/>
        <w:spacing w:after="0" w:line="233" w:lineRule="auto"/>
        <w:tabs>
          <w:tab w:leader="none" w:pos="29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Floating rate calculated as of December 31, 2023, using a rate equal to one-month SOFR plus 1.225%. Refer to Note 2 – Accounting Pronouncements for additional information.</w:t>
      </w:r>
    </w:p>
    <w:p>
      <w:pPr>
        <w:ind w:left="60"/>
        <w:spacing w:after="0"/>
        <w:rPr>
          <w:sz w:val="20"/>
          <w:szCs w:val="20"/>
          <w:color w:val="auto"/>
        </w:rPr>
      </w:pPr>
      <w:r>
        <w:rPr>
          <w:rFonts w:ascii="Times New Roman" w:cs="Times New Roman" w:eastAsia="Times New Roman" w:hAnsi="Times New Roman"/>
          <w:sz w:val="14"/>
          <w:szCs w:val="14"/>
          <w:color w:val="auto"/>
        </w:rPr>
        <w:t>**  Represents the weighted-average interest rate.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879" w:firstLine="648"/>
        <w:spacing w:after="0" w:line="282" w:lineRule="auto"/>
        <w:rPr>
          <w:sz w:val="20"/>
          <w:szCs w:val="20"/>
          <w:color w:val="auto"/>
        </w:rPr>
      </w:pPr>
      <w:r>
        <w:rPr>
          <w:rFonts w:ascii="Times New Roman" w:cs="Times New Roman" w:eastAsia="Times New Roman" w:hAnsi="Times New Roman"/>
          <w:sz w:val="18"/>
          <w:szCs w:val="18"/>
          <w:color w:val="auto"/>
        </w:rPr>
        <w:t>Contractual obligations of long-term debt outstanding at December 31, 2023, exclusive of finance lease obligations,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209"/>
        </w:trPr>
        <w:tc>
          <w:tcPr>
            <w:tcW w:w="20" w:type="dxa"/>
            <w:vAlign w:val="bottom"/>
          </w:tcPr>
          <w:p>
            <w:pPr>
              <w:spacing w:after="0"/>
              <w:rPr>
                <w:sz w:val="18"/>
                <w:szCs w:val="18"/>
                <w:color w:val="auto"/>
              </w:rPr>
            </w:pPr>
          </w:p>
        </w:tc>
        <w:tc>
          <w:tcPr>
            <w:tcW w:w="7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March 31: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16"/>
        </w:trPr>
        <w:tc>
          <w:tcPr>
            <w:tcW w:w="20" w:type="dxa"/>
            <w:vAlign w:val="bottom"/>
          </w:tcPr>
          <w:p>
            <w:pPr>
              <w:spacing w:after="0"/>
              <w:rPr>
                <w:sz w:val="18"/>
                <w:szCs w:val="18"/>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0" w:type="dxa"/>
            <w:vAlign w:val="bottom"/>
          </w:tcPr>
          <w:p>
            <w:pPr>
              <w:spacing w:after="0"/>
              <w:rPr>
                <w:sz w:val="18"/>
                <w:szCs w:val="18"/>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0" w:type="dxa"/>
            <w:vAlign w:val="bottom"/>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10"/>
        </w:trPr>
        <w:tc>
          <w:tcPr>
            <w:tcW w:w="79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5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r>
    </w:tbl>
    <w:p>
      <w:pPr>
        <w:spacing w:after="0" w:line="72" w:lineRule="exact"/>
        <w:rPr>
          <w:sz w:val="20"/>
          <w:szCs w:val="20"/>
          <w:color w:val="auto"/>
        </w:rPr>
      </w:pPr>
    </w:p>
    <w:p>
      <w:pPr>
        <w:ind w:left="60"/>
        <w:spacing w:after="0"/>
        <w:tabs>
          <w:tab w:leader="none" w:pos="240" w:val="left"/>
        </w:tabs>
        <w:rPr>
          <w:sz w:val="20"/>
          <w:szCs w:val="20"/>
          <w:color w:val="auto"/>
        </w:rPr>
      </w:pPr>
      <w:r>
        <w:rPr>
          <w:rFonts w:ascii="Times New Roman" w:cs="Times New Roman" w:eastAsia="Times New Roman" w:hAnsi="Times New Roman"/>
          <w:sz w:val="14"/>
          <w:szCs w:val="14"/>
          <w:color w:val="auto"/>
        </w:rPr>
        <w:t>*</w:t>
        <w:tab/>
        <w:t>Contractual obligations approximate scheduled repayments.</w:t>
      </w:r>
    </w:p>
    <w:p>
      <w:pPr>
        <w:spacing w:after="0" w:line="208"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December 31, 2023, the right-of-use assets obtained in exchange for new finance lease liabilities were $42 million and $192 million, respectively. During the three and nine months ended December 31, 2022, the right-of-use assets obtained in exchange for new finance lease liabilities were $21 million and $58 million, respectively.</w:t>
      </w:r>
    </w:p>
    <w:p>
      <w:pPr>
        <w:spacing w:after="0" w:line="180"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there were no borrowings under the Company’s revolving credit agreement. The Company is in compliance with its debt covenants in all periods presented.</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Company guarantees certain loans and financial commitments. The maximum potential future payment under these financial guarantees and the fair value of these guarantees recognized in the Consolidated Balance Sheet at December 31, 2023 and March 31, 2023 were not material. Additionally, the Company has contractual commitments that are noncancellable with certain software, hardware and cloud partners used in the delivery of services to customers. During the three and nine months ended December 31, 2023, contractual commitments decreased due to satisfaction of existing commitments outpacing new additions.</w:t>
      </w:r>
    </w:p>
    <w:p>
      <w:pPr>
        <w:spacing w:after="0" w:line="18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As a company with approximately 80,000 employees and with clients around the world, Kyndryl is subject to, or could become subject to, either as plaintiff or defendant, a variety of contingencies, including claims, demands and suits, investigations, tax matters and proceedings that arise from time to time in the ordinary course of its business. Given the rapidly evolving external landscape of cybersecurity, privacy and data protection laws, regulations and threat actors, the Company or its clients could become subject to actions or proceedings in various jurisdictions. Also, as is typical for companies of Kyndryl’s scope and scale, the Company is subject to, or could become subject to, actions and proceedings in various jurisdictions involving a wide range of labor and employment issues (including matters related to contested employment decisions, country-specific labor and employment laws, and the Company’s benefit plans), as well as actions with respect to contracts, securities, foreign operations, competition law and environmental matters. These actions may be commenced by a number of different parties, including competitors, clients, employees, government and regulatory agencies, stockholders and representatives of the locations in which the Company does business. Some of the actions to which the Company is, or may become, a party may involve particularly complex technical issues, and some actions may raise novel questions under the laws of the various jurisdictions in which these matters arise. Additionally, the Company is, or may be, a party to agreements pursuant to which it may be obligated to indemnify the other party with respect to certain matters.</w:t>
      </w:r>
    </w:p>
    <w:p>
      <w:pPr>
        <w:spacing w:after="0" w:line="196" w:lineRule="exact"/>
        <w:rPr>
          <w:sz w:val="20"/>
          <w:szCs w:val="20"/>
          <w:color w:val="auto"/>
        </w:rPr>
      </w:pPr>
    </w:p>
    <w:p>
      <w:pPr>
        <w:jc w:val="both"/>
        <w:ind w:left="60" w:right="299" w:firstLine="648"/>
        <w:spacing w:after="0" w:line="289" w:lineRule="auto"/>
        <w:rPr>
          <w:sz w:val="20"/>
          <w:szCs w:val="20"/>
          <w:color w:val="auto"/>
        </w:rPr>
      </w:pPr>
      <w:r>
        <w:rPr>
          <w:rFonts w:ascii="Times New Roman" w:cs="Times New Roman" w:eastAsia="Times New Roman" w:hAnsi="Times New Roman"/>
          <w:sz w:val="17"/>
          <w:szCs w:val="17"/>
          <w:color w:val="auto"/>
        </w:rPr>
        <w:t>The Company records a provision with respect to a claim, suit, investigation or proceeding when it is probable that a liability has been incurred and the amount of the loss can be reasonably estimated. In accordance with the relevant accounting guidance, the Company provides disclosures of matters for which the likelihood of material loss is at least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reasonably possible. In addition, the Company may also disclose matters based on its consideration of other matters and qualitative factors.</w:t>
      </w:r>
    </w:p>
    <w:p>
      <w:pPr>
        <w:spacing w:after="0" w:line="16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claims, suits, investigations and proceedings at least quarterly, and decisions are made with respect to recording or adjusting provisions and disclosing reasonably possible losses or range of losses (individually or in the aggregate) to reflect the impact and status of settlement discussions, discovery, procedural and substantive rulings, reviews by counsel and other information pertinent to a particular matter.</w:t>
      </w:r>
    </w:p>
    <w:p>
      <w:pPr>
        <w:spacing w:after="0" w:line="18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consolidated financial statements; and the unique facts and circumstances of the particular matter that may give rise to additional factors. While the Company will continue to defend itself vigorously, it is possible that the Company’s business, financial condition, results of operations or cash flows could be affected in any particular period by the resolution of one or more of these matters.</w:t>
      </w:r>
    </w:p>
    <w:p>
      <w:pPr>
        <w:spacing w:after="0" w:line="19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July 2017, BMC Software, Inc. (“BMC”) filed suit against IBM in the U.S. Court for the Southern District of Texas in a dispute involving various aspects of IBM’s business, including its managed infrastructure business. BMC alleged IBM’s removal of BMC software from one of its client’s sites at the client’s request constituted breach of contract, fraudulent inducement and trade secret misappropriation. In May 2022, the trial court entered a judgment against IBM and awarded BMC $717 million in direct damages and $717 million in punitive damages, plus interest. IBM has appealed the judgment and is seeking a complete reversal on appeal. IBM may seek an indemnity from the Company in connection with this matter. Until there is a final and conclusive judgment in the case after all appeals and proceedings are concluded, until the amount of any applicable insurance is determined, and until a definitive assessment of Kyndryl’s indemnity obligations (if any) occurs, which in the aggregate will likely take several years, the amount of indemnity obligation (if any) that the Company may owe to IBM is indeterminate.</w:t>
      </w:r>
    </w:p>
    <w:p>
      <w:pPr>
        <w:spacing w:after="0" w:line="194"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Separately, certain contractual disputes have arisen between Kyndryl and IBM following the Separation. IBM and Kyndryl have commenced arbitration proceedings related to certain of these matters. The Company anticipates that some of these proceedings may conclude as early as the first half of calendar year 2024, while others are in preliminary stages. Kyndryl intends to vigorously pursue its interests and defenses in these matters, including asserting its own claims in arbitration if necessary.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EQUITY</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reclassifications and taxes related to items of other comprehensive income (loss) for the three and nine months ended December 31, 2023 and 2022:</w:t>
      </w:r>
    </w:p>
    <w:p>
      <w:pPr>
        <w:spacing w:after="0" w:line="6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3"/>
                <w:szCs w:val="13"/>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Net-of-Tax</w:t>
            </w:r>
          </w:p>
        </w:tc>
        <w:tc>
          <w:tcPr>
            <w:tcW w:w="0" w:type="dxa"/>
            <w:vAlign w:val="bottom"/>
          </w:tcPr>
          <w:p>
            <w:pPr>
              <w:spacing w:after="0"/>
              <w:rPr>
                <w:sz w:val="1"/>
                <w:szCs w:val="1"/>
                <w:color w:val="auto"/>
              </w:rPr>
            </w:pPr>
          </w:p>
        </w:tc>
      </w:tr>
      <w:tr>
        <w:trPr>
          <w:trHeight w:val="173"/>
        </w:trPr>
        <w:tc>
          <w:tcPr>
            <w:tcW w:w="41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2023:</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120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2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prior service (credits) costs</w:t>
            </w:r>
          </w:p>
        </w:tc>
        <w:tc>
          <w:tcPr>
            <w:tcW w:w="120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2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2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2022:</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120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2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Retirement-related benefit plans – amortization of net</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w:t>
            </w:r>
          </w:p>
        </w:tc>
        <w:tc>
          <w:tcPr>
            <w:tcW w:w="1200" w:type="dxa"/>
            <w:vAlign w:val="bottom"/>
            <w:gridSpan w:val="2"/>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120015</wp:posOffset>
            </wp:positionV>
            <wp:extent cx="14141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ind w:left="380" w:right="119" w:hanging="330"/>
        <w:spacing w:after="0" w:line="261" w:lineRule="auto"/>
        <w:tabs>
          <w:tab w:leader="none" w:pos="3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AOCI components are included in the computation of net periodic benefit cost. Refer to Note 12 – Retirement-Related Benefits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220" w:type="dxa"/>
            <w:vAlign w:val="bottom"/>
          </w:tcPr>
          <w:p>
            <w:pPr>
              <w:spacing w:after="0"/>
              <w:rPr>
                <w:sz w:val="13"/>
                <w:szCs w:val="13"/>
                <w:color w:val="auto"/>
              </w:rPr>
            </w:pP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Net-of-Tax</w:t>
            </w:r>
          </w:p>
        </w:tc>
        <w:tc>
          <w:tcPr>
            <w:tcW w:w="0" w:type="dxa"/>
            <w:vAlign w:val="bottom"/>
          </w:tcPr>
          <w:p>
            <w:pPr>
              <w:spacing w:after="0"/>
              <w:rPr>
                <w:sz w:val="1"/>
                <w:szCs w:val="1"/>
                <w:color w:val="auto"/>
              </w:rPr>
            </w:pPr>
          </w:p>
        </w:tc>
      </w:tr>
      <w:tr>
        <w:trPr>
          <w:trHeight w:val="173"/>
        </w:trPr>
        <w:tc>
          <w:tcPr>
            <w:tcW w:w="4440" w:type="dxa"/>
            <w:vAlign w:val="bottom"/>
            <w:gridSpan w:val="2"/>
            <w:vMerge w:val="continue"/>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20" w:type="dxa"/>
            <w:vAlign w:val="bottom"/>
          </w:tcPr>
          <w:p>
            <w:pPr>
              <w:spacing w:after="0"/>
              <w:rPr>
                <w:sz w:val="15"/>
                <w:szCs w:val="15"/>
                <w:color w:val="auto"/>
              </w:rPr>
            </w:pP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 December 31, 2023:</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920" w:type="dxa"/>
            <w:vAlign w:val="bottom"/>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920" w:type="dxa"/>
            <w:vAlign w:val="bottom"/>
            <w:tcBorders>
              <w:top w:val="single" w:sz="8" w:color="auto"/>
              <w:bottom w:val="single" w:sz="8" w:color="auto"/>
            </w:tcBorders>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(credits) costs</w:t>
            </w:r>
          </w:p>
        </w:tc>
        <w:tc>
          <w:tcPr>
            <w:tcW w:w="920" w:type="dxa"/>
            <w:vAlign w:val="bottom"/>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9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92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920" w:type="dxa"/>
            <w:vAlign w:val="bottom"/>
            <w:tcBorders>
              <w:bottom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 December 31, 2022:</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(229)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920" w:type="dxa"/>
            <w:vAlign w:val="bottom"/>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920" w:type="dxa"/>
            <w:vAlign w:val="bottom"/>
            <w:tcBorders>
              <w:top w:val="single" w:sz="8" w:color="auto"/>
              <w:bottom w:val="single" w:sz="8" w:color="auto"/>
            </w:tcBorders>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78"/>
        </w:trPr>
        <w:tc>
          <w:tcPr>
            <w:tcW w:w="444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Retirement-related benefit plans – amortization of net</w:t>
            </w: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w:t>
            </w:r>
          </w:p>
        </w:tc>
        <w:tc>
          <w:tcPr>
            <w:tcW w:w="92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920" w:type="dxa"/>
            <w:vAlign w:val="bottom"/>
            <w:tcBorders>
              <w:top w:val="single" w:sz="8" w:color="auto"/>
              <w:bottom w:val="single" w:sz="8" w:color="auto"/>
            </w:tcBorders>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(207)</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137160</wp:posOffset>
            </wp:positionV>
            <wp:extent cx="14141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27" w:lineRule="exact"/>
        <w:rPr>
          <w:sz w:val="20"/>
          <w:szCs w:val="20"/>
          <w:color w:val="auto"/>
        </w:rPr>
      </w:pPr>
    </w:p>
    <w:p>
      <w:pPr>
        <w:ind w:left="380" w:right="119" w:hanging="330"/>
        <w:spacing w:after="0" w:line="261" w:lineRule="auto"/>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AOCI components are included in the computation of net periodic benefit cost. Refer to Note 12 – Retirement-Related Benefits for additional information.</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present the components of accumulated other comprehensive income (loss), net of taxes: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Gain (Losses)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on Cash</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36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0"/>
        </w:trPr>
        <w:tc>
          <w:tcPr>
            <w:tcW w:w="3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2022</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(1,223)</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Gain (Losses)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on Cash</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36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(862)</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2022</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(735)</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(357)</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(963)</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137160</wp:posOffset>
            </wp:positionV>
            <wp:extent cx="14141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27" w:lineRule="exact"/>
        <w:rPr>
          <w:sz w:val="20"/>
          <w:szCs w:val="20"/>
          <w:color w:val="auto"/>
        </w:rPr>
      </w:pPr>
    </w:p>
    <w:p>
      <w:pPr>
        <w:ind w:left="380" w:hanging="330"/>
        <w:spacing w:after="0"/>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translation adjustments are presented gross.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RETIREMENT-RELATED BENEFITS</w:t>
      </w:r>
    </w:p>
    <w:p>
      <w:pPr>
        <w:spacing w:after="0" w:line="202" w:lineRule="exact"/>
        <w:rPr>
          <w:sz w:val="20"/>
          <w:szCs w:val="20"/>
          <w:color w:val="auto"/>
        </w:rPr>
      </w:pPr>
    </w:p>
    <w:p>
      <w:pPr>
        <w:ind w:left="60" w:right="379" w:firstLine="648"/>
        <w:spacing w:after="0" w:line="312" w:lineRule="auto"/>
        <w:rPr>
          <w:sz w:val="20"/>
          <w:szCs w:val="20"/>
          <w:color w:val="auto"/>
        </w:rPr>
      </w:pPr>
      <w:r>
        <w:rPr>
          <w:rFonts w:ascii="Times New Roman" w:cs="Times New Roman" w:eastAsia="Times New Roman" w:hAnsi="Times New Roman"/>
          <w:sz w:val="17"/>
          <w:szCs w:val="17"/>
          <w:color w:val="auto"/>
        </w:rPr>
        <w:t>The following table presents the components of net periodic pension cost for the defined benefit pension plans recognized in the Consolidated Income Statement for the three and nine months ended December 31, 2023 and 2022.</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60" w:type="dxa"/>
            <w:vAlign w:val="bottom"/>
          </w:tcPr>
          <w:p>
            <w:pPr>
              <w:spacing w:after="0"/>
              <w:rPr>
                <w:sz w:val="15"/>
                <w:szCs w:val="15"/>
                <w:color w:val="auto"/>
              </w:rPr>
            </w:pPr>
          </w:p>
        </w:tc>
        <w:tc>
          <w:tcPr>
            <w:tcW w:w="242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354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33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(credits)*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actuarial losses (gains)*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components of net periodic pension cost are included in other expense (income) in the Consolidated Income Statement.</w:t>
      </w:r>
    </w:p>
    <w:p>
      <w:pPr>
        <w:spacing w:after="0" w:line="208"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for the nonpension postretirement benefit plans and multi-employer plans recognized in the Consolidated Income Statement were not material for the periods presented.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TRANSACTIONS WITH FORMER PARENT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 in Beneficial Ownership</w:t>
      </w:r>
    </w:p>
    <w:p>
      <w:pPr>
        <w:spacing w:after="0" w:line="189"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IBM ceased to be a related party of Kyndryl in August 2022 after IBM transferred all of its 19.9% retained interest in Kyndryl common stock to a third-party financial institution through exchange agreements in May and August 2022. Transactions related to former Parent after August 11, 2022 are no longer reported as related-party activities. As a result, there was no related party revenue or cost of services recognized for the three and nine months ended December 31, 2023 and the three months ended December 31,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and Purchases Related to Former Parent</w:t>
      </w:r>
    </w:p>
    <w:p>
      <w:pPr>
        <w:spacing w:after="0" w:line="229" w:lineRule="exact"/>
        <w:rPr>
          <w:sz w:val="20"/>
          <w:szCs w:val="20"/>
          <w:color w:val="auto"/>
        </w:rPr>
      </w:pPr>
    </w:p>
    <w:p>
      <w:pPr>
        <w:jc w:val="both"/>
        <w:ind w:left="60" w:right="319" w:firstLine="648"/>
        <w:spacing w:after="0" w:line="272" w:lineRule="auto"/>
        <w:rPr>
          <w:sz w:val="20"/>
          <w:szCs w:val="20"/>
          <w:color w:val="auto"/>
        </w:rPr>
      </w:pPr>
      <w:r>
        <w:rPr>
          <w:rFonts w:ascii="Times New Roman" w:cs="Times New Roman" w:eastAsia="Times New Roman" w:hAnsi="Times New Roman"/>
          <w:sz w:val="17"/>
          <w:szCs w:val="17"/>
          <w:color w:val="auto"/>
        </w:rPr>
        <w:t>Kyndryl provides various services to IBM, including those related to hosting data centers and servicing IBM’s information technology infrastructure, which are reported as revenue in the Company’s Consolidated Income Statement. Related-party revenue generated from these services was $287 million for the nine months ended December 31, 2022.</w:t>
      </w:r>
    </w:p>
    <w:p>
      <w:pPr>
        <w:spacing w:after="0" w:line="2" w:lineRule="exact"/>
        <w:rPr>
          <w:sz w:val="20"/>
          <w:szCs w:val="20"/>
          <w:color w:val="auto"/>
        </w:rPr>
      </w:pPr>
    </w:p>
    <w:p>
      <w:pPr>
        <w:ind w:left="60" w:right="439"/>
        <w:spacing w:after="0" w:line="290" w:lineRule="auto"/>
        <w:rPr>
          <w:sz w:val="20"/>
          <w:szCs w:val="20"/>
          <w:color w:val="auto"/>
        </w:rPr>
      </w:pPr>
      <w:r>
        <w:rPr>
          <w:rFonts w:ascii="Times New Roman" w:cs="Times New Roman" w:eastAsia="Times New Roman" w:hAnsi="Times New Roman"/>
          <w:sz w:val="17"/>
          <w:szCs w:val="17"/>
          <w:color w:val="auto"/>
        </w:rPr>
        <w:t>During the three months ended December 31, 2023, the Company reached an agreement to collect previously reserved receivables from our former Parent, which resulted in a gain recorded within transaction-related costs (benefits).</w:t>
      </w:r>
    </w:p>
    <w:p>
      <w:pPr>
        <w:spacing w:after="0" w:line="157" w:lineRule="exact"/>
        <w:rPr>
          <w:sz w:val="20"/>
          <w:szCs w:val="20"/>
          <w:color w:val="auto"/>
        </w:rPr>
      </w:pPr>
    </w:p>
    <w:p>
      <w:pPr>
        <w:ind w:left="60" w:right="179" w:firstLine="648"/>
        <w:spacing w:after="0" w:line="281" w:lineRule="auto"/>
        <w:rPr>
          <w:sz w:val="20"/>
          <w:szCs w:val="20"/>
          <w:color w:val="auto"/>
        </w:rPr>
      </w:pPr>
      <w:r>
        <w:rPr>
          <w:rFonts w:ascii="Times New Roman" w:cs="Times New Roman" w:eastAsia="Times New Roman" w:hAnsi="Times New Roman"/>
          <w:sz w:val="17"/>
          <w:szCs w:val="17"/>
          <w:color w:val="auto"/>
        </w:rPr>
        <w:t>Kyndryl utilizes various IBM products and services, recognized as costs of services, in the fulfillment of services contracts. Total cost of services recognized from these related-party transactions in the Company’s Consolidated Income Statement was $1,382 million for the nine months ended December 31, 2022. The related-party cost for this prior-year period includes outsourcing goods and services provided by the former Parent to Kyndryl’s customers post-Separation.</w:t>
      </w:r>
    </w:p>
    <w:p>
      <w:pPr>
        <w:spacing w:after="0" w:line="164"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Capital expenditures for purchases of IBM hardware were reflected as related-party payments for property and equipment within the investing section of the Company’s Consolidated Statement of Cash Flows in the amount of $89 million for the nine months ended December 31, 2022. Additionally, as part of the Separation, IBM committed to provide Kyndryl, at no cost, up to $265 million of upgraded hardware ordered over a two-year period. For the three and nine months ended December 31, 2023, $71 million and $181 million, respectively, of the upgraded hardware committed by IBM was delivered to Kyndryl. For the three and nine months ended December 31, 2022, $21 million and $41 million, respectively, of the upgraded hardware committed by IBM was delivered to Kyndryl. From the inception of the program to date, $265 million of upgraded hardware committed by IBM has been delivered to Kyndryl. The amounts committed by IBM were initially reflected within other assets (noncurrent) and subsequently reclassified to property and equipment within the Consolidated Balance Sheet. The expected average useful life of the upgraded hardware is approximately five years, and the Company intends to recognize total depreciation approximating $265 million over the useful life, consistent with our depreciation policy.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WORKFORCE REBALANCING AND SITE-RATIONALIZATION CHARGES</w:t>
      </w:r>
    </w:p>
    <w:p>
      <w:pPr>
        <w:spacing w:after="0" w:line="189" w:lineRule="exact"/>
        <w:rPr>
          <w:sz w:val="20"/>
          <w:szCs w:val="20"/>
          <w:color w:val="auto"/>
        </w:rPr>
      </w:pPr>
    </w:p>
    <w:p>
      <w:pPr>
        <w:ind w:left="60" w:right="139" w:firstLine="648"/>
        <w:spacing w:after="0" w:line="272" w:lineRule="auto"/>
        <w:rPr>
          <w:sz w:val="20"/>
          <w:szCs w:val="20"/>
          <w:color w:val="auto"/>
        </w:rPr>
      </w:pPr>
      <w:r>
        <w:rPr>
          <w:rFonts w:ascii="Times New Roman" w:cs="Times New Roman" w:eastAsia="Times New Roman" w:hAnsi="Times New Roman"/>
          <w:sz w:val="17"/>
          <w:szCs w:val="17"/>
          <w:color w:val="auto"/>
        </w:rPr>
        <w:t>During the fiscal year ended March 31, 2023, the Company initiated actions to reduce our overall cost structure and increase our operating efficiency. These actions are anticipated to occur over several quarters and result in workforce rebalancing charges, charges related to ceasing to use leased and owned fixed assets, and lease termination charges (collectively, the “charges”). We expect the total charges to be incurred for this program to be approximately $300 million, consisting of approximately 65% for workforce rebalancing charges and approximately 35% for charges related to ceasing to use leased and owned fixed assets and lease termination charges. The Company expects that these actions will reduce future payroll costs, rent expenses and depreciation of property and equipment. We will continue to seek opportunities to increase our operational efficiency and reduce costs, which may result in additional charges in future periods.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segment breakout of charges incurred during the three and nine months ended December 31, 2023 and during the full length of the program.</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0" w:type="dxa"/>
            <w:vAlign w:val="bottom"/>
          </w:tcPr>
          <w:p>
            <w:pPr>
              <w:spacing w:after="0"/>
              <w:rPr>
                <w:sz w:val="1"/>
                <w:szCs w:val="1"/>
                <w:color w:val="auto"/>
              </w:rPr>
            </w:pPr>
          </w:p>
        </w:tc>
      </w:tr>
      <w:tr>
        <w:trPr>
          <w:trHeight w:val="173"/>
        </w:trPr>
        <w:tc>
          <w:tcPr>
            <w:tcW w:w="4440" w:type="dxa"/>
            <w:vAlign w:val="bottom"/>
            <w:gridSpan w:val="2"/>
            <w:vMerge w:val="continue"/>
          </w:tcPr>
          <w:p>
            <w:pPr>
              <w:spacing w:after="0"/>
              <w:rPr>
                <w:sz w:val="15"/>
                <w:szCs w:val="15"/>
                <w:color w:val="auto"/>
              </w:rPr>
            </w:pP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5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5"/>
                <w:szCs w:val="15"/>
                <w:color w:val="auto"/>
              </w:rPr>
            </w:pPr>
          </w:p>
        </w:tc>
        <w:tc>
          <w:tcPr>
            <w:tcW w:w="11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 Date</w:t>
            </w:r>
          </w:p>
        </w:tc>
        <w:tc>
          <w:tcPr>
            <w:tcW w:w="0" w:type="dxa"/>
            <w:vAlign w:val="bottom"/>
          </w:tcPr>
          <w:p>
            <w:pPr>
              <w:spacing w:after="0"/>
              <w:rPr>
                <w:sz w:val="1"/>
                <w:szCs w:val="1"/>
                <w:color w:val="auto"/>
              </w:rPr>
            </w:pPr>
          </w:p>
        </w:tc>
      </w:tr>
      <w:tr>
        <w:trPr>
          <w:trHeight w:val="210"/>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5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Markets</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Strategic Markets</w:t>
            </w:r>
          </w:p>
        </w:tc>
        <w:tc>
          <w:tcPr>
            <w:tcW w:w="5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charges not allocated to the segments</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charges</w:t>
            </w:r>
          </w:p>
        </w:tc>
        <w:tc>
          <w:tcPr>
            <w:tcW w:w="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classification of workforce rebalancing and site-rationalization activities in the Consolidated Income Statement during the three and nine months ended December 31, 2023 and during the full length of the program. Charges in the three and nine months ended December 31, 2022 were immaterial.</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0" w:type="dxa"/>
            <w:vAlign w:val="bottom"/>
          </w:tcPr>
          <w:p>
            <w:pPr>
              <w:spacing w:after="0"/>
              <w:rPr>
                <w:sz w:val="1"/>
                <w:szCs w:val="1"/>
                <w:color w:val="auto"/>
              </w:rPr>
            </w:pPr>
          </w:p>
        </w:tc>
      </w:tr>
      <w:tr>
        <w:trPr>
          <w:trHeight w:val="173"/>
        </w:trPr>
        <w:tc>
          <w:tcPr>
            <w:tcW w:w="4440" w:type="dxa"/>
            <w:vAlign w:val="bottom"/>
            <w:gridSpan w:val="2"/>
            <w:vMerge w:val="continue"/>
          </w:tcPr>
          <w:p>
            <w:pPr>
              <w:spacing w:after="0"/>
              <w:rPr>
                <w:sz w:val="15"/>
                <w:szCs w:val="15"/>
                <w:color w:val="auto"/>
              </w:rPr>
            </w:pP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5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5"/>
                <w:szCs w:val="15"/>
                <w:color w:val="auto"/>
              </w:rPr>
            </w:pPr>
          </w:p>
        </w:tc>
        <w:tc>
          <w:tcPr>
            <w:tcW w:w="11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to Date</w:t>
            </w:r>
          </w:p>
        </w:tc>
        <w:tc>
          <w:tcPr>
            <w:tcW w:w="0" w:type="dxa"/>
            <w:vAlign w:val="bottom"/>
          </w:tcPr>
          <w:p>
            <w:pPr>
              <w:spacing w:after="0"/>
              <w:rPr>
                <w:sz w:val="1"/>
                <w:szCs w:val="1"/>
                <w:color w:val="auto"/>
              </w:rPr>
            </w:pPr>
          </w:p>
        </w:tc>
      </w:tr>
      <w:tr>
        <w:trPr>
          <w:trHeight w:val="209"/>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5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9"/>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charges</w:t>
            </w: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and changes in our workforce rebalancing and site-rationalization charges liabilities during the nine months ended December 31, 2023.</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1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Related to</w:t>
            </w:r>
          </w:p>
        </w:tc>
        <w:tc>
          <w:tcPr>
            <w:tcW w:w="12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Related to</w:t>
            </w:r>
          </w:p>
        </w:tc>
        <w:tc>
          <w:tcPr>
            <w:tcW w:w="1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Related to</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Rebalancing</w:t>
            </w:r>
          </w:p>
        </w:tc>
        <w:tc>
          <w:tcPr>
            <w:tcW w:w="1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Ceasing to Use</w:t>
            </w:r>
          </w:p>
        </w:tc>
        <w:tc>
          <w:tcPr>
            <w:tcW w:w="12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1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Ceasing to Use</w:t>
            </w:r>
          </w:p>
        </w:tc>
        <w:tc>
          <w:tcPr>
            <w:tcW w:w="240" w:type="dxa"/>
            <w:vAlign w:val="bottom"/>
          </w:tcPr>
          <w:p>
            <w:pPr>
              <w:spacing w:after="0"/>
              <w:rPr>
                <w:sz w:val="12"/>
                <w:szCs w:val="12"/>
                <w:color w:val="auto"/>
              </w:rPr>
            </w:pPr>
          </w:p>
        </w:tc>
        <w:tc>
          <w:tcPr>
            <w:tcW w:w="88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5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Leased Assets</w:t>
            </w:r>
          </w:p>
        </w:tc>
        <w:tc>
          <w:tcPr>
            <w:tcW w:w="12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Terminations</w:t>
            </w:r>
          </w:p>
        </w:tc>
        <w:tc>
          <w:tcPr>
            <w:tcW w:w="1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Fixed Assets</w:t>
            </w: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3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Charges / (benefits)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2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99" w:hanging="330"/>
        <w:spacing w:after="0" w:line="236" w:lineRule="auto"/>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historical workforce rebalancing liabilities of $42 million as of March 31, 2023 and $29 million as of December 31, 2023 as well as $1 million of non-cash adjustments and $11 million cash paid for these historical workforce rebalancing liabilities for the nine months ended December 31, 2023 that were inherited from the former Parent. Workforce rebalancing liabilities are recorded within Other Liabilities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5" w:lineRule="exact"/>
        <w:rPr>
          <w:sz w:val="20"/>
          <w:szCs w:val="20"/>
          <w:color w:val="auto"/>
        </w:rPr>
      </w:pPr>
    </w:p>
    <w:p>
      <w:pPr>
        <w:jc w:val="center"/>
        <w:ind w:left="40" w:right="59"/>
        <w:spacing w:after="0" w:line="268"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FOR THE THREE AND NINE MONTHS ENDED DECEMBER 31, 2023</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1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3,936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2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12,202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12,771</w:t>
            </w:r>
          </w:p>
        </w:tc>
        <w:tc>
          <w:tcPr>
            <w:tcW w:w="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Revenue growth (GAAP)</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3220" w:type="dxa"/>
            <w:vAlign w:val="bottom"/>
            <w:gridSpan w:val="3"/>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Revenue growth in constant currency</w:t>
            </w:r>
            <w:r>
              <w:rPr>
                <w:rFonts w:ascii="Times New Roman" w:cs="Times New Roman" w:eastAsia="Times New Roman" w:hAnsi="Times New Roman"/>
                <w:sz w:val="26"/>
                <w:szCs w:val="26"/>
                <w:color w:val="auto"/>
                <w:vertAlign w:val="superscript"/>
              </w:rPr>
              <w:t>(1)</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3"/>
        </w:trPr>
        <w:tc>
          <w:tcPr>
            <w:tcW w:w="3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5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21"/>
                <w:szCs w:val="21"/>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58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1,801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80" w:right="99" w:hanging="330"/>
        <w:spacing w:after="0" w:line="261" w:lineRule="auto"/>
        <w:tabs>
          <w:tab w:leader="none" w:pos="359"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growth in constant currency and adjusted EBITDA are non-GAAP financial metrics. For definitions of these metrics and a reconciliation of adjusted EBITDA to the most directly comparable financial measure calculated and presented in accordance with U.S. GAAP, see “Segment Results” below.</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3"/>
                <w:szCs w:val="13"/>
                <w:color w:val="auto"/>
              </w:rPr>
            </w:pPr>
          </w:p>
        </w:tc>
        <w:tc>
          <w:tcPr>
            <w:tcW w:w="13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4540" w:type="dxa"/>
            <w:vAlign w:val="bottom"/>
            <w:vMerge w:val="continue"/>
          </w:tcPr>
          <w:p>
            <w:pPr>
              <w:spacing w:after="0"/>
              <w:rPr>
                <w:sz w:val="15"/>
                <w:szCs w:val="15"/>
                <w:color w:val="auto"/>
              </w:rPr>
            </w:pPr>
          </w:p>
        </w:tc>
        <w:tc>
          <w:tcPr>
            <w:tcW w:w="1600" w:type="dxa"/>
            <w:vAlign w:val="bottom"/>
            <w:gridSpan w:val="2"/>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22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10,969</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11,464</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Organization of Information</w:t>
      </w:r>
    </w:p>
    <w:p>
      <w:pPr>
        <w:spacing w:after="0" w:line="229" w:lineRule="exact"/>
        <w:rPr>
          <w:sz w:val="20"/>
          <w:szCs w:val="20"/>
          <w:color w:val="auto"/>
        </w:rPr>
      </w:pPr>
    </w:p>
    <w:p>
      <w:pPr>
        <w:ind w:left="60" w:right="219" w:firstLine="648"/>
        <w:spacing w:after="0" w:line="281" w:lineRule="auto"/>
        <w:rPr>
          <w:sz w:val="20"/>
          <w:szCs w:val="20"/>
          <w:color w:val="auto"/>
        </w:rPr>
      </w:pPr>
      <w:r>
        <w:rPr>
          <w:rFonts w:ascii="Times New Roman" w:cs="Times New Roman" w:eastAsia="Times New Roman" w:hAnsi="Times New Roman"/>
          <w:sz w:val="17"/>
          <w:szCs w:val="17"/>
          <w:color w:val="auto"/>
        </w:rPr>
        <w:t>Kyndryl Holdings, Inc. was formed as a wholly-owned subsidiary of IBM in September 2021 to hold the operations of the infrastructure services unit of IBM’s Global Technology Services segment. On November 3, 2021, Kyndryl separated from IBM through a spin-off that was tax-free for U.S. federal tax purposes. Following the Separation, Kyndryl became an independent, publicly-traded company and the world’s leading IT infrastructure services provider.</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Performance Summary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Macro Dynamics</w:t>
      </w:r>
    </w:p>
    <w:p>
      <w:pPr>
        <w:spacing w:after="0" w:line="22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In fiscal year 2024, we have seen continuing demand for information technology services, despite concerns about economic growth, increased geopolitical tensions, inflationary pressures and government efforts to stem inflation. Although government efforts to stem inflation are expected to suppress economic growth, most economists, including the International Monetary Fund, continue to expect positive global macroeconomic growth in calendar year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Performance</w:t>
      </w:r>
    </w:p>
    <w:p>
      <w:pPr>
        <w:spacing w:after="0" w:line="229" w:lineRule="exact"/>
        <w:rPr>
          <w:sz w:val="20"/>
          <w:szCs w:val="20"/>
          <w:color w:val="auto"/>
        </w:rPr>
      </w:pPr>
    </w:p>
    <w:p>
      <w:pPr>
        <w:ind w:left="60" w:right="59" w:firstLine="648"/>
        <w:spacing w:after="0" w:line="273" w:lineRule="auto"/>
        <w:rPr>
          <w:sz w:val="20"/>
          <w:szCs w:val="20"/>
          <w:color w:val="auto"/>
        </w:rPr>
      </w:pPr>
      <w:r>
        <w:rPr>
          <w:rFonts w:ascii="Times New Roman" w:cs="Times New Roman" w:eastAsia="Times New Roman" w:hAnsi="Times New Roman"/>
          <w:sz w:val="17"/>
          <w:szCs w:val="17"/>
          <w:color w:val="auto"/>
        </w:rPr>
        <w:t>For the three months ended December 31, 2023, we reported $3.9 billion in revenue, a decline of 9 percent compared to the three months ended December 31, 2022. The revenue decline was largely attributable to actions the Company has taken to reduce unprofitable and low-margin components of its customer relationships. United States revenue declined 18 percent, Japan revenue declined 4 percent, Principal Markets revenue declined 2 percent and Strategic Markets revenue decreased 9 percent, compared to the three months ended December 31, 2022. Net loss of $12 million improved by $94 million versus the prior-year period driven by progress on our key initiatives to drive operating efficiencies, increased margins and the impact of an agreement to collect previously reserved receivables from our former Parent.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59" w:firstLine="648"/>
        <w:spacing w:after="0" w:line="273" w:lineRule="auto"/>
        <w:rPr>
          <w:sz w:val="20"/>
          <w:szCs w:val="20"/>
          <w:color w:val="auto"/>
        </w:rPr>
      </w:pPr>
      <w:r>
        <w:rPr>
          <w:rFonts w:ascii="Times New Roman" w:cs="Times New Roman" w:eastAsia="Times New Roman" w:hAnsi="Times New Roman"/>
          <w:sz w:val="17"/>
          <w:szCs w:val="17"/>
          <w:color w:val="auto"/>
        </w:rPr>
        <w:t>For the nine months ended December 31, 2023, we reported $12.2 billion in revenue, a decline of 4 percent compared to the nine months ended December 31, 2022. The revenue decline was largely attributable to actions the Company has taken to reduce unprofitable and low-margin components of its customer relationships. United States revenue declined 8 percent, Japan revenue declined 5 percent, Principal Markets revenue declined 1 percent and Strategic Markets revenue decreased 5 percent, compared to the nine months ended December 31, 2022. Net loss of $295 million improved by $342 million versus the prior-year period driven by progress on our key initiatives to drive operating efficiencies, increased margins and the impact of an agreement to collect previously reserved receivables from our former Parent.</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29" w:lineRule="exact"/>
        <w:rPr>
          <w:sz w:val="20"/>
          <w:szCs w:val="20"/>
          <w:color w:val="auto"/>
        </w:rPr>
      </w:pPr>
    </w:p>
    <w:p>
      <w:pPr>
        <w:jc w:val="both"/>
        <w:ind w:left="60" w:right="57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our reportable segments’ revenue and adjusted EBITDA for the three and nine months ended December 31, 2023 and 2022. Segment revenue and revenue growth in constant currency exclude any transactions between the segments.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2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Year-over-</w:t>
            </w:r>
          </w:p>
        </w:tc>
        <w:tc>
          <w:tcPr>
            <w:tcW w:w="242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Year-over-Year</w:t>
            </w:r>
          </w:p>
        </w:tc>
        <w:tc>
          <w:tcPr>
            <w:tcW w:w="0" w:type="dxa"/>
            <w:vAlign w:val="bottom"/>
          </w:tcPr>
          <w:p>
            <w:pPr>
              <w:spacing w:after="0"/>
              <w:rPr>
                <w:sz w:val="1"/>
                <w:szCs w:val="1"/>
                <w:color w:val="auto"/>
              </w:rPr>
            </w:pPr>
          </w:p>
        </w:tc>
      </w:tr>
      <w:tr>
        <w:trPr>
          <w:trHeight w:val="173"/>
        </w:trPr>
        <w:tc>
          <w:tcPr>
            <w:tcW w:w="2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20" w:type="dxa"/>
            <w:vAlign w:val="bottom"/>
            <w:gridSpan w:val="6"/>
            <w:vMerge w:val="continue"/>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Year Change</w:t>
            </w:r>
          </w:p>
        </w:tc>
        <w:tc>
          <w:tcPr>
            <w:tcW w:w="2420" w:type="dxa"/>
            <w:vAlign w:val="bottom"/>
            <w:gridSpan w:val="6"/>
            <w:vMerge w:val="continue"/>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4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 vs. 2022</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209"/>
        </w:trPr>
        <w:tc>
          <w:tcPr>
            <w:tcW w:w="1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1,032</w:t>
            </w: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1,265</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3,305</w:t>
            </w:r>
          </w:p>
        </w:tc>
        <w:tc>
          <w:tcPr>
            <w:tcW w:w="1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3,581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606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1,761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1,855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200" w:type="dxa"/>
            <w:vAlign w:val="bottom"/>
          </w:tcPr>
          <w:p>
            <w:pPr>
              <w:spacing w:after="0"/>
              <w:rPr>
                <w:sz w:val="18"/>
                <w:szCs w:val="18"/>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1,446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1,472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4,395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4,460</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877</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961</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2,741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2,874</w:t>
            </w:r>
          </w:p>
        </w:tc>
        <w:tc>
          <w:tcPr>
            <w:tcW w:w="1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9"/>
        </w:trPr>
        <w:tc>
          <w:tcPr>
            <w:tcW w:w="2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3,936</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4,303</w:t>
            </w:r>
          </w:p>
        </w:tc>
        <w:tc>
          <w:tcPr>
            <w:tcW w:w="16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12,202</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12,771</w:t>
            </w:r>
          </w:p>
        </w:tc>
        <w:tc>
          <w:tcPr>
            <w:tcW w:w="14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39"/>
        </w:trPr>
        <w:tc>
          <w:tcPr>
            <w:tcW w:w="2040" w:type="dxa"/>
            <w:vAlign w:val="bottom"/>
            <w:gridSpan w:val="2"/>
            <w:shd w:val="clear" w:color="auto" w:fill="CCEEFF"/>
          </w:tcPr>
          <w:p>
            <w:pPr>
              <w:ind w:left="220"/>
              <w:spacing w:after="0" w:line="139" w:lineRule="exact"/>
              <w:rPr>
                <w:sz w:val="20"/>
                <w:szCs w:val="20"/>
                <w:color w:val="auto"/>
              </w:rPr>
            </w:pPr>
            <w:r>
              <w:rPr>
                <w:rFonts w:ascii="Times New Roman" w:cs="Times New Roman" w:eastAsia="Times New Roman" w:hAnsi="Times New Roman"/>
                <w:sz w:val="16"/>
                <w:szCs w:val="16"/>
                <w:b w:val="1"/>
                <w:bCs w:val="1"/>
                <w:color w:val="auto"/>
              </w:rPr>
              <w:t>Revenue growth in</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40" w:type="dxa"/>
            <w:vAlign w:val="bottom"/>
            <w:gridSpan w:val="2"/>
            <w:shd w:val="clear" w:color="auto" w:fill="CCEEFF"/>
          </w:tcPr>
          <w:p>
            <w:pPr>
              <w:ind w:left="220"/>
              <w:spacing w:after="0" w:line="246" w:lineRule="exact"/>
              <w:rPr>
                <w:sz w:val="20"/>
                <w:szCs w:val="20"/>
                <w:color w:val="auto"/>
              </w:rPr>
            </w:pPr>
            <w:r>
              <w:rPr>
                <w:rFonts w:ascii="Times New Roman" w:cs="Times New Roman" w:eastAsia="Times New Roman" w:hAnsi="Times New Roman"/>
                <w:sz w:val="18"/>
                <w:szCs w:val="18"/>
                <w:b w:val="1"/>
                <w:bCs w:val="1"/>
                <w:color w:val="auto"/>
              </w:rPr>
              <w:t>constant currency</w:t>
            </w:r>
            <w:r>
              <w:rPr>
                <w:rFonts w:ascii="Times New Roman" w:cs="Times New Roman" w:eastAsia="Times New Roman" w:hAnsi="Times New Roman"/>
                <w:sz w:val="26"/>
                <w:szCs w:val="26"/>
                <w:b w:val="1"/>
                <w:bCs w:val="1"/>
                <w:color w:val="auto"/>
                <w:vertAlign w:val="superscript"/>
              </w:rPr>
              <w:t>(1)</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6"/>
                <w:szCs w:val="26"/>
                <w:b w:val="1"/>
                <w:bCs w:val="1"/>
                <w:color w:val="auto"/>
                <w:vertAlign w:val="superscript"/>
              </w:rPr>
              <w:t>(1)</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607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00" w:type="dxa"/>
            <w:vAlign w:val="bottom"/>
          </w:tcPr>
          <w:p>
            <w:pPr>
              <w:spacing w:after="0"/>
              <w:rPr>
                <w:sz w:val="18"/>
                <w:szCs w:val="18"/>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560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16"/>
        </w:trPr>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200" w:type="dxa"/>
            <w:vAlign w:val="bottom"/>
          </w:tcPr>
          <w:p>
            <w:pPr>
              <w:spacing w:after="0"/>
              <w:rPr>
                <w:sz w:val="18"/>
                <w:szCs w:val="18"/>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Corporate and other</w:t>
            </w:r>
            <w:r>
              <w:rPr>
                <w:rFonts w:ascii="Times New Roman" w:cs="Times New Roman" w:eastAsia="Times New Roman" w:hAnsi="Times New Roman"/>
                <w:sz w:val="25"/>
                <w:szCs w:val="25"/>
                <w:color w:val="auto"/>
                <w:vertAlign w:val="superscript"/>
              </w:rPr>
              <w:t>(2)</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66"/>
        </w:trPr>
        <w:tc>
          <w:tcPr>
            <w:tcW w:w="2040" w:type="dxa"/>
            <w:vAlign w:val="bottom"/>
            <w:gridSpan w:val="2"/>
          </w:tcPr>
          <w:p>
            <w:pPr>
              <w:ind w:left="220"/>
              <w:spacing w:after="0" w:line="166" w:lineRule="exact"/>
              <w:rPr>
                <w:sz w:val="20"/>
                <w:szCs w:val="20"/>
                <w:color w:val="auto"/>
              </w:rPr>
            </w:pPr>
            <w:r>
              <w:rPr>
                <w:rFonts w:ascii="Times New Roman" w:cs="Times New Roman" w:eastAsia="Times New Roman" w:hAnsi="Times New Roman"/>
                <w:sz w:val="18"/>
                <w:szCs w:val="18"/>
                <w:b w:val="1"/>
                <w:bCs w:val="1"/>
                <w:color w:val="auto"/>
              </w:rPr>
              <w:t>Total adjusted</w:t>
            </w:r>
          </w:p>
        </w:tc>
        <w:tc>
          <w:tcPr>
            <w:tcW w:w="20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tcPr>
          <w:p>
            <w:pPr>
              <w:spacing w:after="0"/>
              <w:rPr>
                <w:sz w:val="14"/>
                <w:szCs w:val="14"/>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580</w:t>
            </w:r>
          </w:p>
        </w:tc>
        <w:tc>
          <w:tcPr>
            <w:tcW w:w="160" w:type="dxa"/>
            <w:vAlign w:val="bottom"/>
          </w:tcPr>
          <w:p>
            <w:pPr>
              <w:spacing w:after="0"/>
              <w:rPr>
                <w:sz w:val="14"/>
                <w:szCs w:val="14"/>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tcPr>
          <w:p>
            <w:pPr>
              <w:spacing w:after="0"/>
              <w:rPr>
                <w:sz w:val="14"/>
                <w:szCs w:val="14"/>
                <w:color w:val="auto"/>
              </w:rPr>
            </w:pPr>
          </w:p>
        </w:tc>
        <w:tc>
          <w:tcPr>
            <w:tcW w:w="180" w:type="dxa"/>
            <w:vAlign w:val="bottom"/>
            <w:tcBorders>
              <w:top w:val="single" w:sz="8" w:color="auto"/>
            </w:tcBorders>
            <w:vMerge w:val="restart"/>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1,801</w:t>
            </w:r>
          </w:p>
        </w:tc>
        <w:tc>
          <w:tcPr>
            <w:tcW w:w="160" w:type="dxa"/>
            <w:vAlign w:val="bottom"/>
          </w:tcPr>
          <w:p>
            <w:pPr>
              <w:spacing w:after="0"/>
              <w:rPr>
                <w:sz w:val="14"/>
                <w:szCs w:val="14"/>
                <w:color w:val="auto"/>
              </w:rPr>
            </w:pPr>
          </w:p>
        </w:tc>
        <w:tc>
          <w:tcPr>
            <w:tcW w:w="18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1,499</w:t>
            </w:r>
          </w:p>
        </w:tc>
        <w:tc>
          <w:tcPr>
            <w:tcW w:w="140" w:type="dxa"/>
            <w:vAlign w:val="bottom"/>
          </w:tcPr>
          <w:p>
            <w:pPr>
              <w:spacing w:after="0"/>
              <w:rPr>
                <w:sz w:val="14"/>
                <w:szCs w:val="14"/>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8"/>
        </w:trPr>
        <w:tc>
          <w:tcPr>
            <w:tcW w:w="2040" w:type="dxa"/>
            <w:vAlign w:val="bottom"/>
            <w:gridSpan w:val="2"/>
          </w:tcPr>
          <w:p>
            <w:pPr>
              <w:ind w:left="220"/>
              <w:spacing w:after="0" w:line="232" w:lineRule="exact"/>
              <w:rPr>
                <w:sz w:val="20"/>
                <w:szCs w:val="20"/>
                <w:color w:val="auto"/>
              </w:rPr>
            </w:pP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26"/>
                <w:szCs w:val="26"/>
                <w:b w:val="1"/>
                <w:bCs w:val="1"/>
                <w:color w:val="auto"/>
                <w:vertAlign w:val="superscript"/>
              </w:rPr>
              <w:t>(1)</w:t>
            </w:r>
          </w:p>
        </w:tc>
        <w:tc>
          <w:tcPr>
            <w:tcW w:w="20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9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4" w:lineRule="exact"/>
        <w:rPr>
          <w:sz w:val="20"/>
          <w:szCs w:val="20"/>
          <w:color w:val="auto"/>
        </w:rPr>
      </w:pPr>
    </w:p>
    <w:p>
      <w:pPr>
        <w:ind w:left="380" w:right="339" w:hanging="330"/>
        <w:spacing w:after="0" w:line="221" w:lineRule="auto"/>
        <w:tabs>
          <w:tab w:leader="none" w:pos="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growth in constant currency and adjusted EBITDA are non-GAAP financial metrics. See the information below for definitions of these metrics and a reconciliation of adjusted EBITDA to net income (loss).</w:t>
      </w:r>
    </w:p>
    <w:p>
      <w:pPr>
        <w:ind w:left="380" w:hanging="330"/>
        <w:spacing w:after="0"/>
        <w:tabs>
          <w:tab w:leader="none" w:pos="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net amounts not allocated to segments.</w:t>
      </w:r>
    </w:p>
    <w:p>
      <w:pPr>
        <w:spacing w:after="0" w:line="19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report our financial results in accordance with U.S. GAAP. We also present certain non-GAAP financial measures to provide useful supplemental information to investors. We provide these non-GAAP financial measures as we believe it enhances visibility to underlying results and the impact of management decisions on operational performance and enables better comparison to peer companies.</w:t>
      </w:r>
    </w:p>
    <w:p>
      <w:pPr>
        <w:spacing w:after="0" w:line="180"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Revenue growth in constant currency is a non-GAAP measure that eliminates the effects of exchange rate fluctuations when translating from foreign currencies to the United States dollar. It is calculated by using the average exchange rates that existed for the same period of the prior year. Constant-currency measures are provided so that revenue can be viewed without the effect of fluctuations in currency exchange rates, which is consistent with how management evaluates our revenue results and trends.</w:t>
      </w:r>
    </w:p>
    <w:p>
      <w:pPr>
        <w:spacing w:after="0" w:line="183" w:lineRule="exact"/>
        <w:rPr>
          <w:sz w:val="20"/>
          <w:szCs w:val="20"/>
          <w:color w:val="auto"/>
        </w:rPr>
      </w:pPr>
    </w:p>
    <w:p>
      <w:pPr>
        <w:ind w:left="60" w:right="539" w:firstLine="648"/>
        <w:spacing w:after="0" w:line="282" w:lineRule="auto"/>
        <w:rPr>
          <w:sz w:val="20"/>
          <w:szCs w:val="20"/>
          <w:color w:val="auto"/>
        </w:rPr>
      </w:pPr>
      <w:r>
        <w:rPr>
          <w:rFonts w:ascii="Times New Roman" w:cs="Times New Roman" w:eastAsia="Times New Roman" w:hAnsi="Times New Roman"/>
          <w:sz w:val="18"/>
          <w:szCs w:val="18"/>
          <w:color w:val="auto"/>
        </w:rPr>
        <w:t>Additionally, management uses adjusted EBITDA to evaluate our performance. Adjusted EBITDA is a non-GAAP measure and defined as net income (loss) excluding net interest expense, income taxes, depreciation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amortization (excluding depreciation of right-of-use assets and amortization of capitalized contract costs), charges related to ceasing to use leased/fixed assets, charges related to lease terminations, transaction-related costs and benefits, pension expenses other than pension servicing costs and multi-employer plan costs, stock-based compensation expense, workforce rebalancing charges, impairment expense, significant litigation costs and currency impacts of highly inflationary countries. We believe that adjusted EBITDA is a helpful supplemental measure to assist investors in evaluating our operating results as it excludes certain items whose fluctuation from period to period does not necessarily correspond to changes in the operations of our business. We provide this non-GAAP financial measure as we believe it enhances visibility to underlying results and the impact of management decisions on operational performance, enables better comparison to peer companies and allows us to provide a long-term strategic view of the business.</w:t>
      </w:r>
    </w:p>
    <w:p>
      <w:pPr>
        <w:spacing w:after="0" w:line="188" w:lineRule="exact"/>
        <w:rPr>
          <w:sz w:val="20"/>
          <w:szCs w:val="20"/>
          <w:color w:val="auto"/>
        </w:rPr>
      </w:pPr>
    </w:p>
    <w:p>
      <w:pPr>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These disclosures are provided in addition to and not as a substitute for the percentage change in revenue and profit or loss measures on a U.S. GAAP basis compared to the corresponding period in the prior year. Other companies may calculate and define similarly labeled items differently, which may limit the usefulness of this measure for comparative purposes.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a reconciliation of U.S. GAAP net income (loss) to adjusted EBITDA: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4180" w:type="dxa"/>
            <w:vAlign w:val="bottom"/>
            <w:gridSpan w:val="3"/>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40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16"/>
        </w:trPr>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4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8"/>
        </w:trPr>
        <w:tc>
          <w:tcPr>
            <w:tcW w:w="418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Charges related to ceasing to use leased/fixed assets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and lease terminations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Transaction-related costs (benefits)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8"/>
        </w:trPr>
        <w:tc>
          <w:tcPr>
            <w:tcW w:w="418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Depreciation of property, equipment and capitalized</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6"/>
        </w:trPr>
        <w:tc>
          <w:tcPr>
            <w:tcW w:w="4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0"/>
        </w:trPr>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40" w:type="dxa"/>
            <w:vAlign w:val="bottom"/>
            <w:tcBorders>
              <w:bottom w:val="single" w:sz="8" w:color="auto"/>
            </w:tcBorders>
          </w:tcPr>
          <w:p>
            <w:pPr>
              <w:spacing w:after="0"/>
              <w:rPr>
                <w:sz w:val="5"/>
                <w:szCs w:val="5"/>
                <w:color w:val="auto"/>
              </w:rPr>
            </w:pPr>
          </w:p>
        </w:tc>
        <w:tc>
          <w:tcPr>
            <w:tcW w:w="1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80" w:right="99" w:hanging="330"/>
        <w:spacing w:after="0" w:line="241" w:lineRule="auto"/>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represent pension expenses other than pension servicing costs and multi-employer plan costs, significant litigation costs, currency impacts of highly inflationary countries, and an adjustment to reduce amortization expense for the amount already included in transaction-related costs (benefits) above.</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5"/>
                <w:szCs w:val="15"/>
                <w:color w:val="auto"/>
              </w:rPr>
            </w:pPr>
          </w:p>
        </w:tc>
        <w:tc>
          <w:tcPr>
            <w:tcW w:w="25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60" w:type="dxa"/>
            <w:vAlign w:val="bottom"/>
          </w:tcPr>
          <w:p>
            <w:pPr>
              <w:spacing w:after="0"/>
              <w:rPr>
                <w:sz w:val="15"/>
                <w:szCs w:val="15"/>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6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1,032</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3,305</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607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December 31, 2023, United States revenue of $1.0 billion decreased 18 percent compared to the prior-year quarter, driven by the Company’s efforts to reduce certain low-margin revenues and lower revenue from contracts with minimum annual revenue commitments. Adjusted EBITDA decreased $77 million from the prior-year quarter, primarily driven by lower revenue from contracts with minimum annual revenue commitments and an increase in software costs of $16 million resulting from an amendment of the contract with a software provider that re-allocated costs among our segments.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For the nine months ended December 31, 2023, United States revenue of $3.3 billion decreased 8 percent compared to the nine months ended December 31, 2022, driven by the Company’s efforts to reduce certain low-margin revenues. Adjusted EBITDA decreased $32 million from the prior-year period, primarily driven by an increase in software costs of $48 million resulting from an amendment of the contract with a software provider that re-allocated costs among our segments, partially offset by increased operating efficiencies and higher margins on recent signings.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5"/>
                <w:szCs w:val="15"/>
                <w:color w:val="auto"/>
              </w:rPr>
            </w:pPr>
          </w:p>
        </w:tc>
        <w:tc>
          <w:tcPr>
            <w:tcW w:w="258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60" w:type="dxa"/>
            <w:vAlign w:val="bottom"/>
          </w:tcPr>
          <w:p>
            <w:pPr>
              <w:spacing w:after="0"/>
              <w:rPr>
                <w:sz w:val="15"/>
                <w:szCs w:val="15"/>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6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1,761</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December 31, 2023, Japan revenue of $581 million decreased 4 percent compared to the prior-year quarter, driven by an unfavorable currency exchange rate impact of four points. Adjusted EBITDA increased $4 million from the prior-year quarter, due to a decrease in software costs of $3 million resulting from an amendment of the contract with a software provider that re-allocated costs among our segments.</w:t>
      </w:r>
    </w:p>
    <w:p>
      <w:pPr>
        <w:spacing w:after="0" w:line="180"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For the nine months ended December 31, 2023, Japan revenue of $1.8 billion decreased 5 percent compared to the nine months ended December 31, 2022, driven primarily by an unfavorable currency exchange rate impact of four points. Adjusted EBITDA decreased $40 million from the prior-year period, primarily driven by unfavorable currency movements that impacted both non-yen-denominated costs and the translation of earnings into U.S. dollars.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Principal Markets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5"/>
                <w:szCs w:val="15"/>
                <w:color w:val="auto"/>
              </w:rPr>
            </w:pPr>
          </w:p>
        </w:tc>
        <w:tc>
          <w:tcPr>
            <w:tcW w:w="25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60" w:type="dxa"/>
            <w:vAlign w:val="bottom"/>
          </w:tcPr>
          <w:p>
            <w:pPr>
              <w:spacing w:after="0"/>
              <w:rPr>
                <w:sz w:val="15"/>
                <w:szCs w:val="15"/>
                <w:color w:val="auto"/>
              </w:rPr>
            </w:pPr>
          </w:p>
        </w:tc>
        <w:tc>
          <w:tcPr>
            <w:tcW w:w="2380" w:type="dxa"/>
            <w:vAlign w:val="bottom"/>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366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1,446</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1,472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4,395</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4,460</w:t>
            </w: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560</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December 31, 2023, Principal Markets revenue of $1.4 billion decreased 2 percent compared to the prior-year quarter, including a favorable currency exchange rate impact of three points. The revenue decline was largely attributable to actions the Company has taken to reduce low-margin components of its customers relationships. Adjusted EBITDA increased $116 million from the prior-year quarter, primarily due to increased operating efficiencies, higher margins on recent signings and a decrease in software costs of $20 million resulting from an amendment of the contract with a software provider that re-allocated costs among our segments.</w:t>
      </w:r>
    </w:p>
    <w:p>
      <w:pPr>
        <w:spacing w:after="0" w:line="18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For the nine months ended December 31, 2023, Principal Markets revenue of $4.4 billion decreased 1 percent compared to the nine months ended December 31, 2022, including a favorable currency exchange rate impact of three points. The revenue decline was largely attributable to actions the Company has taken to reduce low-margin components of its customer relationships. Adjusted EBITDA increased $312 million from the prior-year period, primarily due to increased operating efficiencies, higher margins on recent signings and a decrease in software costs of $59 million resulting from an amendment of the contract with a software provider that re-allocated costs among our segments.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Strategic Markets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5"/>
                <w:szCs w:val="15"/>
                <w:color w:val="auto"/>
              </w:rPr>
            </w:pPr>
          </w:p>
        </w:tc>
        <w:tc>
          <w:tcPr>
            <w:tcW w:w="25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60" w:type="dxa"/>
            <w:vAlign w:val="bottom"/>
          </w:tcPr>
          <w:p>
            <w:pPr>
              <w:spacing w:after="0"/>
              <w:rPr>
                <w:sz w:val="15"/>
                <w:szCs w:val="15"/>
                <w:color w:val="auto"/>
              </w:rPr>
            </w:pPr>
          </w:p>
        </w:tc>
        <w:tc>
          <w:tcPr>
            <w:tcW w:w="21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6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877</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6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December 31, 2023, Strategic Markets revenue of $877 million decreased 9 percent compared to the prior-year quarter, including a favorable currency exchange rate impact of four points. The revenue decline was largely attributable to actions the Company has taken to reduce low-margin components of its customer relationships. Adjusted EBITDA was largely unchanged from the prior-year quarter, due to increased operating efficiencies and higher margins on recent signings, offset by an increase in software costs of $7 million resulting from an amendment of the contract with a software provider that re-allocated costs among our segments.</w:t>
      </w:r>
    </w:p>
    <w:p>
      <w:pPr>
        <w:spacing w:after="0" w:line="187"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For the nine months ended December 31, 2023, Strategic Markets revenue of $2.7 billion decreased 5 percent compared to the nine months ended December 31, 2022, including a favorable currency exchange rate impact of three points. The revenue decline was largely attributable to actions the Company has taken to reduce low-margin components of its customer relationships. Adjusted EBITDA increased $76 million from the prior-year period, primarily due to increased operating efficiencies and higher margins on recent signings, partially offset by an increase in software costs of $20 million resulting from an amendment of the contract with a software provider that re-allocated costs among our segments.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2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Corporate and other had an adjusted EBITDA loss of $25 million in the three months ended December 31, 2023, compared to a loss of $16 million in the three months ended December 31, 2022. Corporate and other had an adjusted EBITDA loss of $71 million in the nine months ended December 31, 2023, compared to a loss of $57 million in the nine months ended December 31,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3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64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50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80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210"/>
        </w:trPr>
        <w:tc>
          <w:tcPr>
            <w:tcW w:w="3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costs (benefits)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8"/>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8"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Cost of services was 80.9% of revenue in the three months ended December 31, 2023, compared to 83.6% in the three months ended December 31, 2022, driven by increased operating efficiencies, higher margins on recent signings, and actions the Company has taken to reduce low-margin components of its customer relationships. Selling, general and administrative expenses were 17.9% of revenue in the three months ended December 31, 2023 compared to 17.0% in the prior-year quarter, driven by lower revenue, partially offset by reduced expenses. Workforce rebalancing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charges were 0.5% of revenue in the three months ended December 31, 2023 versus 0.2% of revenue in the prior-year quarter, due to workforce rebalancing actions taken in the third quarter of fiscal 2024. Transaction-related costs (benefits) were (2.0)% of revenue in the three months ended December 31, 2023 compared to 1.1% in the prior-year quarter, driven by the impact of an agreement to collect previously reserved receivables from our former Parent. Interest expense was 0.8% of revenue in the three months ended December 31, 2023 compared to 0.6% in the prior-year quarter.</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21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8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88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06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210"/>
        </w:trPr>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12,771</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10,886</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82.4 %</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85.2 %</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00" w:type="dxa"/>
            <w:vAlign w:val="bottom"/>
          </w:tcPr>
          <w:p>
            <w:pPr>
              <w:spacing w:after="0"/>
              <w:rPr>
                <w:sz w:val="18"/>
                <w:szCs w:val="18"/>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costs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28"/>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Cost of services was 82.4% of revenue in the nine months ended December 31, 2023, compared to 85.2% in the nine months ended December 31, 2022, driven by increased operating efficiencies, higher margins on recent signings and actions the Company has taken to reduce low-margin components of its customer relationships. Selling, general and administrative expenses were 16.9% of revenue in the nine months ended December 31, 2023 compared to 16.7% in the nine months ended December 31, 2022, driven by lower revenue, partially offset by reduced expenses. Workforce rebalancing charges were 0.9% of revenue in the nine months ended December 31, 2023 versus 0.1% of revenue in the prior-year period, due to workforce rebalancing actions taken in the first nine months of fiscal 2024. Transaction-related costs were 0.1% of revenue in the nine months ended December 31, 2023 compared to 1.7% in the prior-year period, driven by reduced rebranding and employee-retention costs and the favorable impact of an agreement to collect previously reserved receivables from our former Parent. Interest expense was 0.8% of revenue in the nine months ended December 31, 2023 compared to 0.5% in the prior-year period.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the nine months ended December 31, 2023, the Company granted equity awards to employees. These awards included 2.8 million restricted stock units that will vest ratably over four years; 2.0 million performance-conditioned stock units that are based on the attainment of operational milestones; and 0.6 million market-conditioned performance stock units that are based on the performance of the Company’s stock relative to that of its peers. Both types of performance-based awards will cliff vest based on the extent to which the performance criteria have been achieved as soon as practicable following the completion of the performance period on March 31, 2026. The total grant date fair value of the RSUs was determined using the stock price at the grant date and will be recognized as stock-based compensation expense on a straight-line basis net of actual forfeitures over the vesting period. The fair value of the performance-conditioned performance stock units ($13.37 per unit) was determined using the stock price at the grant date and will be adjusted and recognized as stock-based compensation expense based upon the probability of achievement of performance targets at each reporting period over the vesting period. The fair value of the market-conditioned performance stock units ($14.10 per unit) was determined at the grant date using a Monte Carlo simulation model and will be recognized as stock-based compensation expense on a straight-line basis net of actual forfeitures over the vesting period. Dividend equivalents are not paid on the stock awards described above. The expense associated with these awards were $6 million and $9 million for the three and nine months ended December 31, 2023, respectively.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Transaction-Related Costs (Benefits)</w:t>
      </w:r>
    </w:p>
    <w:p>
      <w:pPr>
        <w:spacing w:after="0" w:line="229"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The Company classifies certain expenses and benefits related to the Separation, acquisitions and divestitures (if any) as “transaction-related costs (benefits)” in the Consolidated Income Statement. Transaction-related costs include expenditures incurred to prepare for and execute the Separation and establish Kyndryl as a standalone business. These include employee retention expenses, information technology costs, marketing expenses to establish the Kyndryl brand, legal, accounting, consulting and other professional service costs required to prepare for and execute the Separation, costs and benefits resulting from settlements with our former Parent associated with pre-Separation and Separation-related matters, and other costs related to contract and supplier novation and integration.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Workforce Rebalancing and Site-Rationalization Charges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During the fiscal year ending March 31, 2023, management initiated certain actions to reduce our overall cost structure and increase our operating efficiency. These actions include workforce rebalancing charges, charges related to ceasing to use leased and owned fixed assets, and charges related to lease terminations. Workforce rebalancing charges arise from cost-reduction actions to enhance productivity and cost-competitiveness and to rebalance skills that result in payments to the terminated employees. In addition, we identified certain leased and owned assets that were inherited from IBM as a result of the Separation that we determined will no longer provide any economic benefit to Kyndryl. As a result, we disposed of these assets through abandonment or early termination. During the three months ended December 31, 2023, the Company recognized $19 million in workforce rebalancing charges and $14 million in charges related to ceasing to use leased and owned fixed assets and lease termination charges. During the nine months ended December 31, 2023, the Company recognized $115 million in workforce rebalancing charges and $24 million in charges related to ceasing to use leased and owned fixed assets and lease termination charges.</w:t>
      </w:r>
    </w:p>
    <w:p>
      <w:pPr>
        <w:spacing w:after="0" w:line="192"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Management expects total future charges for this program to be approximately $25 million, primarily relating to workforce rebalancing. The Company estimates that the program in aggregate will require a cash outlay of approximately $300 million, of which approximately $170 million has been paid through December 31, 2023 (including $30 million of contractual payments toward leased assets we have ceased to use) and approximately $60 million is expected to be paid through the end of fiscal year 2024, and the remainder thereafter. Management expects that these workforce rebalancing and site-rationalization activities will reduce payroll costs, rent expenses and depreciation of property and equipment by approximately $300 million in fiscal year 2024. There can be no guarantee that we will achieve our expected cost savings. The Company will continue to seek opportunities to improve operational efficiency and reduce costs, which may result in additional charges in future periods. For additional information, see Note 14 – Workforce Rebalancing and Site-Rationalization Charges in the accompanying Consolidated Financial Statements.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The provision for income taxes for the three months ended December 31, 2023 was $65 million of expense, compared to a $32 million benefit for the three months ended December 31, 2022. Our income tax expense for the three months ended December 31, 2023 was primarily related to taxes on foreign operations, uncertain tax positions and valuation allowances recorded in certain jurisdictions against deferred tax assets that are not more likely than not to be realized. Our income tax benefits for the three months ended December 31, 2022 were primarily due to return-to-provision adjustments related to the filing of income tax returns.</w:t>
      </w:r>
    </w:p>
    <w:p>
      <w:pPr>
        <w:spacing w:after="0" w:line="187"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The provision for income taxes for the nine months ended December 31, 2023 was $131 million of expense, compared to $74 million of expense for the nine months ended December 31, 2022. Our income tax expense for the nine months ended December 31, 2023 was primarily related to taxes on foreign operations and valuation allowances recorded in certain jurisdictions against deferred tax assets that are not more likely than not to be realized. Our income tax expense for the nine months ended December 31, 2022 was primarily related to taxes on foreign operations and an increase in valuation allowances against deferred tax assets that are not more likely than not to be realized, partially offset by the benefit resulting from return-to-provision adjustments related to the filing of income tax returns.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assessing the need for a valuation allowance, management considers all available evidence for each jurisdiction, including past operating results, estimates of future taxable income, the reversal of existing temporary differences, and the feasibility of ongoing tax planning strategies and actions. Estimates of future taxable income and loss could change, perhaps materially, which may require us to revise our assessment of the recoverability of the deferred tax asset at that time.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Dynamics</w:t>
      </w:r>
    </w:p>
    <w:p>
      <w:pPr>
        <w:spacing w:after="0" w:line="229" w:lineRule="exact"/>
        <w:rPr>
          <w:sz w:val="20"/>
          <w:szCs w:val="20"/>
          <w:color w:val="auto"/>
        </w:rPr>
      </w:pPr>
    </w:p>
    <w:p>
      <w:pPr>
        <w:ind w:left="60" w:right="339" w:firstLine="648"/>
        <w:spacing w:after="0" w:line="258" w:lineRule="auto"/>
        <w:rPr>
          <w:sz w:val="20"/>
          <w:szCs w:val="20"/>
          <w:color w:val="auto"/>
        </w:rPr>
      </w:pPr>
      <w:r>
        <w:rPr>
          <w:rFonts w:ascii="Times New Roman" w:cs="Times New Roman" w:eastAsia="Times New Roman" w:hAnsi="Times New Roman"/>
          <w:sz w:val="18"/>
          <w:szCs w:val="18"/>
          <w:color w:val="auto"/>
        </w:rPr>
        <w:t>Total assets of $11.0 billion decreased by $495 million (and decreased by $572 million adjusted for currency) from March 31, 2023, primarily driven by: a decrease in deferred costs of $326 million due to amortization outpacing additions; and a decrease in cash and cash equivalents of $159 million mainly due to our net loss in the period; partially offset by an increase of $135 million in accounts receivable due to the timing of billing and collection and the release of reserves for certain receivables from our former Parent.</w:t>
      </w:r>
    </w:p>
    <w:p>
      <w:pPr>
        <w:spacing w:after="0" w:line="183" w:lineRule="exact"/>
        <w:rPr>
          <w:sz w:val="20"/>
          <w:szCs w:val="20"/>
          <w:color w:val="auto"/>
        </w:rPr>
      </w:pPr>
    </w:p>
    <w:p>
      <w:pPr>
        <w:jc w:val="both"/>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Total liabilities of $9.7 billion decreased by $326 million (and decreased by $352 million adjusted for currency) from March 31, 2023, primarily as a result of: a decrease in accounts payable of $297 million due to lower costs and the timing of payments; and a decrease in deferred income of $63 million; partially offset by an increase in accrued contract costs of $169 million due to the timing of vendors’ billings.</w:t>
      </w:r>
    </w:p>
    <w:p>
      <w:pPr>
        <w:spacing w:after="0" w:line="180"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Total equity of $1.3 billion decreased $169 million from March 31, 2023, principally due to our comprehensive loss in the period.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1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Working capital decreased $396 million from March 31, 2023. Current assets decreased $112 million (and decreased $128 million adjusted for currency) primarily driven by: a decrease of $159 million in cash and cash equivalents and a decrease of $147 million in deferred costs (current); partially offset by an increase of $135 million in accounts receivable. Current liabilities increased $285 million (and increased $269 million adjusted for currency) driven by the $500 million floating-rate term loan due in November 2024 being classified as a current liability and an increase in accrued contract costs of $169 million; partially offset by a decrease in accounts payable of $297 million.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Noncurrent Assets and Liabilities</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Noncurrent assets of $6.1 billion at December 31, 2023 decreased by $383 million (and decreased by $444 million adjusted for currency) compared to March 31, 2023, driven by a decrease in deferred costs (noncurrent) of $179 million; a decrease in operating right-of-use assets of $49 million; and a decrease in deferred tax assets of $41 million.</w:t>
      </w:r>
    </w:p>
    <w:p>
      <w:pPr>
        <w:spacing w:after="0" w:line="176" w:lineRule="exact"/>
        <w:rPr>
          <w:sz w:val="20"/>
          <w:szCs w:val="20"/>
          <w:color w:val="auto"/>
        </w:rPr>
      </w:pPr>
    </w:p>
    <w:p>
      <w:pPr>
        <w:ind w:left="60" w:right="159" w:firstLine="648"/>
        <w:spacing w:after="0" w:line="289" w:lineRule="auto"/>
        <w:rPr>
          <w:sz w:val="20"/>
          <w:szCs w:val="20"/>
          <w:color w:val="auto"/>
        </w:rPr>
      </w:pPr>
      <w:r>
        <w:rPr>
          <w:rFonts w:ascii="Times New Roman" w:cs="Times New Roman" w:eastAsia="Times New Roman" w:hAnsi="Times New Roman"/>
          <w:sz w:val="17"/>
          <w:szCs w:val="17"/>
          <w:color w:val="auto"/>
        </w:rPr>
        <w:t>Noncurrent liabilities of $4.5 billion at December 31, 2023 decreased by $610 million (and decreased by $620 million adjusted for currency) compared to March 31, 2023, mainly driven by the $500 million floating-rate term loan due in November 2024 being classified as a current liability and a decrease in deferred income (noncurrent) of $36 million.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cash flows from operating, investing and financing activities are summarized in the table below.</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612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tcPr>
          <w:p>
            <w:pPr>
              <w:spacing w:after="0"/>
              <w:rPr>
                <w:sz w:val="18"/>
                <w:szCs w:val="18"/>
                <w:color w:val="auto"/>
              </w:rPr>
            </w:pPr>
          </w:p>
        </w:tc>
        <w:tc>
          <w:tcPr>
            <w:tcW w:w="260" w:type="dxa"/>
            <w:vAlign w:val="bottom"/>
            <w:gridSpan w:val="2"/>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$309 million in the nine months ended December 31, 2023, compared to net cash provided of $769 million in the prior-year period mainly due to the timing of receivable collections and vendor payments.</w:t>
      </w:r>
    </w:p>
    <w:p>
      <w:pPr>
        <w:spacing w:after="0" w:line="176"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$350 million in the nine months ended December 31, 2023, compared to a net cash use of $699 million in the prior-year period due to lower capital expenditures.</w:t>
      </w:r>
    </w:p>
    <w:p>
      <w:pPr>
        <w:spacing w:after="0" w:line="162"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totaled $123 million in the nine months ended December 31, 2023, compared to net cash used in financing activities of $100 million in the prior-year period.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Signings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Company’s signings for the three and nine months ended December 31, 2023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2022.</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31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signings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Signings increased by $492 million in the three months ended December 31, 2023, or 15%, compared to the prior-year quarter. Signings increased by $289 million in the nine months ended December 31, 2023, or 3%, compared to the nine months ended December 31, 2022. We believe that the estimated values of signings provide insight into the Company’s potential future revenue and are a tool to monitor trends in the business, including the business’ ability to attract new customers and sell additional scope into our existing customer base, and we believe signings are helpful information for investors. There are no third-party standards or requirements governing the calculation of signings. We define signings as an initial estimate of the value of a customer’s commitment under a contract. The calculation involves estimates and judgments to gauge the extent of a customer’s commitment, including the type and duration of the agreement and the presence of termination charges or wind-down costs. Contract extensions and increases in scope are treated as signings only to the extent of the incremental new value. Signings can vary over time due to a variety of factors including, but not limited to, the timing of signing a small number of larger outsourcing contracts as well as the length of those contracts. The conversion of signings into revenue may vary based on the types of services and solutions, customer decisions and other factors, which may include, but are not limited to, the macroeconomic environment or external events.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619"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the Revolving Credit Agreement entered into in October 2021, will be sufficient to meet our anticipated cash needs for at least the next twelve months.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October 2021, in preparation for our Spin-off, we completed the offering of $2.4 billion in aggregate principal amount of senior unsecured fixed-rate notes as follows: $700 million aggregate principal amount of 2.05% Senior Notes due 2026, $500 million aggregate principal amount of 2.70% Senior Notes due 2028, $650 million aggregate principal amount of 3.15% Senior Notes due 2031 and $550 million aggregate principal amount of 4.10% Senior Notes due 2041 (the “Notes”). The Notes were offered and sold to qualified institutional buyers in reliance on Rule 144A under the Securities Act and to non-U.S. persons in reliance on Regulation S of the Securities Act. The Notes are subject to customary affirmative covenants, negative covenants and events of default for financings of this type and are redeemable at our option in a customary manner.</w:t>
      </w:r>
    </w:p>
    <w:p>
      <w:pPr>
        <w:spacing w:after="0" w:line="192"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Notes, we entered into a registration rights agreement with the initial purchasers of the Notes, pursuant to which we completed a registered offering to exchange each series of Notes for new notes with substantially identical terms during the quarter ended September 30,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Term Loan and Revolving Credit Facility</w:t>
      </w:r>
    </w:p>
    <w:p>
      <w:pPr>
        <w:spacing w:after="0" w:line="229" w:lineRule="exact"/>
        <w:rPr>
          <w:sz w:val="20"/>
          <w:szCs w:val="20"/>
          <w:color w:val="auto"/>
        </w:rPr>
      </w:pPr>
    </w:p>
    <w:p>
      <w:pPr>
        <w:jc w:val="both"/>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In October 2021, we entered into a $500 million three-year variable rate term loan credit agreement (the “Term Loan Credit Agreement”). In November 2021, we drew down the full $500 million available under the Term Loan Credit Agreement. The term loan due in November 2024 became classified as a current liability in November 2023. We intend to refinance this term loan in the first half of calendar year 2024, prior to its maturity, subject to market conditions.</w:t>
      </w:r>
    </w:p>
    <w:p>
      <w:pPr>
        <w:spacing w:after="0" w:line="180" w:lineRule="exact"/>
        <w:rPr>
          <w:sz w:val="20"/>
          <w:szCs w:val="20"/>
          <w:color w:val="auto"/>
        </w:rPr>
      </w:pPr>
    </w:p>
    <w:p>
      <w:pPr>
        <w:ind w:left="60" w:right="59" w:firstLine="648"/>
        <w:spacing w:after="0" w:line="312" w:lineRule="auto"/>
        <w:rPr>
          <w:sz w:val="20"/>
          <w:szCs w:val="20"/>
          <w:color w:val="auto"/>
        </w:rPr>
      </w:pPr>
      <w:r>
        <w:rPr>
          <w:rFonts w:ascii="Times New Roman" w:cs="Times New Roman" w:eastAsia="Times New Roman" w:hAnsi="Times New Roman"/>
          <w:sz w:val="17"/>
          <w:szCs w:val="17"/>
          <w:color w:val="auto"/>
        </w:rPr>
        <w:t>In October 2021, we entered into a $3.15 billion multi-currency revolving credit agreement (the “Revolving Credit Agreement” and, together with the Term Loan Credit Agreement, the “Credit Agreements”) for our future liquidity needs.</w:t>
      </w:r>
    </w:p>
    <w:p>
      <w:pPr>
        <w:spacing w:after="0" w:line="140"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In June 2023, we amended the Credit Agreements by replacing the London Interbank Offered Rate (“LIBOR”) as the interest rate benchmark for U.S. Dollar borrowings with the Secured Overnight Financing Rate (“SOFR”). The first repricing date using SOFR was in July 2023.</w:t>
      </w:r>
    </w:p>
    <w:p>
      <w:pPr>
        <w:spacing w:after="0" w:line="176"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Revolving Credit Agreement expires, unless extended, in October 2026, and the Term Loan Credit Agreement matures, unless extended, in November 2024. Interest rates on borrowings under the Credit Agreements are based on prevailing market interest rates, plus a margin, as further described in the Credit Agreements. As of December 31, 2023, there were no borrowings under the Revolving Credit Agreement.</w:t>
      </w:r>
    </w:p>
    <w:p>
      <w:pPr>
        <w:spacing w:after="0" w:line="180"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We may voluntarily prepay our debt without premium or penalty, subject to customary “breakage” costs. The Company is in compliance with all of its debt covenants for all periods presented.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Transfers of Financial Assets</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has entered into agreements with third-party financial institutions to sell certain financial assets (primarily trade receivables) without recourse. The Company has determined these are true sales. The carrying value of the financial asset sold is derecognized, and a net gain or loss on the sale is recognized, at the time of the transfer. The first agreement, which was executed in November 2021 and subsequently amended, enabled us to sell certain of our trade receivables to the counterparty. The initial term of this agreement was 18 months, and the agreement automatically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jc w:val="both"/>
        <w:ind w:left="60" w:right="359"/>
        <w:spacing w:after="0" w:line="312" w:lineRule="auto"/>
        <w:rPr>
          <w:sz w:val="20"/>
          <w:szCs w:val="20"/>
          <w:color w:val="auto"/>
        </w:rPr>
      </w:pPr>
      <w:r>
        <w:rPr>
          <w:rFonts w:ascii="Times New Roman" w:cs="Times New Roman" w:eastAsia="Times New Roman" w:hAnsi="Times New Roman"/>
          <w:sz w:val="17"/>
          <w:szCs w:val="17"/>
          <w:color w:val="auto"/>
        </w:rPr>
        <w:t>resets to a term of 18 months after every six months, unless either party elects not to extend. The second agreement was executed in June 2022 with a separate third-party financial institution and renews automatically on its anniversary date.</w:t>
      </w:r>
    </w:p>
    <w:p>
      <w:pPr>
        <w:spacing w:after="0" w:line="140"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The net proceeds from these agreements are reflected as cash provided by operating activities in the Consolidated Statement of Cash Flows. Gross proceeds from receivables sold to third parties under such programs were $846 million and $2.9 billion for the three and nine months ended December 31, 2023, respectively, and $930 million and $2.3 billion for the three and nine months ended December 31, 2022, respectively. The fees associated with the transfers of receivables were $11 million and $39 million for the three and nine months ended December 31, 2023, respectively, and $14 million and $34 million for the three and nine months ended December 31, 2022,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left="60" w:right="239" w:firstLine="648"/>
        <w:spacing w:after="0" w:line="281" w:lineRule="auto"/>
        <w:rPr>
          <w:sz w:val="20"/>
          <w:szCs w:val="20"/>
          <w:color w:val="auto"/>
        </w:rPr>
      </w:pPr>
      <w:r>
        <w:rPr>
          <w:rFonts w:ascii="Times New Roman" w:cs="Times New Roman" w:eastAsia="Times New Roman" w:hAnsi="Times New Roman"/>
          <w:sz w:val="17"/>
          <w:szCs w:val="17"/>
          <w:color w:val="auto"/>
        </w:rPr>
        <w:t>The application of U.S. GAAP requires us to make estimates and assumptions about certain items and future events that directly affect our reported financial condition. There have been no changes to our critical accounting policies and estimates as described in our Annual Report on Form 10-K for the fiscal year ended March 31, 2023 for more information; we refer to the Annual Report on Form 10-K for the fiscal year ended March 31, 2023 as the “Form 10-K”.</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All statements other than statements of historical fact included in this report, including, without limitation, statements concerning the Company’s plans, objectives, goals, beliefs, business strategies, future events, business condition, results of operations, financial position, business outlook and business trends and other non-historical statements in this report are forward-looking statements. Such forward-looking statements often contain words such as “will,” “anticipate,” “predict,” “project,” “contemplate,” “plan,” “forecast,” “future,” “estimate,” “expect,” “intend,” “target,” “may,” “should,” “would,” “could,” “outlook,” “goal,” “objective,” “seek,” “aim,” “believe” and other similar words or expressions or the negative thereof or other variations thereon. Forward-looking statements are based on the Company’s current assumptions and beliefs regarding future business and financial performance. The Company’s actual business, financial condition or results of operations may differ materially from those suggested by forward-looking statements as a result of risks and uncertainties which include, among others:</w:t>
      </w:r>
    </w:p>
    <w:p>
      <w:pPr>
        <w:spacing w:after="0" w:line="192"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spin-off from IBM;</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new customers, retain existing customers or sell additional services to customers;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 and the Company’s response to such developments;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growth and productivity objectives;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relationships with critical suppliers and partners;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retain and/or manage key personnel and other skilled employees;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local legal, economic, political, health and other conditions;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in economic environment and customer spending budgets;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Company’s reputation;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accurately estimate the cost of services and the timeline for completion of contracts;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implementation of a new enterprise resource planning system and other systems and processes;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delivery issues;</w:t>
      </w:r>
    </w:p>
    <w:p>
      <w:pPr>
        <w:spacing w:after="0" w:line="9" w:lineRule="exact"/>
        <w:rPr>
          <w:rFonts w:ascii="Times New Roman" w:cs="Times New Roman" w:eastAsia="Times New Roman" w:hAnsi="Times New Roman"/>
          <w:sz w:val="18"/>
          <w:szCs w:val="18"/>
          <w:color w:val="auto"/>
        </w:rPr>
      </w:pPr>
    </w:p>
    <w:p>
      <w:pPr>
        <w:ind w:left="720" w:right="559" w:hanging="319"/>
        <w:spacing w:after="0" w:line="250"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manage acquisitions, alliances and dispositions, including integration challenges, failure to achieve objectives, the assumption of liabilities, and higher debt levels;</w:t>
      </w: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business with government customers;</w:t>
      </w:r>
    </w:p>
    <w:p>
      <w:pPr>
        <w:spacing w:after="0" w:line="9" w:lineRule="exact"/>
        <w:rPr>
          <w:rFonts w:ascii="Times New Roman" w:cs="Times New Roman" w:eastAsia="Times New Roman" w:hAnsi="Times New Roman"/>
          <w:sz w:val="18"/>
          <w:szCs w:val="18"/>
          <w:color w:val="auto"/>
        </w:rPr>
      </w:pPr>
    </w:p>
    <w:p>
      <w:pPr>
        <w:ind w:left="720" w:right="639" w:hanging="319"/>
        <w:spacing w:after="0" w:line="250"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Company’s intellectual property rights to prevent competitive offerings and the failure of the Company to obtain necessary licenses;</w:t>
      </w: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our goodwill or long-lived assets;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cybersecurity and data privacy;</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non-compliance with legal and regulatory requirements;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from tax matters and environmental matters;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and investigatory risks and potential indemnification obligations;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changes in market liquidity conditions and customer credit risk on receivables;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pension plans;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currency fluctuations;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common stock and the securities market.</w:t>
      </w:r>
    </w:p>
    <w:p>
      <w:pPr>
        <w:spacing w:after="0" w:line="20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Additional risks and uncertainties include, among others, those risks and uncertainties described in the “Risk Factors” section of our Form 10-K for the fiscal year ended March 31, 2023, as such factors may be updated from time to time in the Company’s subsequent filings with the SEC. Any forward-looking statement in this report speaks only as of the date on which it is made. Except as required by law, the Company assumes no obligation to update or revise any forward-looking statements, whether as a result of new information, future events or otherwise.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Website and Social Media Disclosure</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Company may use its website and/or social media outlets, such as Facebook, LinkedIn and X (formerly Twitter), as distribution channels of material company information. Financial and other important information regarding the Company is routinely posted on and accessible through the Company’s website at https://investors.kyndryl.com, its Facebook page at https://www.facebook.com/kyndryl, its LinkedIn page at https://linkedin.com/company/kyndryl and its X (formerly Twitter) account (@Kyndryl) at https://X.com/Kyndryl. We may also use our Investors Relations website, https://investors.kyndryl.com, as means of disclosing material non-public information and for complying with our disclosure obligations under Regulation FD. In addition, you may automatically receive email alerts and other information about the Company when you enroll your email address by visiting the “Investor Email Alerts” section under the “Resources” section at https://investors.kyndryl.com.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For our disclosures about market risk, see the information under the heading “Quantitative and Qualitative Disclosures About Market Risk” in the Form 10-K. There have been no material changes to the Company’s disclosure about market risk in the Form 10-K.</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Company’s management evaluated, with the participation of the Chief Executive Officer and Chief Financial Officer, the effectiveness of the Company’s disclosure controls and procedures (as such term is defined in Rules 13a-15(e) and 15d-15(e) of the Securities Exchange Act of 1934, as amended (the “Exchange Act”)) as of the end of the period covered by this report. Any controls and procedures, no matter how well designed and operated, can provide only reasonable assurance of achieving the desired control objectives. Based on that evaluation, the Chief Executive Officer and Chief Financial Officer have concluded that the Company’s disclosure controls and procedures were effective as of the end of the period covered by this report.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During the nine months ended December 31, 2023, we completed the implementation of a new enterprise resource planning system. The implementation included changes to certain financial processes impacting key controls related to our internal controls over financial reporting. We have updated our internal controls as appropriate in light of the system implementation and will continue to monitor the impact of the implementation on our processes, procedures and internal control over financial reporting. There have been no other changes in the Company’s internal control over financial reporting (as such term is defined in Rules 13a-15(f) and 15d-15(f) of the Exchange Act) that occurred during the period covered by this report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Refer to Note 10 – Commitments and Contingencies, in the notes to consolidated financial statements in this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report.</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For a discussion of our potential risks and uncertainties, see the information under the heading “Risk Factors” in our Form 10-K for the year ended March 31, 2023. There have been no material changes with respect to the risk factors disclosed in the Form 10-K.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647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2023, none of the Company’s directors or executive officers adopted, terminated or modified a “Rule 10b5-1 trading arrangement” or a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27"/>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67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4"/>
        </w:trPr>
        <w:tc>
          <w:tcPr>
            <w:tcW w:w="172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6640" w:type="dxa"/>
            <w:vAlign w:val="bottom"/>
            <w:tcBorders>
              <w:bottom w:val="single" w:sz="8" w:color="0000EE"/>
            </w:tcBorders>
            <w:gridSpan w:val="7"/>
          </w:tcPr>
          <w:p>
            <w:pPr>
              <w:spacing w:after="0" w:line="194"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The Separation and Distribution Agreement, dated as of November 2, 2021, by and between</w:t>
              </w:r>
            </w:hyperlink>
          </w:p>
        </w:tc>
        <w:tc>
          <w:tcPr>
            <w:tcW w:w="100" w:type="dxa"/>
            <w:vAlign w:val="bottom"/>
            <w:gridSpan w:val="3"/>
          </w:tcPr>
          <w:p>
            <w:pPr>
              <w:spacing w:after="0"/>
              <w:rPr>
                <w:sz w:val="16"/>
                <w:szCs w:val="16"/>
                <w:color w:val="auto"/>
              </w:rPr>
            </w:pPr>
          </w:p>
        </w:tc>
      </w:tr>
      <w:tr>
        <w:trPr>
          <w:trHeight w:val="196"/>
        </w:trPr>
        <w:tc>
          <w:tcPr>
            <w:tcW w:w="1720" w:type="dxa"/>
            <w:vAlign w:val="bottom"/>
          </w:tcPr>
          <w:p>
            <w:pPr>
              <w:spacing w:after="0"/>
              <w:rPr>
                <w:sz w:val="17"/>
                <w:szCs w:val="17"/>
                <w:color w:val="auto"/>
              </w:rPr>
            </w:pPr>
          </w:p>
        </w:tc>
        <w:tc>
          <w:tcPr>
            <w:tcW w:w="6740" w:type="dxa"/>
            <w:vAlign w:val="bottom"/>
            <w:gridSpan w:val="10"/>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International Business Machines Corporation and the registrant, was filed as Exhibit 2.1 to</w:t>
              </w:r>
            </w:hyperlink>
          </w:p>
        </w:tc>
      </w:tr>
      <w:tr>
        <w:trPr>
          <w:trHeight w:val="196"/>
        </w:trPr>
        <w:tc>
          <w:tcPr>
            <w:tcW w:w="1720" w:type="dxa"/>
            <w:vAlign w:val="bottom"/>
          </w:tcPr>
          <w:p>
            <w:pPr>
              <w:spacing w:after="0"/>
              <w:rPr>
                <w:sz w:val="17"/>
                <w:szCs w:val="17"/>
                <w:color w:val="auto"/>
              </w:rPr>
            </w:pPr>
          </w:p>
        </w:tc>
        <w:tc>
          <w:tcPr>
            <w:tcW w:w="62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the registrant’s Current Report on Form 8-K filed on November 4, 2021, and is hereby</w:t>
              </w:r>
            </w:hyperlink>
          </w:p>
        </w:tc>
        <w:tc>
          <w:tcPr>
            <w:tcW w:w="300" w:type="dxa"/>
            <w:vAlign w:val="bottom"/>
            <w:tcBorders>
              <w:top w:val="single" w:sz="8" w:color="0000EE"/>
            </w:tcBorders>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19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incorporated by reference.</w:t>
              </w:r>
            </w:hyperlink>
          </w:p>
        </w:tc>
        <w:tc>
          <w:tcPr>
            <w:tcW w:w="4840" w:type="dxa"/>
            <w:vAlign w:val="bottom"/>
            <w:gridSpan w:val="9"/>
          </w:tcPr>
          <w:p>
            <w:pPr>
              <w:spacing w:after="0"/>
              <w:rPr>
                <w:sz w:val="17"/>
                <w:szCs w:val="17"/>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66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The Amended and Restated Certificate of Incorporation of the registrant was filed as Exhibit</w:t>
              </w:r>
            </w:hyperlink>
          </w:p>
        </w:tc>
        <w:tc>
          <w:tcPr>
            <w:tcW w:w="60" w:type="dxa"/>
            <w:vAlign w:val="bottom"/>
            <w:gridSpan w:val="2"/>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66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registrant’s Current Report on Form 8-K filed on November 4, 2021, and is hereby</w:t>
              </w:r>
            </w:hyperlink>
          </w:p>
        </w:tc>
        <w:tc>
          <w:tcPr>
            <w:tcW w:w="60" w:type="dxa"/>
            <w:vAlign w:val="bottom"/>
            <w:gridSpan w:val="2"/>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19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incorporated by reference.</w:t>
              </w:r>
            </w:hyperlink>
          </w:p>
        </w:tc>
        <w:tc>
          <w:tcPr>
            <w:tcW w:w="4840" w:type="dxa"/>
            <w:vAlign w:val="bottom"/>
            <w:gridSpan w:val="9"/>
          </w:tcPr>
          <w:p>
            <w:pPr>
              <w:spacing w:after="0"/>
              <w:rPr>
                <w:sz w:val="17"/>
                <w:szCs w:val="17"/>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67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The Amended and Restated Bylaws of the registrant, effective January 25, 2023, was filed as</w:t>
              </w:r>
            </w:hyperlink>
          </w:p>
        </w:tc>
        <w:tc>
          <w:tcPr>
            <w:tcW w:w="4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6740" w:type="dxa"/>
            <w:vAlign w:val="bottom"/>
            <w:gridSpan w:val="10"/>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Exhibit 3.1 to the registrant’s Current Report on Form 8-K filed on January 27, 2023, and is</w:t>
              </w:r>
            </w:hyperlink>
          </w:p>
        </w:tc>
      </w:tr>
      <w:tr>
        <w:trPr>
          <w:trHeight w:val="196"/>
        </w:trPr>
        <w:tc>
          <w:tcPr>
            <w:tcW w:w="1720" w:type="dxa"/>
            <w:vAlign w:val="bottom"/>
          </w:tcPr>
          <w:p>
            <w:pPr>
              <w:spacing w:after="0"/>
              <w:rPr>
                <w:sz w:val="17"/>
                <w:szCs w:val="17"/>
                <w:color w:val="auto"/>
              </w:rPr>
            </w:pPr>
          </w:p>
        </w:tc>
        <w:tc>
          <w:tcPr>
            <w:tcW w:w="66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hereby incorporated by reference</w:t>
              </w:r>
              <w:r>
                <w:rPr>
                  <w:rFonts w:ascii="Times New Roman" w:cs="Times New Roman" w:eastAsia="Times New Roman" w:hAnsi="Times New Roman"/>
                  <w:sz w:val="18"/>
                  <w:szCs w:val="18"/>
                  <w:color w:val="000000"/>
                </w:rPr>
                <w:t>.</w:t>
              </w:r>
            </w:hyperlink>
          </w:p>
        </w:tc>
        <w:tc>
          <w:tcPr>
            <w:tcW w:w="140" w:type="dxa"/>
            <w:vAlign w:val="bottom"/>
            <w:gridSpan w:val="4"/>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67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as required by Section 302 of the Sarbanes-Oxley</w:t>
            </w:r>
          </w:p>
        </w:tc>
      </w:tr>
      <w:tr>
        <w:trPr>
          <w:trHeight w:val="196"/>
        </w:trPr>
        <w:tc>
          <w:tcPr>
            <w:tcW w:w="1720" w:type="dxa"/>
            <w:vAlign w:val="bottom"/>
          </w:tcPr>
          <w:p>
            <w:pPr>
              <w:spacing w:after="0"/>
              <w:rPr>
                <w:sz w:val="17"/>
                <w:szCs w:val="17"/>
                <w:color w:val="auto"/>
              </w:rPr>
            </w:pPr>
          </w:p>
        </w:tc>
        <w:tc>
          <w:tcPr>
            <w:tcW w:w="67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Act of 2002 (filed herewith)</w:t>
            </w:r>
          </w:p>
        </w:tc>
        <w:tc>
          <w:tcPr>
            <w:tcW w:w="4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7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as required by Section 302 of the Sarbanes-Oxley</w:t>
            </w:r>
          </w:p>
        </w:tc>
      </w:tr>
      <w:tr>
        <w:trPr>
          <w:trHeight w:val="196"/>
        </w:trPr>
        <w:tc>
          <w:tcPr>
            <w:tcW w:w="1720" w:type="dxa"/>
            <w:vAlign w:val="bottom"/>
          </w:tcPr>
          <w:p>
            <w:pPr>
              <w:spacing w:after="0"/>
              <w:rPr>
                <w:sz w:val="17"/>
                <w:szCs w:val="17"/>
                <w:color w:val="auto"/>
              </w:rPr>
            </w:pPr>
          </w:p>
        </w:tc>
        <w:tc>
          <w:tcPr>
            <w:tcW w:w="664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Act of 2002 (filed herewith)</w:t>
            </w:r>
          </w:p>
        </w:tc>
        <w:tc>
          <w:tcPr>
            <w:tcW w:w="100" w:type="dxa"/>
            <w:vAlign w:val="bottom"/>
            <w:gridSpan w:val="3"/>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40" w:type="dxa"/>
            <w:vAlign w:val="bottom"/>
            <w:gridSpan w:val="7"/>
          </w:tcPr>
          <w:p>
            <w:pPr>
              <w:spacing w:after="0" w:line="20" w:lineRule="exact"/>
              <w:rPr>
                <w:sz w:val="1"/>
                <w:szCs w:val="1"/>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67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as required by Section 906 of the Sarbanes-Oxley</w:t>
            </w:r>
          </w:p>
        </w:tc>
      </w:tr>
      <w:tr>
        <w:trPr>
          <w:trHeight w:val="196"/>
        </w:trPr>
        <w:tc>
          <w:tcPr>
            <w:tcW w:w="172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2002 (furnished herewith)</w:t>
            </w:r>
          </w:p>
        </w:tc>
        <w:tc>
          <w:tcPr>
            <w:tcW w:w="4300" w:type="dxa"/>
            <w:vAlign w:val="bottom"/>
            <w:tcBorders>
              <w:top w:val="single" w:sz="8" w:color="0000EE"/>
            </w:tcBorders>
            <w:gridSpan w:val="6"/>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67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as required by Section 906 of the Sarbanes-Oxley</w:t>
            </w:r>
          </w:p>
        </w:tc>
      </w:tr>
      <w:tr>
        <w:trPr>
          <w:trHeight w:val="196"/>
        </w:trPr>
        <w:tc>
          <w:tcPr>
            <w:tcW w:w="172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2002 (furnished herewith)</w:t>
            </w:r>
          </w:p>
        </w:tc>
        <w:tc>
          <w:tcPr>
            <w:tcW w:w="4240" w:type="dxa"/>
            <w:vAlign w:val="bottom"/>
            <w:tcBorders>
              <w:top w:val="single" w:sz="8" w:color="0000EE"/>
            </w:tcBorders>
            <w:gridSpan w:val="4"/>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218"/>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101.INS</w:t>
            </w:r>
          </w:p>
        </w:tc>
        <w:tc>
          <w:tcPr>
            <w:tcW w:w="6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on the Interactive Data</w:t>
            </w:r>
          </w:p>
        </w:tc>
      </w:tr>
      <w:tr>
        <w:trPr>
          <w:trHeight w:val="216"/>
        </w:trPr>
        <w:tc>
          <w:tcPr>
            <w:tcW w:w="1720" w:type="dxa"/>
            <w:vAlign w:val="bottom"/>
          </w:tcPr>
          <w:p>
            <w:pPr>
              <w:spacing w:after="0"/>
              <w:rPr>
                <w:sz w:val="18"/>
                <w:szCs w:val="18"/>
                <w:color w:val="auto"/>
              </w:rPr>
            </w:pPr>
          </w:p>
        </w:tc>
        <w:tc>
          <w:tcPr>
            <w:tcW w:w="6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File because its XBRL tags are embedded within the Inline XBRL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101.SCH</w:t>
            </w:r>
          </w:p>
        </w:tc>
        <w:tc>
          <w:tcPr>
            <w:tcW w:w="6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101.CAL</w:t>
            </w:r>
          </w:p>
        </w:tc>
        <w:tc>
          <w:tcPr>
            <w:tcW w:w="6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101.DEF</w:t>
            </w:r>
          </w:p>
        </w:tc>
        <w:tc>
          <w:tcPr>
            <w:tcW w:w="6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101.LAB</w:t>
            </w:r>
          </w:p>
        </w:tc>
        <w:tc>
          <w:tcPr>
            <w:tcW w:w="6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101.PRE</w:t>
            </w:r>
          </w:p>
        </w:tc>
        <w:tc>
          <w:tcPr>
            <w:tcW w:w="6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6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w:t>
            </w:r>
          </w:p>
        </w:tc>
      </w:tr>
      <w:tr>
        <w:trPr>
          <w:trHeight w:val="234"/>
        </w:trPr>
        <w:tc>
          <w:tcPr>
            <w:tcW w:w="1720" w:type="dxa"/>
            <w:vAlign w:val="bottom"/>
          </w:tcPr>
          <w:p>
            <w:pPr>
              <w:spacing w:after="0"/>
              <w:rPr>
                <w:sz w:val="20"/>
                <w:szCs w:val="20"/>
                <w:color w:val="auto"/>
              </w:rPr>
            </w:pPr>
          </w:p>
        </w:tc>
        <w:tc>
          <w:tcPr>
            <w:tcW w:w="6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Interactive Data File because its XBRL tags are embedded within the Inline XBRL document</w:t>
            </w:r>
          </w:p>
        </w:tc>
      </w:tr>
    </w:tbl>
    <w:p>
      <w:pPr>
        <w:spacing w:after="0" w:line="198"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color w:val="auto"/>
        </w:rPr>
        <w:t>Kyndryl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17145</wp:posOffset>
            </wp:positionV>
            <wp:extent cx="27686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7"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February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wp:posOffset>
            </wp:positionV>
            <wp:extent cx="23317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 /s/ Vineet Khurana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5715</wp:posOffset>
            </wp:positionV>
            <wp:extent cx="25888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8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Vineet Khurana</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Senior Vice President and Global Controller</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Accounting Officer and Authorized</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J. Schroeter,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Kyndryl Holdings, Inc.;</w:t>
      </w:r>
    </w:p>
    <w:p>
      <w:pPr>
        <w:spacing w:after="0" w:line="225"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76" w:lineRule="auto"/>
        <w:tabs>
          <w:tab w:leader="none" w:pos="1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380" w:right="160" w:hanging="2"/>
        <w:spacing w:after="0" w:line="266" w:lineRule="auto"/>
        <w:tabs>
          <w:tab w:leader="none" w:pos="56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80" w:right="280" w:hanging="2"/>
        <w:spacing w:after="0" w:line="266" w:lineRule="auto"/>
        <w:tabs>
          <w:tab w:leader="none" w:pos="57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80" w:right="260" w:hanging="2"/>
        <w:spacing w:after="0" w:line="266" w:lineRule="auto"/>
        <w:tabs>
          <w:tab w:leader="none" w:pos="56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380" w:right="20" w:hanging="2"/>
        <w:spacing w:after="0" w:line="266" w:lineRule="auto"/>
        <w:tabs>
          <w:tab w:leader="none" w:pos="57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80" w:right="140" w:hanging="2"/>
        <w:spacing w:after="0" w:line="312" w:lineRule="auto"/>
        <w:tabs>
          <w:tab w:leader="none" w:pos="565"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380" w:right="140" w:hanging="2"/>
        <w:spacing w:after="0" w:line="282" w:lineRule="auto"/>
        <w:tabs>
          <w:tab w:leader="none" w:pos="57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7, 2024</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Martin J. Schroeter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B. Wyshner,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Kyndryl Holdings, Inc.;</w:t>
      </w:r>
    </w:p>
    <w:p>
      <w:pPr>
        <w:spacing w:after="0" w:line="225"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76" w:lineRule="auto"/>
        <w:tabs>
          <w:tab w:leader="none" w:pos="1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380" w:right="160" w:hanging="2"/>
        <w:spacing w:after="0" w:line="266" w:lineRule="auto"/>
        <w:tabs>
          <w:tab w:leader="none" w:pos="56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80" w:right="280" w:hanging="2"/>
        <w:spacing w:after="0" w:line="266" w:lineRule="auto"/>
        <w:tabs>
          <w:tab w:leader="none" w:pos="57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80" w:right="260" w:hanging="2"/>
        <w:spacing w:after="0" w:line="266" w:lineRule="auto"/>
        <w:tabs>
          <w:tab w:leader="none" w:pos="56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380" w:right="20" w:hanging="2"/>
        <w:spacing w:after="0" w:line="266" w:lineRule="auto"/>
        <w:tabs>
          <w:tab w:leader="none" w:pos="57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80" w:right="140" w:hanging="2"/>
        <w:spacing w:after="0" w:line="312" w:lineRule="auto"/>
        <w:tabs>
          <w:tab w:leader="none" w:pos="565"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380" w:right="140" w:hanging="2"/>
        <w:spacing w:after="0" w:line="282" w:lineRule="auto"/>
        <w:tabs>
          <w:tab w:leader="none" w:pos="57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7, 2024</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David B. Wyshner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Kyndryl Holdings, Inc. (the “Company”) on Form 10-Q for the quarterly period ended December 31, 2023, as filed with the Securities and Exchange Commission on the date hereof (the “Report”), I, Martin J. Schroeter, Chairman and Chief Executive Officer of the Company, do hereby certify, pursuant to 18 U.S.C. Section 1350, as adopted pursuant to Section 906 of the Sarbanes-Oxley Act of 2002, that:</w:t>
      </w:r>
    </w:p>
    <w:p>
      <w:pPr>
        <w:spacing w:after="0" w:line="180"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7, 2024</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Martin J. Schroeter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Kyndryl Holdings, Inc. (the “Company”) on Form 10-Q for the quarterly period ended December 31, 2023, as filed with the Securities and Exchange Commission on the date hereof (the “Report”), I, David B. Wyshner, Chief Financial Officer of the Company, do hereby certify, pursuant to 18 U.S.C. Section 1350, as adopted pursuant to Section 906 of the Sarbanes-Oxley Act of 2002, that:</w:t>
      </w:r>
    </w:p>
    <w:p>
      <w:pPr>
        <w:spacing w:after="0" w:line="180"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7, 2024</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David B. Wyshner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56" Type="http://schemas.openxmlformats.org/officeDocument/2006/relationships/hyperlink" Target="https://www.sec.gov/Archives/edgar/data/1867072/000110465921134456/tm2131654d1_ex2-1.htm" TargetMode="External"/><Relationship Id="rId57" Type="http://schemas.openxmlformats.org/officeDocument/2006/relationships/hyperlink" Target="https://www.sec.gov/Archives/edgar/data/1867072/000110465921134456/tm2131654d1_ex3-1.htm" TargetMode="External"/><Relationship Id="rId58" Type="http://schemas.openxmlformats.org/officeDocument/2006/relationships/hyperlink" Target="https://www.sec.gov/Archives/edgar/data/1867072/000155837023000663/kd-20230125x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2024-02-07T15:51:34Z</dcterms:created>
  <dcterms:modified xsi:type="dcterms:W3CDTF">2024-02-07T15:51:34Z</dcterms:modified>
</cp:coreProperties>
</file>