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0002112456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5"/>
        <w:gridCol w:w="4070"/>
      </w:tblGrid>
      <w:tr>
        <w:trPr/>
        <w:tc>
          <w:tcPr>
            <w:tcW w:w="6135" w:type="dxa"/>
            <w:tcBorders/>
            <w:vAlign w:val="center"/>
          </w:tcPr>
          <w:p>
            <w:pPr>
              <w:pStyle w:val="TableContents"/>
              <w:bidi w:val="0"/>
              <w:spacing w:before="0" w:after="283"/>
              <w:jc w:val="left"/>
              <w:rPr/>
            </w:pPr>
            <w:r>
              <w:rPr/>
              <w:t>Name of Issuer</w:t>
            </w:r>
          </w:p>
        </w:tc>
        <w:tc>
          <w:tcPr>
            <w:tcW w:w="4070" w:type="dxa"/>
            <w:tcBorders/>
            <w:vAlign w:val="center"/>
          </w:tcPr>
          <w:p>
            <w:pPr>
              <w:pStyle w:val="TableContents"/>
              <w:bidi w:val="0"/>
              <w:spacing w:before="0" w:after="0"/>
              <w:jc w:val="left"/>
              <w:rPr/>
            </w:pPr>
            <w:r>
              <w:rPr/>
              <w:t>Kyndryl Holdings, Inc.</w:t>
            </w:r>
          </w:p>
        </w:tc>
      </w:tr>
      <w:tr>
        <w:trPr/>
        <w:tc>
          <w:tcPr>
            <w:tcW w:w="6135" w:type="dxa"/>
            <w:tcBorders/>
            <w:vAlign w:val="center"/>
          </w:tcPr>
          <w:p>
            <w:pPr>
              <w:pStyle w:val="TableContents"/>
              <w:bidi w:val="0"/>
              <w:spacing w:before="0" w:after="283"/>
              <w:jc w:val="left"/>
              <w:rPr/>
            </w:pPr>
            <w:r>
              <w:rPr/>
              <w:t>SEC File Number</w:t>
            </w:r>
          </w:p>
        </w:tc>
        <w:tc>
          <w:tcPr>
            <w:tcW w:w="4070" w:type="dxa"/>
            <w:tcBorders/>
            <w:vAlign w:val="center"/>
          </w:tcPr>
          <w:p>
            <w:pPr>
              <w:pStyle w:val="TableContents"/>
              <w:bidi w:val="0"/>
              <w:spacing w:before="0" w:after="0"/>
              <w:jc w:val="left"/>
              <w:rPr/>
            </w:pPr>
            <w:r>
              <w:rPr/>
              <w:t>001-40853</w:t>
            </w:r>
          </w:p>
        </w:tc>
      </w:tr>
      <w:tr>
        <w:trPr/>
        <w:tc>
          <w:tcPr>
            <w:tcW w:w="6135" w:type="dxa"/>
            <w:tcBorders/>
            <w:vAlign w:val="center"/>
          </w:tcPr>
          <w:p>
            <w:pPr>
              <w:pStyle w:val="TableContents"/>
              <w:bidi w:val="0"/>
              <w:spacing w:before="0" w:after="283"/>
              <w:jc w:val="left"/>
              <w:rPr/>
            </w:pPr>
            <w:r>
              <w:rPr/>
              <w:t>Address of Issuer</w:t>
            </w:r>
          </w:p>
        </w:tc>
        <w:tc>
          <w:tcPr>
            <w:tcW w:w="4070" w:type="dxa"/>
            <w:tcBorders/>
            <w:vAlign w:val="center"/>
          </w:tcPr>
          <w:p>
            <w:pPr>
              <w:pStyle w:val="TableContents"/>
              <w:bidi w:val="0"/>
              <w:spacing w:before="0" w:after="0"/>
              <w:jc w:val="left"/>
              <w:rPr/>
            </w:pPr>
            <w:r>
              <w:rPr/>
              <w:t>ONE VANDERBILT AVENUE</w:t>
              <w:br/>
              <w:t>15TH FLOOR</w:t>
              <w:br/>
              <w:t>NEW YORK</w:t>
              <w:br/>
              <w:t xml:space="preserve">NEW YORK </w:t>
              <w:br/>
              <w:t>10017</w:t>
            </w:r>
          </w:p>
        </w:tc>
      </w:tr>
      <w:tr>
        <w:trPr/>
        <w:tc>
          <w:tcPr>
            <w:tcW w:w="6135" w:type="dxa"/>
            <w:tcBorders/>
            <w:vAlign w:val="center"/>
          </w:tcPr>
          <w:p>
            <w:pPr>
              <w:pStyle w:val="TableContents"/>
              <w:bidi w:val="0"/>
              <w:spacing w:before="0" w:after="283"/>
              <w:jc w:val="left"/>
              <w:rPr/>
            </w:pPr>
            <w:r>
              <w:rPr/>
              <w:t>Phone</w:t>
            </w:r>
          </w:p>
        </w:tc>
        <w:tc>
          <w:tcPr>
            <w:tcW w:w="4070" w:type="dxa"/>
            <w:tcBorders/>
            <w:vAlign w:val="center"/>
          </w:tcPr>
          <w:p>
            <w:pPr>
              <w:pStyle w:val="TableContents"/>
              <w:bidi w:val="0"/>
              <w:spacing w:before="0" w:after="0"/>
              <w:jc w:val="left"/>
              <w:rPr/>
            </w:pPr>
            <w:r>
              <w:rPr/>
              <w:t>(855) 596-3795</w:t>
            </w:r>
          </w:p>
        </w:tc>
      </w:tr>
      <w:tr>
        <w:trPr/>
        <w:tc>
          <w:tcPr>
            <w:tcW w:w="6135" w:type="dxa"/>
            <w:tcBorders/>
            <w:vAlign w:val="center"/>
          </w:tcPr>
          <w:p>
            <w:pPr>
              <w:pStyle w:val="TableContents"/>
              <w:bidi w:val="0"/>
              <w:spacing w:before="0" w:after="283"/>
              <w:jc w:val="left"/>
              <w:rPr/>
            </w:pPr>
            <w:r>
              <w:rPr/>
              <w:t>Name of Person for Whose Account the Securities are To Be Sold</w:t>
            </w:r>
          </w:p>
        </w:tc>
        <w:tc>
          <w:tcPr>
            <w:tcW w:w="4070" w:type="dxa"/>
            <w:tcBorders/>
            <w:vAlign w:val="center"/>
          </w:tcPr>
          <w:p>
            <w:pPr>
              <w:pStyle w:val="TableContents"/>
              <w:bidi w:val="0"/>
              <w:spacing w:before="0" w:after="0"/>
              <w:jc w:val="left"/>
              <w:rPr/>
            </w:pPr>
            <w:r>
              <w:rPr/>
              <w:t>Chugh Harsh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5" w:type="dxa"/>
            <w:tcBorders/>
            <w:vAlign w:val="center"/>
          </w:tcPr>
          <w:p>
            <w:pPr>
              <w:pStyle w:val="TableContents"/>
              <w:bidi w:val="0"/>
              <w:spacing w:before="0" w:after="283"/>
              <w:jc w:val="left"/>
              <w:rPr/>
            </w:pPr>
            <w:r>
              <w:rPr/>
              <w:t>Relationship to Issuer</w:t>
            </w:r>
          </w:p>
        </w:tc>
        <w:tc>
          <w:tcPr>
            <w:tcW w:w="40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40128</w:t>
            </w:r>
          </w:p>
        </w:tc>
        <w:tc>
          <w:tcPr>
            <w:tcW w:w="1380" w:type="dxa"/>
            <w:tcBorders/>
            <w:vAlign w:val="center"/>
          </w:tcPr>
          <w:p>
            <w:pPr>
              <w:pStyle w:val="TableContents"/>
              <w:bidi w:val="0"/>
              <w:spacing w:before="0" w:after="283"/>
              <w:jc w:val="left"/>
              <w:rPr/>
            </w:pPr>
            <w:r>
              <w:rPr/>
              <w:t>509272.22</w:t>
            </w:r>
          </w:p>
        </w:tc>
        <w:tc>
          <w:tcPr>
            <w:tcW w:w="1555" w:type="dxa"/>
            <w:tcBorders/>
            <w:vAlign w:val="center"/>
          </w:tcPr>
          <w:p>
            <w:pPr>
              <w:pStyle w:val="TableContents"/>
              <w:bidi w:val="0"/>
              <w:spacing w:before="0" w:after="283"/>
              <w:jc w:val="left"/>
              <w:rPr/>
            </w:pPr>
            <w:r>
              <w:rPr/>
              <w:t>217818263</w:t>
            </w:r>
          </w:p>
        </w:tc>
        <w:tc>
          <w:tcPr>
            <w:tcW w:w="1569" w:type="dxa"/>
            <w:tcBorders/>
            <w:vAlign w:val="center"/>
          </w:tcPr>
          <w:p>
            <w:pPr>
              <w:pStyle w:val="TableContents"/>
              <w:bidi w:val="0"/>
              <w:spacing w:before="0" w:after="283"/>
              <w:jc w:val="left"/>
              <w:rPr/>
            </w:pPr>
            <w:r>
              <w:rPr/>
              <w:t>08/12/2026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2110</w:t>
            </w:r>
          </w:p>
        </w:tc>
        <w:tc>
          <w:tcPr>
            <w:tcW w:w="1046" w:type="dxa"/>
            <w:tcBorders/>
            <w:vAlign w:val="center"/>
          </w:tcPr>
          <w:p>
            <w:pPr>
              <w:pStyle w:val="TableContents"/>
              <w:bidi w:val="0"/>
              <w:spacing w:before="0" w:after="283"/>
              <w:jc w:val="left"/>
              <w:rPr/>
            </w:pPr>
            <w:r>
              <w:rPr/>
              <w:t>12/16/2025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30801</w:t>
            </w:r>
          </w:p>
        </w:tc>
        <w:tc>
          <w:tcPr>
            <w:tcW w:w="1046" w:type="dxa"/>
            <w:tcBorders/>
            <w:vAlign w:val="center"/>
          </w:tcPr>
          <w:p>
            <w:pPr>
              <w:pStyle w:val="TableContents"/>
              <w:bidi w:val="0"/>
              <w:spacing w:before="0" w:after="283"/>
              <w:jc w:val="left"/>
              <w:rPr/>
            </w:pPr>
            <w:r>
              <w:rPr/>
              <w:t>05/30/2026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1782</w:t>
            </w:r>
          </w:p>
        </w:tc>
        <w:tc>
          <w:tcPr>
            <w:tcW w:w="1046" w:type="dxa"/>
            <w:tcBorders/>
            <w:vAlign w:val="center"/>
          </w:tcPr>
          <w:p>
            <w:pPr>
              <w:pStyle w:val="TableContents"/>
              <w:bidi w:val="0"/>
              <w:spacing w:before="0" w:after="283"/>
              <w:jc w:val="left"/>
              <w:rPr/>
            </w:pPr>
            <w:r>
              <w:rPr/>
              <w:t>06/02/2026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1002</w:t>
            </w:r>
          </w:p>
        </w:tc>
        <w:tc>
          <w:tcPr>
            <w:tcW w:w="1046" w:type="dxa"/>
            <w:tcBorders/>
            <w:vAlign w:val="center"/>
          </w:tcPr>
          <w:p>
            <w:pPr>
              <w:pStyle w:val="TableContents"/>
              <w:bidi w:val="0"/>
              <w:spacing w:before="0" w:after="283"/>
              <w:jc w:val="left"/>
              <w:rPr/>
            </w:pPr>
            <w:r>
              <w:rPr/>
              <w:t>06/03/2026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4433</w:t>
            </w:r>
          </w:p>
        </w:tc>
        <w:tc>
          <w:tcPr>
            <w:tcW w:w="1046" w:type="dxa"/>
            <w:tcBorders/>
            <w:vAlign w:val="center"/>
          </w:tcPr>
          <w:p>
            <w:pPr>
              <w:pStyle w:val="TableContents"/>
              <w:bidi w:val="0"/>
              <w:spacing w:before="0" w:after="283"/>
              <w:jc w:val="left"/>
              <w:rPr/>
            </w:pPr>
            <w:r>
              <w:rPr/>
              <w:t>08/01/2026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Jennifer Ruchti, as a duly authorized representative of Fidelity Brokerage Services LLC, as attorney-in-fact for Harsh V. Chugh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3269</Characters>
  <CharactersWithSpaces>3812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