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408940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ind w:left="2120" w:hanging="200"/>
        <w:spacing w:after="0"/>
        <w:tabs>
          <w:tab w:leader="none" w:pos="21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221" w:lineRule="exact"/>
        <w:rPr>
          <w:sz w:val="24"/>
          <w:szCs w:val="24"/>
          <w:color w:val="auto"/>
        </w:rPr>
      </w:pPr>
    </w:p>
    <w:p>
      <w:pPr>
        <w:ind w:left="2120" w:hanging="210"/>
        <w:spacing w:after="0"/>
        <w:tabs>
          <w:tab w:leader="none" w:pos="2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001-40853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8"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715"/>
              <w:spacing w:after="0"/>
              <w:rPr>
                <w:sz w:val="20"/>
                <w:szCs w:val="20"/>
                <w:color w:val="auto"/>
              </w:rPr>
            </w:pPr>
            <w:r>
              <w:rPr>
                <w:rFonts w:ascii="Arial" w:cs="Arial" w:eastAsia="Arial" w:hAnsi="Arial"/>
                <w:sz w:val="18"/>
                <w:szCs w:val="18"/>
                <w:b w:val="1"/>
                <w:bCs w:val="1"/>
                <w:color w:val="auto"/>
              </w:rPr>
              <w:t>86-1185492</w:t>
            </w:r>
          </w:p>
        </w:tc>
      </w:tr>
      <w:tr>
        <w:trPr>
          <w:trHeight w:val="206"/>
        </w:trPr>
        <w:tc>
          <w:tcPr>
            <w:tcW w:w="4560" w:type="dxa"/>
            <w:vAlign w:val="bottom"/>
          </w:tcPr>
          <w:p>
            <w:pPr>
              <w:jc w:val="center"/>
              <w:ind w:right="61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140" w:type="dxa"/>
            <w:vAlign w:val="bottom"/>
          </w:tcPr>
          <w:p>
            <w:pPr>
              <w:jc w:val="center"/>
              <w:ind w:left="615"/>
              <w:spacing w:after="0"/>
              <w:rPr>
                <w:sz w:val="20"/>
                <w:szCs w:val="20"/>
                <w:color w:val="auto"/>
              </w:rPr>
            </w:pPr>
            <w:r>
              <w:rPr>
                <w:rFonts w:ascii="Arial" w:cs="Arial" w:eastAsia="Arial" w:hAnsi="Arial"/>
                <w:sz w:val="16"/>
                <w:szCs w:val="16"/>
                <w:color w:val="auto"/>
                <w:w w:val="93"/>
              </w:rPr>
              <w:t>(IRS employer identification number)</w:t>
            </w:r>
          </w:p>
        </w:tc>
      </w:tr>
      <w:tr>
        <w:trPr>
          <w:trHeight w:val="420"/>
        </w:trPr>
        <w:tc>
          <w:tcPr>
            <w:tcW w:w="4560" w:type="dxa"/>
            <w:vAlign w:val="bottom"/>
          </w:tcPr>
          <w:p>
            <w:pPr>
              <w:jc w:val="center"/>
              <w:ind w:right="594"/>
              <w:spacing w:after="0"/>
              <w:rPr>
                <w:sz w:val="20"/>
                <w:szCs w:val="20"/>
                <w:color w:val="auto"/>
              </w:rPr>
            </w:pPr>
            <w:r>
              <w:rPr>
                <w:rFonts w:ascii="Arial" w:cs="Arial" w:eastAsia="Arial" w:hAnsi="Arial"/>
                <w:sz w:val="18"/>
                <w:szCs w:val="18"/>
                <w:b w:val="1"/>
                <w:bCs w:val="1"/>
                <w:color w:val="auto"/>
                <w:w w:val="90"/>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Arial" w:cs="Arial" w:eastAsia="Arial" w:hAnsi="Arial"/>
                <w:sz w:val="18"/>
                <w:szCs w:val="18"/>
                <w:b w:val="1"/>
                <w:bCs w:val="1"/>
                <w:color w:val="auto"/>
                <w:w w:val="93"/>
              </w:rPr>
              <w:t>New York, New York</w:t>
            </w:r>
          </w:p>
        </w:tc>
        <w:tc>
          <w:tcPr>
            <w:tcW w:w="3140" w:type="dxa"/>
            <w:vAlign w:val="bottom"/>
          </w:tcPr>
          <w:p>
            <w:pPr>
              <w:jc w:val="right"/>
              <w:ind w:right="915"/>
              <w:spacing w:after="0"/>
              <w:rPr>
                <w:sz w:val="20"/>
                <w:szCs w:val="20"/>
                <w:color w:val="auto"/>
              </w:rPr>
            </w:pPr>
            <w:r>
              <w:rPr>
                <w:rFonts w:ascii="Arial" w:cs="Arial" w:eastAsia="Arial" w:hAnsi="Arial"/>
                <w:sz w:val="18"/>
                <w:szCs w:val="18"/>
                <w:b w:val="1"/>
                <w:bCs w:val="1"/>
                <w:color w:val="auto"/>
              </w:rPr>
              <w:t>10017</w:t>
            </w:r>
          </w:p>
        </w:tc>
      </w:tr>
      <w:tr>
        <w:trPr>
          <w:trHeight w:val="206"/>
        </w:trPr>
        <w:tc>
          <w:tcPr>
            <w:tcW w:w="4560" w:type="dxa"/>
            <w:vAlign w:val="bottom"/>
          </w:tcPr>
          <w:p>
            <w:pPr>
              <w:jc w:val="center"/>
              <w:ind w:right="614"/>
              <w:spacing w:after="0"/>
              <w:rPr>
                <w:sz w:val="20"/>
                <w:szCs w:val="20"/>
                <w:color w:val="auto"/>
              </w:rPr>
            </w:pPr>
            <w:r>
              <w:rPr>
                <w:rFonts w:ascii="Arial" w:cs="Arial" w:eastAsia="Arial" w:hAnsi="Arial"/>
                <w:sz w:val="16"/>
                <w:szCs w:val="16"/>
                <w:color w:val="auto"/>
                <w:w w:val="94"/>
              </w:rPr>
              <w:t>(Address of principal executive offices)</w:t>
            </w:r>
          </w:p>
        </w:tc>
        <w:tc>
          <w:tcPr>
            <w:tcW w:w="3140" w:type="dxa"/>
            <w:vAlign w:val="bottom"/>
          </w:tcPr>
          <w:p>
            <w:pPr>
              <w:jc w:val="center"/>
              <w:ind w:left="615"/>
              <w:spacing w:after="0"/>
              <w:rPr>
                <w:sz w:val="20"/>
                <w:szCs w:val="20"/>
                <w:color w:val="auto"/>
              </w:rPr>
            </w:pPr>
            <w:r>
              <w:rPr>
                <w:rFonts w:ascii="Arial" w:cs="Arial" w:eastAsia="Arial" w:hAnsi="Arial"/>
                <w:sz w:val="16"/>
                <w:szCs w:val="16"/>
                <w:color w:val="auto"/>
                <w:w w:val="95"/>
              </w:rPr>
              <w:t>(Zip Code)</w:t>
            </w:r>
          </w:p>
        </w:tc>
      </w:tr>
    </w:tbl>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212-896-2098</w:t>
      </w:r>
    </w:p>
    <w:p>
      <w:pPr>
        <w:spacing w:after="0" w:line="27" w:lineRule="exact"/>
        <w:rPr>
          <w:sz w:val="24"/>
          <w:szCs w:val="24"/>
          <w:color w:val="auto"/>
        </w:rPr>
      </w:pPr>
    </w:p>
    <w:p>
      <w:pPr>
        <w:ind w:left="2780"/>
        <w:spacing w:after="0"/>
        <w:rPr>
          <w:sz w:val="20"/>
          <w:szCs w:val="20"/>
          <w:color w:val="auto"/>
        </w:rPr>
      </w:pPr>
      <w:r>
        <w:rPr>
          <w:rFonts w:ascii="Arial" w:cs="Arial" w:eastAsia="Arial" w:hAnsi="Arial"/>
          <w:sz w:val="16"/>
          <w:szCs w:val="16"/>
          <w:color w:val="auto"/>
        </w:rPr>
        <w:t>(Registrant’s telephone number, including area code)</w:t>
      </w:r>
    </w:p>
    <w:p>
      <w:pPr>
        <w:spacing w:after="0" w:line="126"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80" w:type="dxa"/>
            <w:vAlign w:val="bottom"/>
          </w:tcPr>
          <w:p>
            <w:pPr>
              <w:spacing w:after="0"/>
              <w:rPr>
                <w:sz w:val="14"/>
                <w:szCs w:val="14"/>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w w:val="94"/>
              </w:rPr>
              <w:t>Common stock, par value $0.01 per share</w:t>
            </w:r>
          </w:p>
        </w:tc>
        <w:tc>
          <w:tcPr>
            <w:tcW w:w="18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KD</w:t>
            </w: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60" w:right="199" w:firstLine="648"/>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left="60" w:right="99" w:firstLine="648"/>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left="60" w:right="159"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225" w:lineRule="exact"/>
        <w:rPr>
          <w:sz w:val="24"/>
          <w:szCs w:val="24"/>
          <w:color w:val="auto"/>
        </w:rPr>
      </w:pPr>
    </w:p>
    <w:p>
      <w:pPr>
        <w:ind w:left="14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4" w:lineRule="exact"/>
        <w:rPr>
          <w:sz w:val="24"/>
          <w:szCs w:val="24"/>
          <w:color w:val="auto"/>
        </w:rPr>
      </w:pPr>
    </w:p>
    <w:p>
      <w:pPr>
        <w:ind w:left="150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19"/>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right="1319"/>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jc w:val="center"/>
        <w:ind w:right="1319"/>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2">
            <w:col w:w="5040" w:space="720"/>
            <w:col w:w="3259"/>
          </w:cols>
          <w:pgMar w:left="1440" w:top="665" w:right="1440" w:bottom="1440" w:gutter="0" w:footer="0" w:header="0"/>
          <w:type w:val="continuous"/>
        </w:sectPr>
      </w:pPr>
    </w:p>
    <w:p>
      <w:pPr>
        <w:ind w:left="60" w:right="239" w:firstLine="648"/>
        <w:spacing w:after="0" w:line="21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0" w:right="1319" w:firstLine="648"/>
        <w:spacing w:after="0" w:line="20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60" w:right="659" w:firstLine="648"/>
        <w:spacing w:after="0" w:line="275" w:lineRule="auto"/>
        <w:rPr>
          <w:sz w:val="20"/>
          <w:szCs w:val="20"/>
          <w:color w:val="auto"/>
        </w:rPr>
      </w:pPr>
      <w:r>
        <w:rPr>
          <w:rFonts w:ascii="Arial" w:cs="Arial" w:eastAsia="Arial" w:hAnsi="Arial"/>
          <w:sz w:val="16"/>
          <w:szCs w:val="16"/>
          <w:color w:val="auto"/>
        </w:rPr>
        <w:t>The number of shares of the registrant’s Common Stock, par value $0.01 per share, outstanding at August 1, 2023 was 228,892,066.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60" w:type="dxa"/>
            <w:vAlign w:val="bottom"/>
            <w:gridSpan w:val="8"/>
            <w:vMerge w:val="restart"/>
          </w:tcPr>
          <w:p>
            <w:pPr>
              <w:spacing w:after="0"/>
              <w:rPr>
                <w:sz w:val="20"/>
                <w:szCs w:val="20"/>
                <w:color w:val="auto"/>
              </w:rPr>
            </w:pPr>
            <w:r>
              <w:rPr>
                <w:rFonts w:ascii="Arial" w:cs="Arial" w:eastAsia="Arial" w:hAnsi="Arial"/>
                <w:sz w:val="18"/>
                <w:szCs w:val="18"/>
                <w:b w:val="1"/>
                <w:bCs w:val="1"/>
                <w:color w:val="0000EE"/>
                <w:w w:val="93"/>
              </w:rPr>
              <w:t>Part I - Financial Information:</w:t>
            </w:r>
          </w:p>
        </w:tc>
        <w:tc>
          <w:tcPr>
            <w:tcW w:w="6220" w:type="dxa"/>
            <w:vAlign w:val="bottom"/>
            <w:gridSpan w:val="13"/>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0000EE"/>
            </w:tcBorders>
            <w:gridSpan w:val="8"/>
            <w:vMerge w:val="continue"/>
          </w:tcPr>
          <w:p>
            <w:pPr>
              <w:spacing w:after="0"/>
              <w:rPr>
                <w:sz w:val="14"/>
                <w:szCs w:val="14"/>
                <w:color w:val="auto"/>
              </w:rPr>
            </w:pPr>
          </w:p>
        </w:tc>
        <w:tc>
          <w:tcPr>
            <w:tcW w:w="6220" w:type="dxa"/>
            <w:vAlign w:val="bottom"/>
            <w:gridSpan w:val="13"/>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Arial" w:cs="Arial" w:eastAsia="Arial" w:hAnsi="Arial"/>
                <w:sz w:val="18"/>
                <w:szCs w:val="18"/>
                <w:b w:val="1"/>
                <w:bCs w:val="1"/>
                <w:color w:val="0000EE"/>
              </w:rPr>
              <w:t>Item 1. Consolidated Financial Statements (Unaudited):</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Consolidated Income Statement for the three months ended June 30, 2023 and 2022</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Consolidated Statement of Comprehensive Income (Loss) for the three months ended June 30, 2023 and 2022</w:t>
            </w:r>
          </w:p>
        </w:tc>
        <w:tc>
          <w:tcPr>
            <w:tcW w:w="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Consolidated Balance Sheet at June 30, 2023 and March 31, 2023</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Consolidated Statement of Cash Flows for the three months ended June 30, 2023 and 2022</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89"/>
              </w:rPr>
              <w:t>Consolidated Statement of Equity for the three months ended June 30, 2023 and 2022</w:t>
            </w:r>
          </w:p>
        </w:tc>
        <w:tc>
          <w:tcPr>
            <w:tcW w:w="360" w:type="dxa"/>
            <w:vAlign w:val="bottom"/>
            <w:tcBorders>
              <w:top w:val="single" w:sz="8" w:color="0000EE"/>
            </w:tcBorders>
          </w:tcPr>
          <w:p>
            <w:pPr>
              <w:spacing w:after="0"/>
              <w:rPr>
                <w:sz w:val="24"/>
                <w:szCs w:val="24"/>
                <w:color w:val="auto"/>
              </w:rPr>
            </w:pPr>
          </w:p>
        </w:tc>
        <w:tc>
          <w:tcPr>
            <w:tcW w:w="17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508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4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89"/>
              </w:rPr>
              <w:t>Item 2. Management’s Discussion and Analysis of Financial Condition and Results of Operations</w:t>
            </w:r>
          </w:p>
        </w:tc>
        <w:tc>
          <w:tcPr>
            <w:tcW w:w="100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1"/>
              </w:rPr>
              <w:t>Item 3. Quantitative and Qualitative Disclosures About Market Risk</w:t>
            </w:r>
          </w:p>
        </w:tc>
        <w:tc>
          <w:tcPr>
            <w:tcW w:w="31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Arial" w:cs="Arial" w:eastAsia="Arial" w:hAnsi="Arial"/>
                <w:sz w:val="18"/>
                <w:szCs w:val="18"/>
                <w:b w:val="1"/>
                <w:bCs w:val="1"/>
                <w:color w:val="0000EE"/>
              </w:rPr>
              <w:t>Item 4. Controls and Procedures</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6"/>
              </w:rPr>
              <w:t>Part II - Other Information:</w:t>
            </w:r>
          </w:p>
        </w:tc>
        <w:tc>
          <w:tcPr>
            <w:tcW w:w="640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88"/>
              </w:rPr>
              <w:t>Item 1. Legal Proceedings</w:t>
            </w:r>
          </w:p>
        </w:tc>
        <w:tc>
          <w:tcPr>
            <w:tcW w:w="64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0"/>
              </w:rPr>
              <w:t>Item 1A. Risk Factors</w:t>
            </w:r>
          </w:p>
        </w:tc>
        <w:tc>
          <w:tcPr>
            <w:tcW w:w="67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Arial" w:cs="Arial" w:eastAsia="Arial" w:hAnsi="Arial"/>
                <w:sz w:val="18"/>
                <w:szCs w:val="18"/>
                <w:b w:val="1"/>
                <w:bCs w:val="1"/>
                <w:color w:val="0000EE"/>
                <w:w w:val="91"/>
              </w:rPr>
              <w:t>Item 2. Unregistered Sales of Equity Securities, Use of Proceeds, and Issuer Purchases of Equity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89"/>
              </w:rPr>
              <w:t>Item 3. Defaults Upon Senior Securities</w:t>
            </w:r>
          </w:p>
        </w:tc>
        <w:tc>
          <w:tcPr>
            <w:tcW w:w="5100" w:type="dxa"/>
            <w:vAlign w:val="bottom"/>
            <w:tcBorders>
              <w:top w:val="single" w:sz="8" w:color="0000EE"/>
            </w:tcBorders>
            <w:gridSpan w:val="10"/>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4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0"/>
              </w:rPr>
              <w:t>Item 4. Mine Safety Disclosures</w:t>
            </w:r>
          </w:p>
        </w:tc>
        <w:tc>
          <w:tcPr>
            <w:tcW w:w="592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3"/>
              </w:rPr>
              <w:t>Item 5. Other Information</w:t>
            </w:r>
          </w:p>
        </w:tc>
        <w:tc>
          <w:tcPr>
            <w:tcW w:w="638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0"/>
              </w:rPr>
              <w:t>Item 6. Exhibits</w:t>
            </w:r>
          </w:p>
        </w:tc>
        <w:tc>
          <w:tcPr>
            <w:tcW w:w="718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INCOME STATEMENT</w:t>
      </w:r>
    </w:p>
    <w:p>
      <w:pPr>
        <w:jc w:val="center"/>
        <w:ind w:right="19"/>
        <w:spacing w:after="0" w:line="224" w:lineRule="auto"/>
        <w:rPr>
          <w:sz w:val="20"/>
          <w:szCs w:val="20"/>
          <w:color w:val="auto"/>
        </w:rPr>
      </w:pPr>
      <w:r>
        <w:rPr>
          <w:rFonts w:ascii="Arial" w:cs="Arial" w:eastAsia="Arial" w:hAnsi="Arial"/>
          <w:sz w:val="14"/>
          <w:szCs w:val="14"/>
          <w:b w:val="1"/>
          <w:bCs w:val="1"/>
          <w:color w:val="auto"/>
        </w:rPr>
        <w:t>(In millions,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2"/>
                <w:szCs w:val="12"/>
                <w:color w:val="auto"/>
              </w:rPr>
            </w:pPr>
          </w:p>
        </w:tc>
      </w:tr>
      <w:tr>
        <w:trPr>
          <w:trHeight w:val="209"/>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4,193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16"/>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w:t>
            </w:r>
          </w:p>
        </w:tc>
        <w:tc>
          <w:tcPr>
            <w:tcW w:w="1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3,449</w:t>
            </w:r>
          </w:p>
        </w:tc>
        <w:tc>
          <w:tcPr>
            <w:tcW w:w="12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Workforce rebalancing charges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Transaction-related costs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4,302</w:t>
            </w:r>
          </w:p>
        </w:tc>
        <w:tc>
          <w:tcPr>
            <w:tcW w:w="12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r>
      <w:tr>
        <w:trPr>
          <w:trHeight w:val="223"/>
        </w:trPr>
        <w:tc>
          <w:tcPr>
            <w:tcW w:w="5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2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(0.62)</w:t>
            </w:r>
          </w:p>
        </w:tc>
        <w:tc>
          <w:tcPr>
            <w:tcW w:w="12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basic shares 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227.9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r>
    </w:tbl>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Including related-party revenue of $205 for the three months ended June 30, 2022</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Including related-party cost of services of $961 for the three months ended June 30, 2022</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 (LOSS)</w:t>
      </w:r>
    </w:p>
    <w:p>
      <w:pPr>
        <w:jc w:val="center"/>
        <w:ind w:right="19"/>
        <w:spacing w:after="0" w:line="224" w:lineRule="auto"/>
        <w:rPr>
          <w:sz w:val="20"/>
          <w:szCs w:val="20"/>
          <w:color w:val="auto"/>
        </w:rPr>
      </w:pPr>
      <w:r>
        <w:rPr>
          <w:rFonts w:ascii="Arial" w:cs="Arial" w:eastAsia="Arial" w:hAnsi="Arial"/>
          <w:sz w:val="14"/>
          <w:szCs w:val="14"/>
          <w:b w:val="1"/>
          <w:bCs w:val="1"/>
          <w:color w:val="auto"/>
        </w:rPr>
        <w:t>(Dollars in millions)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before tax:</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(267)</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Unrealized gains (losses) on cash flow hedges: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gains (losses) arising during the period</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Reclassification of (gains) losses to net income</w:t>
            </w:r>
          </w:p>
        </w:tc>
        <w:tc>
          <w:tcPr>
            <w:tcW w:w="7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unrealized gains (losses) on cash flow hedges</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Retirement-related benefit plans – amortization of net (gains) losses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before tax</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(263)</w:t>
            </w:r>
          </w:p>
        </w:tc>
        <w:tc>
          <w:tcPr>
            <w:tcW w:w="0" w:type="dxa"/>
            <w:vAlign w:val="bottom"/>
          </w:tcPr>
          <w:p>
            <w:pPr>
              <w:spacing w:after="0"/>
              <w:rPr>
                <w:sz w:val="1"/>
                <w:szCs w:val="1"/>
                <w:color w:val="auto"/>
              </w:rPr>
            </w:pPr>
          </w:p>
        </w:tc>
      </w:tr>
      <w:tr>
        <w:trPr>
          <w:trHeight w:val="198"/>
        </w:trPr>
        <w:tc>
          <w:tcPr>
            <w:tcW w:w="6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4"/>
              </w:rPr>
              <w:t>Income tax (expense) benefit related to items of other comprehensive income</w:t>
            </w:r>
          </w:p>
        </w:tc>
        <w:tc>
          <w:tcPr>
            <w:tcW w:w="7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(141)</w:t>
            </w:r>
          </w:p>
        </w:tc>
        <w:tc>
          <w:tcPr>
            <w:tcW w:w="10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(514)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24" w:lineRule="auto"/>
        <w:rPr>
          <w:sz w:val="20"/>
          <w:szCs w:val="20"/>
          <w:color w:val="auto"/>
        </w:rPr>
      </w:pPr>
      <w:r>
        <w:rPr>
          <w:rFonts w:ascii="Arial" w:cs="Arial" w:eastAsia="Arial" w:hAnsi="Arial"/>
          <w:sz w:val="14"/>
          <w:szCs w:val="14"/>
          <w:b w:val="1"/>
          <w:bCs w:val="1"/>
          <w:color w:val="auto"/>
        </w:rPr>
        <w:t>(In millions, except per share amount)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500" w:type="dxa"/>
            <w:vAlign w:val="bottom"/>
          </w:tcPr>
          <w:p>
            <w:pPr>
              <w:spacing w:after="0"/>
              <w:rPr>
                <w:sz w:val="14"/>
                <w:szCs w:val="14"/>
                <w:color w:val="auto"/>
              </w:rPr>
            </w:pPr>
          </w:p>
        </w:tc>
        <w:tc>
          <w:tcPr>
            <w:tcW w:w="126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42"/>
        </w:trPr>
        <w:tc>
          <w:tcPr>
            <w:tcW w:w="55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260" w:type="dxa"/>
            <w:vAlign w:val="bottom"/>
            <w:gridSpan w:val="2"/>
            <w:shd w:val="clear" w:color="auto" w:fill="CCEEFF"/>
          </w:tcPr>
          <w:p>
            <w:pPr>
              <w:jc w:val="right"/>
              <w:ind w:right="866"/>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w:t>
            </w:r>
          </w:p>
        </w:tc>
        <w:tc>
          <w:tcPr>
            <w:tcW w:w="4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1,847</w:t>
            </w:r>
          </w:p>
        </w:tc>
      </w:tr>
      <w:tr>
        <w:trPr>
          <w:trHeight w:val="148"/>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30"/>
        </w:trPr>
        <w:tc>
          <w:tcPr>
            <w:tcW w:w="55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4"/>
              </w:rPr>
              <w:t>Accounts receivable (net of allowances for expected credit losses of $29 at June 30, 2023</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67"/>
        </w:trPr>
        <w:tc>
          <w:tcPr>
            <w:tcW w:w="5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$32 at March 31, 2023)</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w:t>
            </w:r>
          </w:p>
        </w:tc>
      </w:tr>
      <w:tr>
        <w:trPr>
          <w:trHeight w:val="148"/>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Deferred costs (current portion)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1,070</w:t>
            </w:r>
          </w:p>
        </w:tc>
      </w:tr>
      <w:tr>
        <w:trPr>
          <w:trHeight w:val="149"/>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r>
      <w:tr>
        <w:trPr>
          <w:trHeight w:val="142"/>
        </w:trPr>
        <w:tc>
          <w:tcPr>
            <w:tcW w:w="5500" w:type="dxa"/>
            <w:vAlign w:val="bottom"/>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2"/>
                <w:szCs w:val="12"/>
                <w:color w:val="auto"/>
              </w:rPr>
            </w:pP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4,653</w:t>
            </w:r>
          </w:p>
        </w:tc>
        <w:tc>
          <w:tcPr>
            <w:tcW w:w="26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4,963</w:t>
            </w:r>
          </w:p>
        </w:tc>
      </w:tr>
      <w:tr>
        <w:trPr>
          <w:trHeight w:val="148"/>
        </w:trPr>
        <w:tc>
          <w:tcPr>
            <w:tcW w:w="5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Property and equipment, net</w:t>
            </w:r>
          </w:p>
        </w:tc>
        <w:tc>
          <w:tcPr>
            <w:tcW w:w="1260" w:type="dxa"/>
            <w:vAlign w:val="bottom"/>
            <w:gridSpan w:val="2"/>
          </w:tcPr>
          <w:p>
            <w:pPr>
              <w:jc w:val="right"/>
              <w:ind w:right="866"/>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4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2,779</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right-of-use assets, net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w:t>
            </w: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Deferred costs (noncurrent portion)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1,122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r>
      <w:tr>
        <w:trPr>
          <w:trHeight w:val="149"/>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Pension assets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r>
      <w:tr>
        <w:trPr>
          <w:trHeight w:val="182"/>
        </w:trPr>
        <w:tc>
          <w:tcPr>
            <w:tcW w:w="55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10,986</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11,464</w:t>
            </w:r>
          </w:p>
        </w:tc>
      </w:tr>
      <w:tr>
        <w:trPr>
          <w:trHeight w:val="129"/>
        </w:trPr>
        <w:tc>
          <w:tcPr>
            <w:tcW w:w="5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9"/>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260" w:type="dxa"/>
            <w:vAlign w:val="bottom"/>
            <w:gridSpan w:val="2"/>
          </w:tcPr>
          <w:p>
            <w:pPr>
              <w:jc w:val="right"/>
              <w:ind w:right="866"/>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c>
          <w:tcPr>
            <w:tcW w:w="4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1,774</w:t>
            </w:r>
          </w:p>
        </w:tc>
      </w:tr>
      <w:tr>
        <w:trPr>
          <w:trHeight w:val="148"/>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Value-added tax and income tax liabilities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r>
      <w:tr>
        <w:trPr>
          <w:trHeight w:val="148"/>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8"/>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compensation and benefits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r>
      <w:tr>
        <w:trPr>
          <w:trHeight w:val="149"/>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(current portion)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r>
      <w:tr>
        <w:trPr>
          <w:trHeight w:val="148"/>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liabilities (current portion)</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r>
      <w:tr>
        <w:trPr>
          <w:trHeight w:val="148"/>
        </w:trPr>
        <w:tc>
          <w:tcPr>
            <w:tcW w:w="5500" w:type="dxa"/>
            <w:vAlign w:val="bottom"/>
          </w:tcPr>
          <w:p>
            <w:pPr>
              <w:ind w:left="220"/>
              <w:spacing w:after="0" w:line="149" w:lineRule="exact"/>
              <w:rPr>
                <w:sz w:val="20"/>
                <w:szCs w:val="20"/>
                <w:color w:val="auto"/>
              </w:rPr>
            </w:pPr>
            <w:r>
              <w:rPr>
                <w:rFonts w:ascii="Arial" w:cs="Arial" w:eastAsia="Arial" w:hAnsi="Arial"/>
                <w:sz w:val="14"/>
                <w:szCs w:val="14"/>
                <w:color w:val="auto"/>
              </w:rPr>
              <w:t>Accrued contract costs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r>
      <w:tr>
        <w:trPr>
          <w:trHeight w:val="149"/>
        </w:trPr>
        <w:tc>
          <w:tcPr>
            <w:tcW w:w="5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accrued expenses and liabilities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r>
      <w:tr>
        <w:trPr>
          <w:trHeight w:val="142"/>
        </w:trPr>
        <w:tc>
          <w:tcPr>
            <w:tcW w:w="5500" w:type="dxa"/>
            <w:vAlign w:val="bottom"/>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2"/>
                <w:szCs w:val="12"/>
                <w:color w:val="auto"/>
              </w:rPr>
            </w:pPr>
          </w:p>
        </w:tc>
        <w:tc>
          <w:tcPr>
            <w:tcW w:w="980" w:type="dxa"/>
            <w:vAlign w:val="bottom"/>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4,591</w:t>
            </w:r>
          </w:p>
        </w:tc>
        <w:tc>
          <w:tcPr>
            <w:tcW w:w="26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4,868</w:t>
            </w:r>
          </w:p>
        </w:tc>
      </w:tr>
      <w:tr>
        <w:trPr>
          <w:trHeight w:val="148"/>
        </w:trPr>
        <w:tc>
          <w:tcPr>
            <w:tcW w:w="5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Long-term debt</w:t>
            </w:r>
          </w:p>
        </w:tc>
        <w:tc>
          <w:tcPr>
            <w:tcW w:w="1260" w:type="dxa"/>
            <w:vAlign w:val="bottom"/>
            <w:gridSpan w:val="2"/>
          </w:tcPr>
          <w:p>
            <w:pPr>
              <w:jc w:val="right"/>
              <w:ind w:right="866"/>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3,149</w:t>
            </w:r>
          </w:p>
        </w:tc>
        <w:tc>
          <w:tcPr>
            <w:tcW w:w="4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3,111</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Retirement and nonpension postretirement benefit obligations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Deferred income (noncurrent portion)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liabilities (noncurrent portion)</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r>
      <w:tr>
        <w:trPr>
          <w:trHeight w:val="148"/>
        </w:trPr>
        <w:tc>
          <w:tcPr>
            <w:tcW w:w="55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r>
      <w:tr>
        <w:trPr>
          <w:trHeight w:val="142"/>
        </w:trPr>
        <w:tc>
          <w:tcPr>
            <w:tcW w:w="55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liabilities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9,648</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10,002</w:t>
            </w:r>
          </w:p>
        </w:tc>
      </w:tr>
      <w:tr>
        <w:trPr>
          <w:trHeight w:val="142"/>
        </w:trPr>
        <w:tc>
          <w:tcPr>
            <w:tcW w:w="5500" w:type="dxa"/>
            <w:vAlign w:val="bottom"/>
          </w:tcPr>
          <w:p>
            <w:pPr>
              <w:ind w:left="20"/>
              <w:spacing w:after="0" w:line="142" w:lineRule="exact"/>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8"/>
        </w:trPr>
        <w:tc>
          <w:tcPr>
            <w:tcW w:w="5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5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0"/>
        </w:trPr>
        <w:tc>
          <w:tcPr>
            <w:tcW w:w="5500" w:type="dxa"/>
            <w:vAlign w:val="bottom"/>
          </w:tcPr>
          <w:p>
            <w:pPr>
              <w:ind w:left="120"/>
              <w:spacing w:after="0" w:line="130" w:lineRule="exact"/>
              <w:rPr>
                <w:sz w:val="20"/>
                <w:szCs w:val="20"/>
                <w:color w:val="auto"/>
              </w:rPr>
            </w:pPr>
            <w:r>
              <w:rPr>
                <w:rFonts w:ascii="Arial" w:cs="Arial" w:eastAsia="Arial" w:hAnsi="Arial"/>
                <w:sz w:val="14"/>
                <w:szCs w:val="14"/>
                <w:color w:val="auto"/>
              </w:rPr>
              <w:t>Common stock, par value $0.01 per share, and additional paid-in capital</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67"/>
        </w:trPr>
        <w:tc>
          <w:tcPr>
            <w:tcW w:w="5500" w:type="dxa"/>
            <w:vAlign w:val="bottom"/>
          </w:tcPr>
          <w:p>
            <w:pPr>
              <w:ind w:left="120"/>
              <w:spacing w:after="0"/>
              <w:rPr>
                <w:sz w:val="20"/>
                <w:szCs w:val="20"/>
                <w:color w:val="auto"/>
              </w:rPr>
            </w:pPr>
            <w:r>
              <w:rPr>
                <w:rFonts w:ascii="Arial" w:cs="Arial" w:eastAsia="Arial" w:hAnsi="Arial"/>
                <w:sz w:val="14"/>
                <w:szCs w:val="14"/>
                <w:color w:val="auto"/>
                <w:w w:val="93"/>
              </w:rPr>
              <w:t>(shares authorized: 1,000.0; shares issued: June 30, 2023 – 231.0, March 31, 2023 – 229.6)</w:t>
            </w:r>
          </w:p>
        </w:tc>
        <w:tc>
          <w:tcPr>
            <w:tcW w:w="1260" w:type="dxa"/>
            <w:vAlign w:val="bottom"/>
            <w:gridSpan w:val="2"/>
          </w:tcPr>
          <w:p>
            <w:pPr>
              <w:jc w:val="right"/>
              <w:ind w:right="866"/>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4,451</w:t>
            </w:r>
          </w:p>
        </w:tc>
        <w:tc>
          <w:tcPr>
            <w:tcW w:w="4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4,428</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w:t>
            </w: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Treasury stock, at cost (shares: June 30, 2023 – 2.4, March 31, 2023 – 1.9)</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(1,062)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w:t>
            </w:r>
          </w:p>
        </w:tc>
      </w:tr>
      <w:tr>
        <w:trPr>
          <w:trHeight w:val="142"/>
        </w:trPr>
        <w:tc>
          <w:tcPr>
            <w:tcW w:w="55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stockholders’ equity before non-controlling interests</w:t>
            </w: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1,365</w:t>
            </w:r>
          </w:p>
        </w:tc>
      </w:tr>
      <w:tr>
        <w:trPr>
          <w:trHeight w:val="142"/>
        </w:trPr>
        <w:tc>
          <w:tcPr>
            <w:tcW w:w="55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Non-controlling interests</w:t>
            </w:r>
          </w:p>
        </w:tc>
        <w:tc>
          <w:tcPr>
            <w:tcW w:w="2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w:t>
            </w:r>
          </w:p>
        </w:tc>
      </w:tr>
      <w:tr>
        <w:trPr>
          <w:trHeight w:val="142"/>
        </w:trPr>
        <w:tc>
          <w:tcPr>
            <w:tcW w:w="55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Total equity</w:t>
            </w: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1,338</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w:t>
            </w:r>
          </w:p>
        </w:tc>
      </w:tr>
      <w:tr>
        <w:trPr>
          <w:trHeight w:val="142"/>
        </w:trPr>
        <w:tc>
          <w:tcPr>
            <w:tcW w:w="55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10,986</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11,464</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19"/>
        <w:spacing w:after="0" w:line="224" w:lineRule="auto"/>
        <w:rPr>
          <w:sz w:val="20"/>
          <w:szCs w:val="20"/>
          <w:color w:val="auto"/>
        </w:rPr>
      </w:pPr>
      <w:r>
        <w:rPr>
          <w:rFonts w:ascii="Arial" w:cs="Arial" w:eastAsia="Arial" w:hAnsi="Arial"/>
          <w:sz w:val="14"/>
          <w:szCs w:val="14"/>
          <w:b w:val="1"/>
          <w:bCs w:val="1"/>
          <w:color w:val="auto"/>
        </w:rPr>
        <w:t>(Dollars in millions)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6"/>
              </w:rPr>
              <w:t>Three Months Ended June 30,</w:t>
            </w:r>
          </w:p>
        </w:tc>
      </w:tr>
      <w:tr>
        <w:trPr>
          <w:trHeight w:val="142"/>
        </w:trPr>
        <w:tc>
          <w:tcPr>
            <w:tcW w:w="6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Adjustments to reconcile net income (loss) to cash provided by operating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Depreciation of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transition costs and prepaid software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Amortization of capitalized contract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Net (gain) loss on asset sales and other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Deferred costs (excluding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 and liabilities (excluding depreciation)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Workforce rebalancing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320" w:type="dxa"/>
            <w:vAlign w:val="bottom"/>
          </w:tcPr>
          <w:p>
            <w:pPr>
              <w:ind w:left="340"/>
              <w:spacing w:after="0"/>
              <w:rPr>
                <w:sz w:val="20"/>
                <w:szCs w:val="20"/>
                <w:color w:val="auto"/>
              </w:rPr>
            </w:pPr>
            <w:r>
              <w:rPr>
                <w:rFonts w:ascii="Arial" w:cs="Arial" w:eastAsia="Arial" w:hAnsi="Arial"/>
                <w:sz w:val="18"/>
                <w:szCs w:val="18"/>
                <w:color w:val="auto"/>
              </w:rPr>
              <w:t>Other assets and other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disposition of property and equipment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Other investing activities,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repurchases for tax withholdings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Other financing activities,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6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10"/>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data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Income taxes paid, net of refunds received</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 on debt</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KYNDRYL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EQUITY</w:t>
      </w:r>
    </w:p>
    <w:p>
      <w:pPr>
        <w:ind w:left="4120"/>
        <w:spacing w:after="0" w:line="224"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Common Stock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68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68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April 1, 2023</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48"/>
        </w:trPr>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Other comprehensive income (loss),</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Common stock issued under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employee plans</w:t>
            </w: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treasury stock</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Changes in non-controlling interests</w:t>
            </w: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June 30, 2023</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Common Stock and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3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April 1, 2022</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224.5</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4,315</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148"/>
        </w:trPr>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Other comprehensive income (loss),</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30"/>
        </w:trPr>
        <w:tc>
          <w:tcPr>
            <w:tcW w:w="23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Common stock issued under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employee plans</w:t>
            </w: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treasury stock</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Changes in non-controlling interests</w:t>
            </w: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Equity - June 30, 2022</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Business</w:t>
      </w:r>
    </w:p>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Kyndryl Holdings, Inc. (“we”, “the Company” or “Kyndryl”) is a leading technology services company and the largest IT infrastructure services provider in the world, serving as a partner to thousands of enterprise customers whose operations span over 100 countries. Prior to November 3, 2021, the Company was wholly owned by International Business Machines Corporation (“IBM” or “former Parent”).</w:t>
      </w:r>
    </w:p>
    <w:p>
      <w:pPr>
        <w:spacing w:after="0" w:line="18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November 2021, our former Parent effected the spin-off (the “Separation” or the “Spin-off”) of the infrastructure services unit of its Global Technology Services (“GTS”) segment through the distribution of shares of Kyndryl’s common stock to IBM stockholders. In connection with the Separation, the Company entered into several agreements with IBM that govern the relationship of the parties following the Separation. Kyndryl’s stock began trading as an independent company on November 4,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accompanying Consolidated Financial Statements and footnotes have been prepared in accordance with accounting principles generally accepted in the United States of America (“U.S. GAAP”). Management believes the accompanying financial statements include all adjustments necessary to present fairly the Company’s financial position and its results of operations for all the periods presented. The information included in this Form 10-Q should be read in conjunction with the Company’s Annual Report for the fiscal year ended March 31, 2023.</w:t>
      </w:r>
    </w:p>
    <w:p>
      <w:pPr>
        <w:spacing w:after="0" w:line="176"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Within the financial statements and tables presented, certain columns and rows may not add due to the use of rounded numbers for disclosure purposes. Percentages presented are calculated from the underlying whole-dollar amounts.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accompanying financial statements are presented on a consolidated basis. All significant transactions and intercompany accounts between Kyndryl entities were eliminated.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w:t>
      </w:r>
    </w:p>
    <w:p>
      <w:pPr>
        <w:spacing w:after="0" w:line="161" w:lineRule="exact"/>
        <w:rPr>
          <w:sz w:val="20"/>
          <w:szCs w:val="20"/>
          <w:color w:val="auto"/>
        </w:rPr>
      </w:pPr>
    </w:p>
    <w:p>
      <w:pPr>
        <w:jc w:val="both"/>
        <w:ind w:left="60" w:right="619" w:firstLine="648"/>
        <w:spacing w:after="0" w:line="263" w:lineRule="auto"/>
        <w:rPr>
          <w:sz w:val="20"/>
          <w:szCs w:val="20"/>
          <w:color w:val="auto"/>
        </w:rPr>
      </w:pPr>
      <w:r>
        <w:rPr>
          <w:rFonts w:ascii="Arial" w:cs="Arial" w:eastAsia="Arial" w:hAnsi="Arial"/>
          <w:sz w:val="18"/>
          <w:szCs w:val="18"/>
          <w:color w:val="auto"/>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Standards to be Implemented</w:t>
      </w:r>
    </w:p>
    <w:p>
      <w:pPr>
        <w:spacing w:after="0" w:line="229"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In September 2022, the FASB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fiscal years beginning after December 15, 2022, including interim periods within those fiscal years. The roll-forward information is effective for fiscal years beginning after December 15, 2023. The Company has evaluated the impact of the amended guidance and concluded that the guidance has no impact on the Company’s consolidated financial statements.</w:t>
      </w:r>
    </w:p>
    <w:p>
      <w:pPr>
        <w:spacing w:after="0" w:line="14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 xml:space="preserve">In March 2023, the FASB issued ASU 2023-01, </w:t>
      </w:r>
      <w:r>
        <w:rPr>
          <w:rFonts w:ascii="Arial" w:cs="Arial" w:eastAsia="Arial" w:hAnsi="Arial"/>
          <w:sz w:val="17"/>
          <w:szCs w:val="17"/>
          <w:i w:val="1"/>
          <w:iCs w:val="1"/>
          <w:color w:val="auto"/>
        </w:rPr>
        <w:t>Leases (Topic 842) – Common-Control Arrangements</w:t>
      </w:r>
      <w:r>
        <w:rPr>
          <w:rFonts w:ascii="Arial" w:cs="Arial" w:eastAsia="Arial" w:hAnsi="Arial"/>
          <w:sz w:val="17"/>
          <w:szCs w:val="17"/>
          <w:color w:val="auto"/>
        </w:rPr>
        <w:t>. This guidance amends the accounting for leasehold improvements in common-control arrangements by requiring a lessee in a common-control arrangement to amortize leasehold improvements that it owns over the improvements’ useful life to the common-control group, regardless of the lease term, if the lessee continues to control the use of the underlying asset through a lease. The Company has evaluated the impact of the amended guidance and concluded that the guidance does not have a material impact on the Company’s consolidated financial statements.</w:t>
      </w:r>
    </w:p>
    <w:p>
      <w:pPr>
        <w:spacing w:after="0" w:line="17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Reference Rate Reform on Financial Reporting, </w:t>
      </w:r>
      <w:r>
        <w:rPr>
          <w:rFonts w:ascii="Arial" w:cs="Arial" w:eastAsia="Arial" w:hAnsi="Arial"/>
          <w:sz w:val="17"/>
          <w:szCs w:val="17"/>
          <w:color w:val="auto"/>
        </w:rPr>
        <w:t>which included a sunset provision within Topic 848 based on expectations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when the London Interbank Offered Rate (“LIBOR”) would cease being published. The FASB issued temporary, optional expedients related to the accounting for contract modifications and hedging transactions as a result of markets transitioning from the use of LIBOR and other interbank offered rates to alternative reference rates. In December 2022, the FASB issued ASU 2022-06, </w:t>
      </w:r>
      <w:r>
        <w:rPr>
          <w:rFonts w:ascii="Arial" w:cs="Arial" w:eastAsia="Arial" w:hAnsi="Arial"/>
          <w:sz w:val="17"/>
          <w:szCs w:val="17"/>
          <w:i w:val="1"/>
          <w:iCs w:val="1"/>
          <w:color w:val="auto"/>
        </w:rPr>
        <w:t>Reference Rate Reform (Topic 848): Deferral of the Sunset Date of Topic 848</w:t>
      </w:r>
      <w:r>
        <w:rPr>
          <w:rFonts w:ascii="Arial" w:cs="Arial" w:eastAsia="Arial" w:hAnsi="Arial"/>
          <w:sz w:val="17"/>
          <w:szCs w:val="17"/>
          <w:color w:val="auto"/>
        </w:rPr>
        <w:t>, deferring the sunset date of Topic 848 to December 31, 2024. In June 2023, the Company modified its contracts that use LIBOR, transitioning from LIBOR to the Secured Overnight Financing Rate (“SOFR”). The use of SOFR became effective in modified contracts beginning on July 1, 2023.</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views its segment results to be the best view of disaggregated revenue. Refer to Note 4 – Segments.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77" w:lineRule="exact"/>
        <w:rPr>
          <w:sz w:val="20"/>
          <w:szCs w:val="20"/>
          <w:color w:val="auto"/>
        </w:rPr>
      </w:pPr>
    </w:p>
    <w:p>
      <w:pPr>
        <w:jc w:val="both"/>
        <w:ind w:left="60" w:right="479" w:firstLine="648"/>
        <w:spacing w:after="0" w:line="311" w:lineRule="auto"/>
        <w:rPr>
          <w:sz w:val="20"/>
          <w:szCs w:val="20"/>
          <w:color w:val="auto"/>
        </w:rPr>
      </w:pPr>
      <w:r>
        <w:rPr>
          <w:rFonts w:ascii="Arial" w:cs="Arial" w:eastAsia="Arial" w:hAnsi="Arial"/>
          <w:sz w:val="16"/>
          <w:szCs w:val="16"/>
          <w:color w:val="auto"/>
        </w:rPr>
        <w:t>At June 30, 2023, the aggregate amount of RPO related to customer contracts that are unsatisfied or partially unsatisfied was $36.7 billion. Approximately 60 percent of the amount is expected to be recognized as revenue in the subsequent two years, approximately 34 percent in the subsequent three through five years, and the balance thereafter.</w:t>
      </w:r>
    </w:p>
    <w:p>
      <w:pPr>
        <w:spacing w:after="0" w:line="149"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During the three months ended June 30, 2023 and June 30, 2022, revenue was increased by $11 million and $1 million, respectively for performance obligations satisfied (or partially satisfied) in previous periods, mainly due to changes in estimates on contracts with cost-to-cost measures of progress.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information about accounts receivable, contract assets and deferred income balances: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960" w:type="dxa"/>
            <w:vAlign w:val="bottom"/>
          </w:tcPr>
          <w:p>
            <w:pPr>
              <w:jc w:val="center"/>
              <w:ind w:left="348"/>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55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Accounts receivable (net of allowances for expected credit losses of $29 at</w:t>
            </w:r>
          </w:p>
        </w:tc>
        <w:tc>
          <w:tcPr>
            <w:tcW w:w="28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 and $32 at March 31, 2023) *</w:t>
            </w:r>
          </w:p>
        </w:tc>
        <w:tc>
          <w:tcPr>
            <w:tcW w:w="124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1,490</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Contract assets **</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Deferred income (noncurrent)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2"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unbilled receivable balances of $410 million at June 30, 2023 and $384 million at March 31, 2023.</w:t>
      </w:r>
    </w:p>
    <w:p>
      <w:pPr>
        <w:ind w:left="380" w:right="159" w:hanging="330"/>
        <w:spacing w:after="0" w:line="271" w:lineRule="auto"/>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p>
      <w:pPr>
        <w:spacing w:after="0" w:line="154"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amount of revenue recognized during the three months ended June 30, 2023 and June 30, 2022 that was included within the deferred income balance at March 31, 2023 and March 31, 2022 was $188 million and $246 million, respectively.</w:t>
      </w:r>
    </w:p>
    <w:p>
      <w:pPr>
        <w:spacing w:after="0" w:line="184"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following table provides roll-forwards of the accounts receivable allowance for expected credit losses for the three months ended June 30, 2023 and 2022:</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Additions (releases)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Other *</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8"/>
        </w:trPr>
        <w:tc>
          <w:tcPr>
            <w:tcW w:w="2240" w:type="dxa"/>
            <w:vAlign w:val="bottom"/>
            <w:tcBorders>
              <w:top w:val="single" w:sz="8" w:color="CCEEFF"/>
              <w:bottom w:val="single" w:sz="8" w:color="auto"/>
            </w:tcBorders>
          </w:tcPr>
          <w:p>
            <w:pPr>
              <w:spacing w:after="0"/>
              <w:rPr>
                <w:sz w:val="7"/>
                <w:szCs w:val="7"/>
                <w:color w:val="auto"/>
              </w:rPr>
            </w:pPr>
          </w:p>
        </w:tc>
        <w:tc>
          <w:tcPr>
            <w:tcW w:w="3260" w:type="dxa"/>
            <w:vAlign w:val="bottom"/>
            <w:tcBorders>
              <w:top w:val="single" w:sz="8" w:color="CCEEFF"/>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represents currency translation adjustments</w:t>
      </w:r>
      <w:r>
        <w:rPr>
          <w:rFonts w:ascii="Arial" w:cs="Arial" w:eastAsia="Arial" w:hAnsi="Arial"/>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contract assets allowance for expected credit losses was not material in any of the periods presented.</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Clients</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No single client represented more than 10 percent of the Company’s total revenue during the three months ended June 30, 2023 and 2022. Other than receivables due from our former Parent, no single client represented more than 10 percent of the Company’s total accounts receivable balance as of June 30, 2023 and March 31, 2023,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Costs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419" w:firstLine="648"/>
        <w:spacing w:after="0" w:line="269" w:lineRule="auto"/>
        <w:rPr>
          <w:sz w:val="20"/>
          <w:szCs w:val="20"/>
          <w:color w:val="auto"/>
        </w:rPr>
      </w:pPr>
      <w:r>
        <w:rPr>
          <w:rFonts w:ascii="Arial" w:cs="Arial" w:eastAsia="Arial" w:hAnsi="Arial"/>
          <w:sz w:val="18"/>
          <w:szCs w:val="18"/>
          <w:color w:val="auto"/>
        </w:rPr>
        <w:t>The following table provides amounts of capitalized costs to acquire and fulfill customer contracts at June 30, 2023 and March 31, 2023:</w:t>
      </w:r>
    </w:p>
    <w:tbl>
      <w:tblPr>
        <w:tblLayout w:type="fixed"/>
        <w:tblInd w:w="40" w:type="dxa"/>
        <w:tblCellMar>
          <w:top w:w="0" w:type="dxa"/>
          <w:left w:w="0" w:type="dxa"/>
          <w:bottom w:w="0" w:type="dxa"/>
          <w:right w:w="0" w:type="dxa"/>
        </w:tblCellMar>
      </w:tblPr>
      <w:tr>
        <w:trPr>
          <w:trHeight w:val="149"/>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50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transition costs</w:t>
            </w:r>
          </w:p>
        </w:tc>
        <w:tc>
          <w:tcPr>
            <w:tcW w:w="12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Prepaid software costs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costs to fulfill contracts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Capitalized costs to obtain contracts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costs *</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2,196</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99" w:hanging="330"/>
        <w:spacing w:after="0" w:line="253"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the total deferred costs, $1,075 million was current and $1,122 million was noncurrent at June 30, 2023, and $1,070 million was current and $1,166 million was noncurrent at March 31, 2023.</w:t>
      </w:r>
    </w:p>
    <w:p>
      <w:pPr>
        <w:spacing w:after="0" w:line="17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amount of total deferred costs amortized for the three months ended June 30, 2023, was $463 million, composed of $241 million of amortization of prepaid software, $85 million of amortization of deferred transition costs and $138 million of amortization of capitalized contract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SEGMENTS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Our reportable segments correspond to how the chief operating decision maker (“CODM”) reviews performance and allocates resources. Our four reportable segments consist of the following:</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Japan: </w:t>
      </w:r>
      <w:r>
        <w:rPr>
          <w:rFonts w:ascii="Arial" w:cs="Arial" w:eastAsia="Arial" w:hAnsi="Arial"/>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312" w:lineRule="auto"/>
        <w:rPr>
          <w:sz w:val="20"/>
          <w:szCs w:val="20"/>
          <w:color w:val="auto"/>
        </w:rPr>
      </w:pPr>
      <w:r>
        <w:rPr>
          <w:rFonts w:ascii="Arial" w:cs="Arial" w:eastAsia="Arial" w:hAnsi="Arial"/>
          <w:sz w:val="17"/>
          <w:szCs w:val="17"/>
          <w:b w:val="1"/>
          <w:bCs w:val="1"/>
          <w:color w:val="auto"/>
        </w:rPr>
        <w:t xml:space="preserve">Principal Markets: </w:t>
      </w:r>
      <w:r>
        <w:rPr>
          <w:rFonts w:ascii="Arial" w:cs="Arial" w:eastAsia="Arial" w:hAnsi="Arial"/>
          <w:sz w:val="17"/>
          <w:szCs w:val="17"/>
          <w:color w:val="auto"/>
        </w:rPr>
        <w:t>This reportable segment represents the aggregation of our operations in Australia / New</w:t>
      </w:r>
      <w:r>
        <w:rPr>
          <w:rFonts w:ascii="Arial" w:cs="Arial" w:eastAsia="Arial" w:hAnsi="Arial"/>
          <w:sz w:val="17"/>
          <w:szCs w:val="17"/>
          <w:b w:val="1"/>
          <w:bCs w:val="1"/>
          <w:color w:val="auto"/>
        </w:rPr>
        <w:t xml:space="preserve"> </w:t>
      </w:r>
      <w:r>
        <w:rPr>
          <w:rFonts w:ascii="Arial" w:cs="Arial" w:eastAsia="Arial" w:hAnsi="Arial"/>
          <w:sz w:val="17"/>
          <w:szCs w:val="17"/>
          <w:color w:val="auto"/>
        </w:rPr>
        <w:t>Zealand, Canada, France, Germany, India, Italy, Spain / Portugal, and the United Kingdom / Ireland.</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 xml:space="preserve">Strategic Markets: </w:t>
      </w:r>
      <w:r>
        <w:rPr>
          <w:rFonts w:ascii="Arial" w:cs="Arial" w:eastAsia="Arial" w:hAnsi="Arial"/>
          <w:sz w:val="17"/>
          <w:szCs w:val="17"/>
          <w:color w:val="auto"/>
        </w:rPr>
        <w:t>This reportable segment is comprised of our operations in all other countries in which we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operate.</w:t>
      </w:r>
    </w:p>
    <w:p>
      <w:pPr>
        <w:spacing w:after="0" w:line="21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measure of segment operating performance used by Kyndryl’s CODM is adjusted EBITDA. Adjusted EBITDA is defined as net income (loss) excluding net interest expense, income taxes, depreciation and amortization (excluding depreciation of right-of-use assets and amortization of capitalized contract costs), charges related to ceasing to use leased and owned fixed assets, charges related to lease terminations, transaction-related costs, pension costs other than pension servicing costs and multi-employer plan costs, stock-based compensation expense, workforce rebalancing charges, impairment expense, significant litigation costs, and foreign currency impacts of highly inflationary countries. The use of revenue and adjusted EBITDA aligns with how the CODM assesses performance and allocates resources for the Company’s segments.</w:t>
      </w:r>
    </w:p>
    <w:p>
      <w:pPr>
        <w:spacing w:after="0" w:line="192"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reflects the results of the Company’s segments: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1,164</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Principal Markets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4,193</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Principal Markets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Total segment adjusted EBITDA</w:t>
            </w:r>
          </w:p>
        </w:tc>
        <w:tc>
          <w:tcPr>
            <w:tcW w:w="2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8"/>
          </w:tcPr>
          <w:p>
            <w:pPr>
              <w:ind w:left="660"/>
              <w:spacing w:after="0"/>
              <w:rPr>
                <w:sz w:val="20"/>
                <w:szCs w:val="20"/>
                <w:color w:val="auto"/>
              </w:rPr>
            </w:pPr>
            <w:r>
              <w:rPr>
                <w:rFonts w:ascii="Arial" w:cs="Arial" w:eastAsia="Arial" w:hAnsi="Arial"/>
                <w:sz w:val="18"/>
                <w:szCs w:val="18"/>
                <w:color w:val="auto"/>
                <w:w w:val="95"/>
              </w:rPr>
              <w:t>The following table reconciles segment adjusted EBITDA to consolidated pretax income (loss):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Workforce rebalancing charges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Charges related to ceasing to use leased/fixed assets and lease</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terminations</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Transaction-related costs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of property, equipment and capitalized software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expense not allocated to the segments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88"/>
        </w:trPr>
        <w:tc>
          <w:tcPr>
            <w:tcW w:w="2240" w:type="dxa"/>
            <w:vAlign w:val="bottom"/>
            <w:tcBorders>
              <w:top w:val="single" w:sz="8" w:color="CCEEFF"/>
              <w:bottom w:val="single" w:sz="8" w:color="auto"/>
            </w:tcBorders>
          </w:tcPr>
          <w:p>
            <w:pPr>
              <w:spacing w:after="0"/>
              <w:rPr>
                <w:sz w:val="7"/>
                <w:szCs w:val="7"/>
                <w:color w:val="auto"/>
              </w:rPr>
            </w:pPr>
          </w:p>
        </w:tc>
        <w:tc>
          <w:tcPr>
            <w:tcW w:w="3260" w:type="dxa"/>
            <w:vAlign w:val="bottom"/>
            <w:tcBorders>
              <w:top w:val="single" w:sz="8" w:color="CCEEFF"/>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60" w:type="dxa"/>
            <w:vAlign w:val="bottom"/>
            <w:tcBorders>
              <w:top w:val="single" w:sz="8" w:color="CCEEFF"/>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0" w:right="199" w:firstLine="9"/>
        <w:spacing w:after="0" w:line="253"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adjustments represent pension costs other than pension servicing costs and multi-employer plan costs, significant litigation costs, and foreign currency impacts of highly inflationary countries.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TAXES</w:t>
      </w:r>
    </w:p>
    <w:p>
      <w:pPr>
        <w:spacing w:after="0" w:line="22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For the three months ended June 30, 2023, the Company’s effective tax rate was (29.6%), compared to (22.1%) for the three months ended June 30, 2022. The Company’s negative effective tax rates in 2023 and 2022 reflect a tax expense on a pretax book loss in both periods.</w:t>
      </w:r>
    </w:p>
    <w:p>
      <w:pPr>
        <w:spacing w:after="0" w:line="184"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The Company’s effective tax rate for the three months ended June 30, 2023 was lower than the Company’s statutory tax rate primarily due to taxes on foreign operations and valuation allowances recorded in certain jurisdictions against deferred tax assets that are not more likely than not to be realized.</w:t>
      </w:r>
    </w:p>
    <w:p>
      <w:pPr>
        <w:spacing w:after="0" w:line="18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Company’s effective tax rate for the three months ended June 30, 2022 was lower than the Company’s statutory tax rate primarily due to taxes on foreign operations and the increase in valuation allowances recorded in certain jurisdictions against deferred tax assets that are not more likely than not to be realized. For the period ended June 30, 2022, the addition to valuation allowances primarily relates to a partial valuation allowance established against certain deferred tax assets in the United States.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NET LOSS PER SHARE</w:t>
      </w:r>
    </w:p>
    <w:p>
      <w:pPr>
        <w:spacing w:after="0" w:line="229"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We did not declare any stock dividends in the periods presented. The following table provides the computation of basic and diluted earnings per share of common stock for the three months ended June 30, 2023 and 2022.</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Net income (loss) on which basic and diluted earnings per share is calculated</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w w:val="90"/>
              </w:rPr>
              <w:t>Number of shares on which basic and diluted earnings per share is calculated</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For the three months ended June 30, 2023 and 2022, the Company’s basic and diluted weighted-average shares outstanding were the same. The following securities were not included in the computation of diluted net loss per share because they would have been anti-dilutive: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Three Months Ended June 30,</w:t>
            </w:r>
          </w:p>
        </w:tc>
      </w:tr>
      <w:tr>
        <w:trPr>
          <w:trHeight w:val="169"/>
        </w:trPr>
        <w:tc>
          <w:tcPr>
            <w:tcW w:w="5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Nonvested performance-conditioned stock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market-conditioned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Stock options issued and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9" w:lineRule="exact"/>
        <w:rPr>
          <w:sz w:val="20"/>
          <w:szCs w:val="20"/>
          <w:color w:val="auto"/>
        </w:rPr>
      </w:pPr>
    </w:p>
    <w:p>
      <w:pPr>
        <w:ind w:left="1040" w:right="239" w:hanging="315"/>
        <w:spacing w:after="0" w:line="29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can be accessed at the measurement date.</w:t>
      </w:r>
    </w:p>
    <w:p>
      <w:pPr>
        <w:spacing w:after="0" w:line="147" w:lineRule="exact"/>
        <w:rPr>
          <w:rFonts w:ascii="Arial" w:cs="Arial" w:eastAsia="Arial" w:hAnsi="Arial"/>
          <w:sz w:val="18"/>
          <w:szCs w:val="18"/>
          <w:color w:val="auto"/>
        </w:rPr>
      </w:pPr>
    </w:p>
    <w:p>
      <w:pPr>
        <w:ind w:left="1040" w:right="99" w:hanging="315"/>
        <w:spacing w:after="0" w:line="29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147"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43"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level of an asset or liability within the fair value hierarchy is determined based on the lowest level of any input that is significant to the fair value measurement.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spacing w:after="0" w:line="184" w:lineRule="exact"/>
        <w:rPr>
          <w:sz w:val="20"/>
          <w:szCs w:val="20"/>
          <w:color w:val="auto"/>
        </w:rPr>
      </w:pPr>
    </w:p>
    <w:p>
      <w:pPr>
        <w:ind w:left="1040" w:right="35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Counterparty credit risk adjustments are applied to certain financial instruments, taking into account the actual credit risk of a counterparty as observed in the credit default swap market to determine the true fair value of such an instrument.</w:t>
      </w:r>
    </w:p>
    <w:p>
      <w:pPr>
        <w:spacing w:after="0" w:line="183" w:lineRule="exact"/>
        <w:rPr>
          <w:rFonts w:ascii="Arial" w:cs="Arial" w:eastAsia="Arial" w:hAnsi="Arial"/>
          <w:sz w:val="18"/>
          <w:szCs w:val="18"/>
          <w:color w:val="auto"/>
        </w:rPr>
      </w:pPr>
    </w:p>
    <w:p>
      <w:pPr>
        <w:ind w:left="1040" w:right="79" w:hanging="315"/>
        <w:spacing w:after="0" w:line="31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p>
      <w:pPr>
        <w:spacing w:after="0" w:line="14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We perform a qualitative assessment of asset impairments on a periodic basis and recognize an impairment if there are sufficient indicators that the fair value is less than carrying value. There were no impairments of non-financial assets recognized for the three months ended June 30, 2023 and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that are measured at fair value on a recurring basis at June 30, 2023 and March 31, 2023.</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At June 30, 2023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5"/>
            <w:vMerge w:val="restart"/>
          </w:tcPr>
          <w:p>
            <w:pPr>
              <w:jc w:val="right"/>
              <w:ind w:right="199"/>
              <w:spacing w:after="0"/>
              <w:rPr>
                <w:sz w:val="20"/>
                <w:szCs w:val="20"/>
                <w:color w:val="auto"/>
              </w:rPr>
            </w:pPr>
            <w:r>
              <w:rPr>
                <w:rFonts w:ascii="Arial" w:cs="Arial" w:eastAsia="Arial" w:hAnsi="Arial"/>
                <w:sz w:val="14"/>
                <w:szCs w:val="14"/>
                <w:b w:val="1"/>
                <w:bCs w:val="1"/>
                <w:color w:val="auto"/>
                <w:w w:val="94"/>
              </w:rPr>
              <w:t>At March 31, 2023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Hierarchy</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34283D"/>
                <w:w w:val="94"/>
              </w:rPr>
              <w:t>Level</w:t>
            </w:r>
          </w:p>
        </w:tc>
        <w:tc>
          <w:tcPr>
            <w:tcW w:w="120" w:type="dxa"/>
            <w:vAlign w:val="bottom"/>
          </w:tcPr>
          <w:p>
            <w:pPr>
              <w:spacing w:after="0"/>
              <w:rPr>
                <w:sz w:val="12"/>
                <w:szCs w:val="12"/>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9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Liabilities</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7"/>
              </w:rPr>
              <w:t>Assets</w:t>
            </w:r>
          </w:p>
        </w:tc>
        <w:tc>
          <w:tcPr>
            <w:tcW w:w="2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34283D"/>
                <w:w w:val="97"/>
              </w:rPr>
              <w:t>Derivatives designated as hedging</w:t>
            </w:r>
          </w:p>
        </w:tc>
        <w:tc>
          <w:tcPr>
            <w:tcW w:w="2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34283D"/>
              </w:rPr>
              <w:t>instruments:</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34283D"/>
              </w:rPr>
              <w:t>Foreign exchange contracts</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color w:val="34283D"/>
                <w:w w:val="99"/>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34283D"/>
              </w:rPr>
              <w:t>Derivatives not designated as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34283D"/>
              </w:rPr>
              <w:t>hedging instruments: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34283D"/>
              </w:rPr>
              <w:t>Foreign exchange contracts</w:t>
            </w:r>
          </w:p>
        </w:tc>
        <w:tc>
          <w:tcPr>
            <w:tcW w:w="86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34283D"/>
                <w:w w:val="99"/>
              </w:rPr>
              <w:t>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34283D"/>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gross balances of derivative assets are contained within prepaid expenses and other current assets, and the gross balances of derivative liabilities are contained within other accrued expenses and liabilities in the Consolidated Balance Sheet. The Company may enter into master netting agreements with certain counterparties that allow for netting of exposures. There was no netting of derivative assets against liabilities in the Consolidated Balance Sheet at June 30, 2023 and March 31, 2023.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229" w:lineRule="exact"/>
        <w:rPr>
          <w:sz w:val="20"/>
          <w:szCs w:val="20"/>
          <w:color w:val="auto"/>
        </w:rPr>
      </w:pPr>
    </w:p>
    <w:p>
      <w:pPr>
        <w:jc w:val="both"/>
        <w:ind w:left="60" w:right="119" w:firstLine="648"/>
        <w:spacing w:after="0" w:line="279" w:lineRule="auto"/>
        <w:rPr>
          <w:sz w:val="20"/>
          <w:szCs w:val="20"/>
          <w:color w:val="auto"/>
        </w:rPr>
      </w:pPr>
      <w:r>
        <w:rPr>
          <w:rFonts w:ascii="Arial" w:cs="Arial" w:eastAsia="Arial" w:hAnsi="Arial"/>
          <w:sz w:val="17"/>
          <w:szCs w:val="17"/>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assets and liabilities would be classified as Level 3 in the fair value hierarchy, except for short-term debt, which would be classified as Level 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June 30, 2023 and March 31, 2023 were $690 million and $814 million, respectively. If measured at fair value in the consolidated financial statements, time deposits with maturities of 90 days or less would be categorized as Level 2 in the fair value hierarchy.</w:t>
      </w:r>
    </w:p>
    <w:p>
      <w:pPr>
        <w:spacing w:after="0" w:line="195"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 Our outstanding debt (excluding finance lease obligations) had a carrying value of $3.0 billion as of June 30, 2023 and March 31, 2023, with an estimated fair value of $2.5 billion as of June 30, 2023 and March 31, 2023, which consisted of quoted prices for identical debt instruments (Level 1) and expected present value calculated using observable inputs (Level 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Transfers of Financial Assets</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p>
    <w:p>
      <w:pPr>
        <w:spacing w:after="0" w:line="14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net proceeds from these agreements are reflected as cash provided by operating activities in the Consolidated Statement of Cash Flows. Gross proceeds from receivables sold to third parties under this program were $1.2 billion for the three months ended June 30, 2023 and $613 million for the three months ended June 30, 2022. The fees associated with the transfers of receivables were $16 million for the three months ended June 30, 2023 and $8 million for the three months ended June 30,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25"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w:t>
      </w:r>
    </w:p>
    <w:p>
      <w:pPr>
        <w:spacing w:after="0" w:line="164"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At June 30, 2023 and March 31, 2023, the total gross notional amount of forward contracts designated as cash flow hedges of forecasted foreign currency cost transactions was $919 million and $283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June 30, 2023 and March 31, 2023, the weighted-average remaining maturity of these instruments was approximately 0.4 years and 0.5 years, respectively.</w:t>
      </w:r>
    </w:p>
    <w:p>
      <w:pPr>
        <w:spacing w:after="0" w:line="164"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At June 30, 2023 and March 31, 2023, in connection with cash flow hedges of foreign currency cost transactions, the Company had net deferred gains of $15 million and $1 million (each before taxes), respectively, in accumulated other comprehensive income (“AOCI”). The Company estimates that $15 million (before taxes) of deferred net gains on derivatives in AOCI at June 30, 2023 will be reclassified to net income within the next twelve months, providing an offsetting economic impact against the underlying anticipated transactions.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in cash flows from investing activities in the Consolidated Statement of Cash Flows. The terms of these swap contracts are generally less than one year. At June 30, 2023 and March 31, 2023, the total gross notional amount of derivative instruments in economic hedges of foreign currency exposure was $2.0 billion and $1.5 billion,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effects of derivatives designated as hedging instruments on the Consolidated Income Statement and Other Comprehensive Income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Unrealized Gain (Loss)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9"/>
              </w:rPr>
              <w:t>Gain (Loss) Reclassified</w:t>
            </w:r>
          </w:p>
        </w:tc>
        <w:tc>
          <w:tcPr>
            <w:tcW w:w="0" w:type="dxa"/>
            <w:vAlign w:val="bottom"/>
          </w:tcPr>
          <w:p>
            <w:pPr>
              <w:spacing w:after="0"/>
              <w:rPr>
                <w:sz w:val="1"/>
                <w:szCs w:val="1"/>
                <w:color w:val="auto"/>
              </w:rPr>
            </w:pPr>
          </w:p>
        </w:tc>
      </w:tr>
      <w:tr>
        <w:trPr>
          <w:trHeight w:val="171"/>
        </w:trPr>
        <w:tc>
          <w:tcPr>
            <w:tcW w:w="1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Recognized in OCI</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Income Statement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from AOCI to Income</w:t>
            </w: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920" w:type="dxa"/>
            <w:vAlign w:val="bottom"/>
            <w:gridSpan w:val="2"/>
          </w:tcPr>
          <w:p>
            <w:pPr>
              <w:jc w:val="right"/>
              <w:ind w:right="7"/>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Line Item</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0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19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Foreign exchange</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of services</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For the three months ended June 30, 2023 and 2022,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effects of derivatives not designated as hedging instruments on the Consolidated Income Statement are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Gain (Loss)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Recognized on Derivatives</w:t>
            </w:r>
          </w:p>
        </w:tc>
        <w:tc>
          <w:tcPr>
            <w:tcW w:w="0" w:type="dxa"/>
            <w:vAlign w:val="bottom"/>
          </w:tcPr>
          <w:p>
            <w:pPr>
              <w:spacing w:after="0"/>
              <w:rPr>
                <w:sz w:val="1"/>
                <w:szCs w:val="1"/>
                <w:color w:val="auto"/>
              </w:rPr>
            </w:pPr>
          </w:p>
        </w:tc>
      </w:tr>
      <w:tr>
        <w:trPr>
          <w:trHeight w:val="142"/>
        </w:trPr>
        <w:tc>
          <w:tcPr>
            <w:tcW w:w="2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2"/>
                <w:szCs w:val="12"/>
                <w:color w:val="auto"/>
              </w:rPr>
            </w:pPr>
          </w:p>
        </w:tc>
        <w:tc>
          <w:tcPr>
            <w:tcW w:w="2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Line Item</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88"/>
              </w:rPr>
              <w:t>Other expense (income)</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60" w:type="dxa"/>
            <w:vAlign w:val="bottom"/>
            <w:gridSpan w:val="2"/>
            <w:vMerge w:val="restart"/>
          </w:tcPr>
          <w:p>
            <w:pPr>
              <w:jc w:val="right"/>
              <w:ind w:right="1064"/>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4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INTANGIBLE ASSETS INCLUDING GOODWILL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present the Company’s intangible asset balances by major asset class.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At June 30, 2023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At March 31, 2023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160" w:type="dxa"/>
            <w:vAlign w:val="bottom"/>
          </w:tcPr>
          <w:p>
            <w:pPr>
              <w:spacing w:after="0"/>
              <w:rPr>
                <w:sz w:val="10"/>
                <w:szCs w:val="10"/>
                <w:color w:val="auto"/>
              </w:rPr>
            </w:pP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0" w:type="dxa"/>
            <w:vAlign w:val="bottom"/>
          </w:tcPr>
          <w:p>
            <w:pPr>
              <w:spacing w:after="0"/>
              <w:rPr>
                <w:sz w:val="10"/>
                <w:szCs w:val="10"/>
                <w:color w:val="auto"/>
              </w:rPr>
            </w:pPr>
          </w:p>
        </w:tc>
        <w:tc>
          <w:tcPr>
            <w:tcW w:w="11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Arial" w:cs="Arial" w:eastAsia="Arial" w:hAnsi="Arial"/>
                <w:sz w:val="18"/>
                <w:szCs w:val="18"/>
                <w:color w:val="auto"/>
              </w:rPr>
              <w:t>Patents and trademarks*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88"/>
        </w:trPr>
        <w:tc>
          <w:tcPr>
            <w:tcW w:w="2180" w:type="dxa"/>
            <w:vAlign w:val="bottom"/>
            <w:tcBorders>
              <w:top w:val="single" w:sz="8" w:color="CCEEFF"/>
              <w:bottom w:val="single" w:sz="8" w:color="auto"/>
            </w:tcBorders>
          </w:tcPr>
          <w:p>
            <w:pPr>
              <w:spacing w:after="0"/>
              <w:rPr>
                <w:sz w:val="7"/>
                <w:szCs w:val="7"/>
                <w:color w:val="auto"/>
              </w:rPr>
            </w:pPr>
          </w:p>
        </w:tc>
        <w:tc>
          <w:tcPr>
            <w:tcW w:w="6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include effects from foreign currency translation.</w:t>
      </w:r>
    </w:p>
    <w:p>
      <w:pPr>
        <w:spacing w:after="0" w:line="208"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The net carrying amount of intangible assets increased by $16 million during the three months ended June 30, 2023, primarily due to additions in capitalized software, partially offset by amortization and foreign currency translation. The aggregate intangible asset amortization expense was $11 million and $14 million for the three months ended June 30, 2023 and 2022, respectively. This included amortization of capitalized software of $4 million for the three months ended June 30, 2023, which was reported in “Depreciation of property, equipment and capitalized software” on the Consolidated Statement of Cash Flows.</w:t>
      </w:r>
    </w:p>
    <w:p>
      <w:pPr>
        <w:spacing w:after="0" w:line="192"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future amortization expense relating to intangible assets currently recorded in the Consolidated Balance Sheet was estimated to be the following at June 30,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Capitalized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75"/>
              <w:spacing w:after="0"/>
              <w:rPr>
                <w:sz w:val="20"/>
                <w:szCs w:val="20"/>
                <w:color w:val="auto"/>
              </w:rPr>
            </w:pPr>
            <w:r>
              <w:rPr>
                <w:rFonts w:ascii="Arial" w:cs="Arial" w:eastAsia="Arial" w:hAnsi="Arial"/>
                <w:sz w:val="14"/>
                <w:szCs w:val="14"/>
                <w:b w:val="1"/>
                <w:bCs w:val="1"/>
                <w:color w:val="auto"/>
              </w:rPr>
              <w:t>Customer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Arial" w:cs="Arial" w:eastAsia="Arial" w:hAnsi="Arial"/>
                <w:sz w:val="14"/>
                <w:szCs w:val="14"/>
                <w:b w:val="1"/>
                <w:bCs w:val="1"/>
                <w:color w:val="auto"/>
              </w:rPr>
              <w:t>Patents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Software</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Relationships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Trademarks</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March 31: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2024 (remaining nine months)</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changes in the goodwill balances by segment for the three months ended June 30, 2023 were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Balance at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Additions and</w:t>
            </w:r>
          </w:p>
        </w:tc>
        <w:tc>
          <w:tcPr>
            <w:tcW w:w="260" w:type="dxa"/>
            <w:vAlign w:val="bottom"/>
          </w:tcPr>
          <w:p>
            <w:pPr>
              <w:spacing w:after="0"/>
              <w:rPr>
                <w:sz w:val="14"/>
                <w:szCs w:val="14"/>
                <w:color w:val="auto"/>
              </w:rPr>
            </w:pPr>
          </w:p>
        </w:tc>
        <w:tc>
          <w:tcPr>
            <w:tcW w:w="14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Adjustments*</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Markets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Strategic Markets</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89"/>
        </w:trPr>
        <w:tc>
          <w:tcPr>
            <w:tcW w:w="2240" w:type="dxa"/>
            <w:vAlign w:val="bottom"/>
            <w:tcBorders>
              <w:top w:val="single" w:sz="8" w:color="CCEEFF"/>
              <w:bottom w:val="single" w:sz="8" w:color="auto"/>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30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driven by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There were no goodwill impairment losses recorded for the three months ended June 30, 2023 and 2022.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Cumulatively, the Company has recorded $469 million in goodwill impairment charges within its former EMEA ($293 million) and current United States ($176 million) reporting units.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our debt: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floating-rate term loan</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6"/>
              </w:rPr>
              <w:t>6.27%*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2024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 loan agreement</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3.00%</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July 2026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due 2026</w:t>
            </w:r>
          </w:p>
        </w:tc>
        <w:tc>
          <w:tcPr>
            <w:tcW w:w="1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Unsecured senior notes due 2028</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2.70%</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due 2031</w:t>
            </w:r>
          </w:p>
        </w:tc>
        <w:tc>
          <w:tcPr>
            <w:tcW w:w="1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3.15%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Unsecured senior notes due 2041</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4.10%</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 **</w:t>
            </w:r>
          </w:p>
        </w:tc>
        <w:tc>
          <w:tcPr>
            <w:tcW w:w="12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4.14%</w:t>
            </w:r>
          </w:p>
        </w:tc>
        <w:tc>
          <w:tcPr>
            <w:tcW w:w="14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2023-2028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discount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679" w:hanging="250"/>
        <w:spacing w:after="0" w:line="230" w:lineRule="auto"/>
        <w:tabs>
          <w:tab w:leader="none" w:pos="293" w:val="left"/>
        </w:tabs>
        <w:numPr>
          <w:ilvl w:val="0"/>
          <w:numId w:val="12"/>
        </w:numPr>
        <w:rPr>
          <w:rFonts w:ascii="Arial" w:cs="Arial" w:eastAsia="Arial" w:hAnsi="Arial"/>
          <w:sz w:val="14"/>
          <w:szCs w:val="14"/>
          <w:color w:val="auto"/>
        </w:rPr>
      </w:pPr>
      <w:r>
        <w:rPr>
          <w:rFonts w:ascii="Arial" w:cs="Arial" w:eastAsia="Arial" w:hAnsi="Arial"/>
          <w:sz w:val="14"/>
          <w:szCs w:val="14"/>
          <w:color w:val="auto"/>
        </w:rPr>
        <w:t>Floating rate calculated as of June 30, 2023, using a rate equal to one-month U.S. dollar LIBOR plus 1.125%. Refer to Note 2 – Accounting Pronouncements for additional information.</w:t>
      </w:r>
    </w:p>
    <w:p>
      <w:pPr>
        <w:ind w:left="60"/>
        <w:spacing w:after="0"/>
        <w:rPr>
          <w:sz w:val="20"/>
          <w:szCs w:val="20"/>
          <w:color w:val="auto"/>
        </w:rPr>
      </w:pPr>
      <w:r>
        <w:rPr>
          <w:rFonts w:ascii="Arial" w:cs="Arial" w:eastAsia="Arial" w:hAnsi="Arial"/>
          <w:sz w:val="14"/>
          <w:szCs w:val="14"/>
          <w:color w:val="auto"/>
        </w:rPr>
        <w:t>**  Finance lease obligations presented using the weighted-average interest rate.</w:t>
      </w:r>
    </w:p>
    <w:p>
      <w:pPr>
        <w:spacing w:after="0" w:line="19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Contractual obligations of long-term debt outstanding at June 30, 2023, exclusive of finance lease obligations,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Principal</w:t>
            </w:r>
          </w:p>
        </w:tc>
      </w:tr>
      <w:tr>
        <w:trPr>
          <w:trHeight w:val="21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March 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20"/>
              <w:spacing w:after="0"/>
              <w:rPr>
                <w:sz w:val="20"/>
                <w:szCs w:val="20"/>
                <w:color w:val="auto"/>
              </w:rPr>
            </w:pPr>
            <w:r>
              <w:rPr>
                <w:rFonts w:ascii="Arial" w:cs="Arial" w:eastAsia="Arial" w:hAnsi="Arial"/>
                <w:sz w:val="18"/>
                <w:szCs w:val="18"/>
                <w:color w:val="auto"/>
              </w:rPr>
              <w:t>2024 (remaining nine months)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5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2026</w:t>
            </w: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1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0"/>
        </w:trPr>
        <w:tc>
          <w:tcPr>
            <w:tcW w:w="2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6"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Contractual obligations approximate scheduled repayments.</w:t>
      </w:r>
    </w:p>
    <w:p>
      <w:pPr>
        <w:spacing w:after="0" w:line="208"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As of June 30, 2023, there were no borrowings under the Company’s revolving credit agreement. The Company is in compliance with its debt covenants in all periods presented.</w:t>
      </w:r>
    </w:p>
    <w:p>
      <w:pPr>
        <w:spacing w:after="0" w:line="170"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During the three months ended June 30, 2023, the right-of-use assets obtained in exchange for new finance lease liabilities were $97 million. During the three months ended June 30, 2022, the right-of-use assets obtained in exchange for new finance lease liabilities were immaterial.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Company guarantees certain loans and financial commitments. The maximum potential future payment under these financial guarantees and the fair value of these guarantees recognized in the Consolidated Balance Sheet at June 30, 2023 and March 31, 2023 were not material. Additionally, the Company has contractual commitments that are noncancellable with certain software, hardware and cloud partners used in the delivery of services to customers. During the three months ended June 30, 2023, contractual commitments decreased due to satisfaction of existing commitments outpacing new additions.</w:t>
      </w:r>
    </w:p>
    <w:p>
      <w:pPr>
        <w:spacing w:after="0" w:line="19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a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82"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appealed the judgment and is seeking a complete reversal on appeal. IBM may seek an indemnity from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spacing w:after="0" w:line="187"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Separately, certain contractual disputes have arisen between Kyndryl and IBM following the Separation. IBM and Kyndryl have commenced arbitration proceedings related to certain of these matters. Kyndryl intends to vigorously pursue its interests and defenses in these matters, including asserting its own claims in arbitration if necessary.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EQUITY</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following table presents reclassifications and taxes related to items of other comprehensive income (loss) for the three months ended June 30, 2023 and 2022:</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Pretax</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Tax (Expense)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Benefit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20"/>
              <w:spacing w:after="0"/>
              <w:rPr>
                <w:sz w:val="20"/>
                <w:szCs w:val="20"/>
                <w:color w:val="auto"/>
              </w:rPr>
            </w:pPr>
            <w:r>
              <w:rPr>
                <w:rFonts w:ascii="Arial" w:cs="Arial" w:eastAsia="Arial" w:hAnsi="Arial"/>
                <w:sz w:val="18"/>
                <w:szCs w:val="18"/>
                <w:color w:val="auto"/>
                <w:w w:val="99"/>
              </w:rPr>
              <w:t>Unrealized gains (losses) arising during the period</w:t>
            </w:r>
          </w:p>
        </w:tc>
        <w:tc>
          <w:tcPr>
            <w:tcW w:w="120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color w:val="auto"/>
                <w:w w:val="98"/>
              </w:rPr>
              <w:t>Total unrealized gains (losses) on cash flow hedges</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Retirement-related benefit plans – amortization of net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June 30, 2022: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(267)</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Unrealized gains (losses) arising during the period</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20" w:type="dxa"/>
            <w:vAlign w:val="bottom"/>
          </w:tcPr>
          <w:p>
            <w:pPr>
              <w:ind w:left="120"/>
              <w:spacing w:after="0"/>
              <w:rPr>
                <w:sz w:val="20"/>
                <w:szCs w:val="20"/>
                <w:color w:val="auto"/>
              </w:rPr>
            </w:pPr>
            <w:r>
              <w:rPr>
                <w:rFonts w:ascii="Arial" w:cs="Arial" w:eastAsia="Arial" w:hAnsi="Arial"/>
                <w:sz w:val="18"/>
                <w:szCs w:val="18"/>
                <w:color w:val="auto"/>
              </w:rPr>
              <w:t>Reclassification of (gains) losses to net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unrealized gains (losses) on cash flow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tcPr>
          <w:p>
            <w:pPr>
              <w:ind w:left="20"/>
              <w:spacing w:after="0" w:line="195" w:lineRule="exact"/>
              <w:rPr>
                <w:sz w:val="20"/>
                <w:szCs w:val="20"/>
                <w:color w:val="auto"/>
              </w:rPr>
            </w:pPr>
            <w:r>
              <w:rPr>
                <w:rFonts w:ascii="Arial" w:cs="Arial" w:eastAsia="Arial" w:hAnsi="Arial"/>
                <w:sz w:val="18"/>
                <w:szCs w:val="18"/>
                <w:color w:val="auto"/>
                <w:w w:val="96"/>
              </w:rPr>
              <w:t>Retirement-related benefit plans – amortization of net</w:t>
            </w:r>
          </w:p>
        </w:tc>
        <w:tc>
          <w:tcPr>
            <w:tcW w:w="240" w:type="dxa"/>
            <w:vAlign w:val="bottom"/>
            <w:vMerge w:val="restart"/>
          </w:tcPr>
          <w:p>
            <w:pPr>
              <w:spacing w:after="0"/>
              <w:rPr>
                <w:sz w:val="16"/>
                <w:szCs w:val="16"/>
                <w:color w:val="auto"/>
              </w:rPr>
            </w:pPr>
          </w:p>
        </w:tc>
        <w:tc>
          <w:tcPr>
            <w:tcW w:w="960" w:type="dxa"/>
            <w:vAlign w:val="bottom"/>
            <w:vMerge w:val="restart"/>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30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(263)</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8" w:lineRule="exact"/>
        <w:rPr>
          <w:sz w:val="20"/>
          <w:szCs w:val="20"/>
          <w:color w:val="auto"/>
        </w:rPr>
      </w:pPr>
    </w:p>
    <w:p>
      <w:pPr>
        <w:ind w:left="380" w:right="119" w:hanging="330"/>
        <w:spacing w:after="0" w:line="253"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AOCI components are included in the computation of net periodic benefit cost. Refer to Note 12 – Retirement-Related Benefits for additional information.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components of accumulated other comprehensive income (loss), net of taxes: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Gain (Losses)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on Cash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Flow Hedges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Adjustments*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Benefit 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48"/>
        </w:trPr>
        <w:tc>
          <w:tcPr>
            <w:tcW w:w="2240" w:type="dxa"/>
            <w:vAlign w:val="bottom"/>
            <w:tcBorders>
              <w:top w:val="single" w:sz="8" w:color="CCEEFF"/>
              <w:bottom w:val="single" w:sz="8" w:color="auto"/>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Foreign currency translation adjustments are presented gross.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RETIREMENT-RELATED BENEFITS</w:t>
      </w:r>
    </w:p>
    <w:p>
      <w:pPr>
        <w:spacing w:after="0" w:line="189" w:lineRule="exact"/>
        <w:rPr>
          <w:sz w:val="20"/>
          <w:szCs w:val="20"/>
          <w:color w:val="auto"/>
        </w:rPr>
      </w:pPr>
    </w:p>
    <w:p>
      <w:pPr>
        <w:ind w:left="60" w:right="379" w:firstLine="648"/>
        <w:spacing w:after="0" w:line="308" w:lineRule="auto"/>
        <w:rPr>
          <w:sz w:val="20"/>
          <w:szCs w:val="20"/>
          <w:color w:val="auto"/>
        </w:rPr>
      </w:pPr>
      <w:r>
        <w:rPr>
          <w:rFonts w:ascii="Arial" w:cs="Arial" w:eastAsia="Arial" w:hAnsi="Arial"/>
          <w:sz w:val="17"/>
          <w:szCs w:val="17"/>
          <w:color w:val="auto"/>
        </w:rPr>
        <w:t>The following table presents the components of net periodic pension cost for the defined benefit pension plans recognized in the Consolidated Income Statement for the three months ended June 30, 2023 and 2022.</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5"/>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Interest cost</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Expected return on plan assets</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7"/>
                <w:szCs w:val="17"/>
                <w:color w:val="auto"/>
              </w:rPr>
              <w:t>Recognized actuarial losses (gains)</w:t>
            </w:r>
            <w:r>
              <w:rPr>
                <w:rFonts w:ascii="Arial" w:cs="Arial" w:eastAsia="Arial" w:hAnsi="Arial"/>
                <w:sz w:val="25"/>
                <w:szCs w:val="25"/>
                <w:color w:val="auto"/>
                <w:vertAlign w:val="superscript"/>
              </w:rPr>
              <w:t>(1)</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components of net periodic pension cost are included in other expense (income) in the Consolidated Income Statement.</w:t>
      </w:r>
    </w:p>
    <w:p>
      <w:pPr>
        <w:spacing w:after="0" w:line="208"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The components of net periodic benefit cost for the nonpension postretirement benefit plans and multi-employer plans recognized in the Consolidated Income Statement were not material for any period presented.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TRANSACTIONS WITH FORMER PARENT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Beneficial Ownership</w:t>
      </w:r>
    </w:p>
    <w:p>
      <w:pPr>
        <w:spacing w:after="0" w:line="189"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IBM ceased to be a related party of Kyndryl in August 2022 after IBM transferred all of its 19.9% retained interest in Kyndryl common stock to a third-party financial institution through exchange agreements in May and August 2022. Transactions related to former Parent after August 11, 2022 are no longer reported as related-party activities. As a result, there was no related party revenue or cost of services recognized for the three months ended June 30,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Purchases Related to Former Parent</w:t>
      </w:r>
    </w:p>
    <w:p>
      <w:pPr>
        <w:spacing w:after="0" w:line="229" w:lineRule="exact"/>
        <w:rPr>
          <w:sz w:val="20"/>
          <w:szCs w:val="20"/>
          <w:color w:val="auto"/>
        </w:rPr>
      </w:pPr>
    </w:p>
    <w:p>
      <w:pPr>
        <w:jc w:val="both"/>
        <w:ind w:left="60" w:right="319" w:firstLine="648"/>
        <w:spacing w:after="0" w:line="286" w:lineRule="auto"/>
        <w:rPr>
          <w:sz w:val="20"/>
          <w:szCs w:val="20"/>
          <w:color w:val="auto"/>
        </w:rPr>
      </w:pPr>
      <w:r>
        <w:rPr>
          <w:rFonts w:ascii="Arial" w:cs="Arial" w:eastAsia="Arial" w:hAnsi="Arial"/>
          <w:sz w:val="17"/>
          <w:szCs w:val="17"/>
          <w:color w:val="auto"/>
        </w:rPr>
        <w:t>Kyndryl provides various services to IBM, including those related to hosting data centers and servicing IBM’s information technology infrastructure, which are reported as revenue in the Company’s Consolidated Income Statement. Revenue generated from these services was $205 million for the three months ended June 30, 2022.</w:t>
      </w:r>
    </w:p>
    <w:p>
      <w:pPr>
        <w:spacing w:after="0" w:line="165"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Kyndryl utilizes various IBM products and services, recognized as costs of services, in the fulfillment of services contracts. Total cost of services recognized from these related-party transactions in the Company’s Consolidated Income Statement was $961 million for the three months ended June 30, 2022. The related-party cost of $961 million for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prior-year quarter includes outsourcing goods and services provided by the former Parent to Kyndryl’s customers post-Separation.</w:t>
      </w:r>
    </w:p>
    <w:p>
      <w:pPr>
        <w:spacing w:after="0" w:line="17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Capital expenditures for purchases of IBM hardware were reflected as payments for property and equipment within the investing section of the Company’s Consolidated Statement of Cash Flows in the amounts of $61 million for the three months ended June 30, 2022. Additionally, as part of the Separation, IBM has committed to provide Kyndryl, at no cost, approximately $265 million of upgraded hardware over a two-year period. The amounts committed by IBM are reflected within other assets (noncurrent) within the Consolidated Balance Sheet at June 30, 2023. For the three months ended June 30, 2023, $26 million of the upgraded hardware committed by IBM was consumed by Kyndryl. From the inception of the program to date, $110 million of the upgraded hardware committed by IBM has been delivered to Kyndryl. The expected average useful life of the upgraded hardware is approximately five years, and the Company intends to recognize total depreciation approximating $265 million over the useful life, consistent with our depreciation policy.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 Guarantees</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Kyndryl has lease agreements with third parties with an estimated aggregate lease liability of $64 million that are guaranteed by IBM as of June 30,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WORKFORCE REBALANCING AND SITE-RATIONALIZATION CHARGES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During the fiscal year ended March 31, 2023, the Company initiated actions to reduce our overall cost structure and increase our operating efficiency. These actions are anticipated to occur over several quarters and result in workforce rebalancing charges, charges related to ceasing to use leased and owned fixed assets, and lease termination charges (collectively, the “charges”). We expect the total charges to be incurred for this program to be approximately $270 million, consisting of $150 million in workforce rebalancing charges and $120 million in charges related to ceasing to use leased and owned fixed assets and lease termination charges. The Company expects that these actions will reduce future payroll costs, rent expenses and depreciation of property and equipment. We will continue to seek opportunities to increase our operational efficiency and reduce costs, which may result in additional charges in future periods.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segment breakout of charges incurred during the three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Costs Incurred</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to Date</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Markets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Strategic Markets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charges not allocated to the segments</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Total charges</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following table presents the classification of workforce rebalancing and site-rationalization activities in the Consolidated Income Statement during the three months ended June 30, 2023. Charges in the three months ended June 30, 2022 were immaterial.</w:t>
      </w:r>
    </w:p>
    <w:p>
      <w:pPr>
        <w:sectPr>
          <w:pgSz w:w="11900" w:h="16838" w:orient="portrait"/>
          <w:cols w:equalWidth="0" w:num="1">
            <w:col w:w="9019"/>
          </w:cols>
          <w:pgMar w:left="1440" w:top="517" w:right="1440" w:bottom="1440" w:gutter="0" w:footer="0" w:header="0"/>
        </w:sect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5785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services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Workforce rebalancing charges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 charges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Three Months Ended</w:t>
      </w:r>
    </w:p>
    <w:p>
      <w:pPr>
        <w:jc w:val="center"/>
        <w:ind w:right="59"/>
        <w:spacing w:after="0" w:line="236" w:lineRule="auto"/>
        <w:rPr>
          <w:sz w:val="20"/>
          <w:szCs w:val="20"/>
          <w:color w:val="auto"/>
        </w:rPr>
      </w:pPr>
      <w:r>
        <w:rPr>
          <w:rFonts w:ascii="Arial" w:cs="Arial" w:eastAsia="Arial" w:hAnsi="Arial"/>
          <w:sz w:val="14"/>
          <w:szCs w:val="14"/>
          <w:b w:val="1"/>
          <w:bCs w:val="1"/>
          <w:color w:val="auto"/>
        </w:rPr>
        <w:t>June 30, 2023</w:t>
      </w: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1739"/>
          </w:cols>
          <w:pgMar w:left="1440" w:top="517" w:right="1440"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presents the components of and changes in our workforce rebalancing and site-rationalization charges liabilities during the three months ended June 30,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Workforce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Liabilities</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Liabilities Related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Related to</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Related to</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Rebalancing</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Ceasing to Use</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Ceasing to Use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Liabilities*</w:t>
            </w:r>
          </w:p>
        </w:tc>
        <w:tc>
          <w:tcPr>
            <w:tcW w:w="1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Leased Assets</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Terminations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Fixed Assets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Non-cash adjustments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88"/>
        </w:trPr>
        <w:tc>
          <w:tcPr>
            <w:tcW w:w="2240" w:type="dxa"/>
            <w:vAlign w:val="bottom"/>
            <w:tcBorders>
              <w:top w:val="single" w:sz="8" w:color="CCEEFF"/>
              <w:bottom w:val="single" w:sz="8" w:color="auto"/>
            </w:tcBorders>
          </w:tcPr>
          <w:p>
            <w:pPr>
              <w:spacing w:after="0"/>
              <w:rPr>
                <w:sz w:val="7"/>
                <w:szCs w:val="7"/>
                <w:color w:val="auto"/>
              </w:rPr>
            </w:pPr>
          </w:p>
        </w:tc>
        <w:tc>
          <w:tcPr>
            <w:tcW w:w="82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185" w:lineRule="auto"/>
        <w:tabs>
          <w:tab w:leader="none" w:pos="380" w:val="left"/>
        </w:tabs>
        <w:numPr>
          <w:ilvl w:val="0"/>
          <w:numId w:val="16"/>
        </w:numPr>
        <w:rPr>
          <w:rFonts w:ascii="Arial" w:cs="Arial" w:eastAsia="Arial" w:hAnsi="Arial"/>
          <w:sz w:val="28"/>
          <w:szCs w:val="28"/>
          <w:color w:val="auto"/>
          <w:vertAlign w:val="subscript"/>
        </w:rPr>
      </w:pPr>
      <w:r>
        <w:rPr>
          <w:rFonts w:ascii="Arial" w:cs="Arial" w:eastAsia="Arial" w:hAnsi="Arial"/>
          <w:sz w:val="13"/>
          <w:szCs w:val="13"/>
          <w:color w:val="auto"/>
        </w:rPr>
        <w:t>Excludes historical workforce rebalancing liabilities of $42 million as of March 31, 2023 and $35 million as of June 30, 2023 as well as $6 million cash paid for workforce rebalancing liabilities that were inherited from the former Parent. Workforce rebalancing liabilities are recorded within Other Liabilities on the Consolidated Balance Sheet.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 July 2023, the Company extinguished $70 million of finance lease obligations through the sale and assignment of certain IT infrastructure services equipment that the Company previously classified as finance leases, resulting in an immaterial gain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left="1500" w:right="1860"/>
        <w:spacing w:after="0" w:line="266"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FOR THE THREE MONTHS ENDED JUNE 30, 2023</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jc w:val="right"/>
              <w:ind w:right="73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jc w:val="right"/>
              <w:ind w:right="733"/>
              <w:spacing w:after="0" w:line="142" w:lineRule="exact"/>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4,193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Revenue growth (GAAP)</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Revenue growth in constant currency</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75"/>
              <w:spacing w:after="0"/>
              <w:rPr>
                <w:sz w:val="20"/>
                <w:szCs w:val="20"/>
                <w:color w:val="auto"/>
              </w:rPr>
            </w:pPr>
            <w:r>
              <w:rPr>
                <w:rFonts w:ascii="Arial" w:cs="Arial" w:eastAsia="Arial" w:hAnsi="Arial"/>
                <w:sz w:val="18"/>
                <w:szCs w:val="18"/>
                <w:color w:val="auto"/>
              </w:rPr>
              <w:t>(141)</w:t>
            </w:r>
          </w:p>
        </w:tc>
        <w:tc>
          <w:tcPr>
            <w:tcW w:w="10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612</w:t>
            </w:r>
          </w:p>
        </w:tc>
        <w:tc>
          <w:tcPr>
            <w:tcW w:w="10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00" w:hanging="350"/>
        <w:spacing w:after="0"/>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Revenue growth in constant currency and adjusted EBITDA are non-GAAP financial metrics. For definitions of these metrics and a reconciliation of</w:t>
      </w:r>
    </w:p>
    <w:p>
      <w:pPr>
        <w:spacing w:after="0" w:line="33" w:lineRule="exact"/>
        <w:rPr>
          <w:sz w:val="20"/>
          <w:szCs w:val="20"/>
          <w:color w:val="auto"/>
        </w:rPr>
      </w:pPr>
    </w:p>
    <w:p>
      <w:pPr>
        <w:ind w:left="380" w:right="379"/>
        <w:spacing w:after="0" w:line="273" w:lineRule="auto"/>
        <w:rPr>
          <w:sz w:val="20"/>
          <w:szCs w:val="20"/>
          <w:color w:val="auto"/>
        </w:rPr>
      </w:pPr>
      <w:r>
        <w:rPr>
          <w:rFonts w:ascii="Arial" w:cs="Arial" w:eastAsia="Arial" w:hAnsi="Arial"/>
          <w:sz w:val="14"/>
          <w:szCs w:val="14"/>
          <w:color w:val="auto"/>
        </w:rPr>
        <w:t>adjusted EBITDA to the most directly comparable financial measure calculated and presented in accordance with U.S. GAAP, see “ Segment Results.”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32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right"/>
              <w:ind w:right="597"/>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40" w:type="dxa"/>
            <w:vAlign w:val="bottom"/>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 of Information</w:t>
      </w:r>
    </w:p>
    <w:p>
      <w:pPr>
        <w:spacing w:after="0" w:line="229" w:lineRule="exact"/>
        <w:rPr>
          <w:sz w:val="20"/>
          <w:szCs w:val="20"/>
          <w:color w:val="auto"/>
        </w:rPr>
      </w:pPr>
    </w:p>
    <w:p>
      <w:pPr>
        <w:ind w:left="60" w:right="379" w:firstLine="648"/>
        <w:spacing w:after="0" w:line="257" w:lineRule="auto"/>
        <w:rPr>
          <w:sz w:val="20"/>
          <w:szCs w:val="20"/>
          <w:color w:val="auto"/>
        </w:rPr>
      </w:pPr>
      <w:r>
        <w:rPr>
          <w:rFonts w:ascii="Arial" w:cs="Arial" w:eastAsia="Arial" w:hAnsi="Arial"/>
          <w:sz w:val="18"/>
          <w:szCs w:val="18"/>
          <w:color w:val="auto"/>
        </w:rPr>
        <w:t>Kyndryl Holdings, Inc. was formed as a wholly-owned subsidiary of IBM in September 2021 to hold the operations of the managed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managed infrastructure services provider.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Performance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Macro Dynamics</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In fiscal year 2023, we saw continuing demand for information technology services, despite declining economic growth, increased geopolitical tensions, inflationary pressures and government efforts to stem inflation. Although the risk of economic slowdowns in certain geographies has increased due to higher interest rates and other factors, most economists, including the International Monetary Fund, expect positive global macroeconomic growth in calendar years 2023 and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Quarterly Financial Performance</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For the three months ended June 30, 2023, we reported $4.2 billion in revenue, a decline of 2 percent compared to the prior-year period. The revenue decline was largely attributable to actions the Company has taken to reduce low-margin components of its customer relationships, as well as currency effects. United States revenue was unchanged, Japan revenue declined 4 percent (but increased in constant currency), Principal Markets revenue declined 2 percent and Strategic Markets revenue decreased 4 percent, in each case compared to the three months ended June 30, 2022. Net loss of $141 million improved by $109 million versus the prior-year period driven by lower transaction-related costs and progress on our key initiatives to drive operating efficiencies and increased margins, partially offset by a $54 million increase in workforce rebalancing charges in the current quarter.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The following table presents our reportable segments’ revenue and adjusted EBITDA for the three months ended June 30, 2023 and 2022. Segment revenue and revenue growth in constant currency exclude any transactions between the segments.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573"/>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571"/>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48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tcPr>
          <w:p>
            <w:pPr>
              <w:ind w:left="12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1,164</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1,168</w:t>
            </w:r>
          </w:p>
        </w:tc>
        <w:tc>
          <w:tcPr>
            <w:tcW w:w="1760" w:type="dxa"/>
            <w:vAlign w:val="bottom"/>
            <w:gridSpan w:val="2"/>
          </w:tcPr>
          <w:p>
            <w:pPr>
              <w:jc w:val="right"/>
              <w:ind w:right="57"/>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634</w:t>
            </w:r>
          </w:p>
        </w:tc>
        <w:tc>
          <w:tcPr>
            <w:tcW w:w="17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20"/>
              <w:spacing w:after="0"/>
              <w:rPr>
                <w:sz w:val="20"/>
                <w:szCs w:val="20"/>
                <w:color w:val="auto"/>
              </w:rPr>
            </w:pPr>
            <w:r>
              <w:rPr>
                <w:rFonts w:ascii="Arial" w:cs="Arial" w:eastAsia="Arial" w:hAnsi="Arial"/>
                <w:sz w:val="18"/>
                <w:szCs w:val="18"/>
                <w:color w:val="auto"/>
              </w:rPr>
              <w:t>Principal Markets</w:t>
            </w:r>
          </w:p>
        </w:tc>
        <w:tc>
          <w:tcPr>
            <w:tcW w:w="380" w:type="dxa"/>
            <w:vAlign w:val="bottom"/>
          </w:tcPr>
          <w:p>
            <w:pPr>
              <w:spacing w:after="0"/>
              <w:rPr>
                <w:sz w:val="18"/>
                <w:szCs w:val="18"/>
                <w:color w:val="auto"/>
              </w:rPr>
            </w:pP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1,484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1,516</w:t>
            </w:r>
          </w:p>
        </w:tc>
        <w:tc>
          <w:tcPr>
            <w:tcW w:w="1760" w:type="dxa"/>
            <w:vAlign w:val="bottom"/>
            <w:gridSpan w:val="2"/>
          </w:tcPr>
          <w:p>
            <w:pPr>
              <w:jc w:val="right"/>
              <w:ind w:right="5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Strategic Markets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970</w:t>
            </w:r>
          </w:p>
        </w:tc>
        <w:tc>
          <w:tcPr>
            <w:tcW w:w="17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rPr>
              <w:t>4,193</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4,288</w:t>
            </w:r>
          </w:p>
        </w:tc>
        <w:tc>
          <w:tcPr>
            <w:tcW w:w="28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7"/>
        </w:trPr>
        <w:tc>
          <w:tcPr>
            <w:tcW w:w="3680" w:type="dxa"/>
            <w:vAlign w:val="bottom"/>
            <w:gridSpan w:val="3"/>
            <w:shd w:val="clear" w:color="auto" w:fill="CCEEFF"/>
          </w:tcPr>
          <w:p>
            <w:pPr>
              <w:ind w:left="220"/>
              <w:spacing w:after="0" w:line="197" w:lineRule="exact"/>
              <w:rPr>
                <w:sz w:val="20"/>
                <w:szCs w:val="20"/>
                <w:color w:val="auto"/>
              </w:rPr>
            </w:pPr>
            <w:r>
              <w:rPr>
                <w:rFonts w:ascii="Arial" w:cs="Arial" w:eastAsia="Arial" w:hAnsi="Arial"/>
                <w:sz w:val="16"/>
                <w:szCs w:val="16"/>
                <w:b w:val="1"/>
                <w:bCs w:val="1"/>
                <w:color w:val="auto"/>
              </w:rPr>
              <w:t>Revenue growth in constant currency</w:t>
            </w:r>
            <w:r>
              <w:rPr>
                <w:rFonts w:ascii="Arial" w:cs="Arial" w:eastAsia="Arial" w:hAnsi="Arial"/>
                <w:sz w:val="22"/>
                <w:szCs w:val="22"/>
                <w:b w:val="1"/>
                <w:bCs w:val="1"/>
                <w:color w:val="auto"/>
                <w:vertAlign w:val="superscript"/>
              </w:rPr>
              <w:t>(1)</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80" w:type="dxa"/>
            <w:vAlign w:val="bottom"/>
            <w:gridSpan w:val="3"/>
          </w:tcPr>
          <w:p>
            <w:pPr>
              <w:ind w:left="20"/>
              <w:spacing w:after="0" w:line="24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6"/>
                <w:szCs w:val="26"/>
                <w:b w:val="1"/>
                <w:bCs w:val="1"/>
                <w:color w:val="auto"/>
                <w:vertAlign w:val="superscript"/>
              </w:rPr>
              <w:t>(1)</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236</w:t>
            </w: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w:t>
            </w:r>
          </w:p>
        </w:tc>
        <w:tc>
          <w:tcPr>
            <w:tcW w:w="17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380" w:type="dxa"/>
            <w:vAlign w:val="bottom"/>
          </w:tcPr>
          <w:p>
            <w:pPr>
              <w:spacing w:after="0"/>
              <w:rPr>
                <w:sz w:val="18"/>
                <w:szCs w:val="18"/>
                <w:color w:val="auto"/>
              </w:rPr>
            </w:pP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115</w:t>
            </w:r>
          </w:p>
        </w:tc>
        <w:tc>
          <w:tcPr>
            <w:tcW w:w="1760" w:type="dxa"/>
            <w:vAlign w:val="bottom"/>
            <w:gridSpan w:val="2"/>
          </w:tcPr>
          <w:p>
            <w:pPr>
              <w:jc w:val="right"/>
              <w:ind w:right="5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Principal Markets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w:t>
            </w:r>
          </w:p>
        </w:tc>
        <w:tc>
          <w:tcPr>
            <w:tcW w:w="17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20"/>
              <w:spacing w:after="0"/>
              <w:rPr>
                <w:sz w:val="20"/>
                <w:szCs w:val="20"/>
                <w:color w:val="auto"/>
              </w:rPr>
            </w:pPr>
            <w:r>
              <w:rPr>
                <w:rFonts w:ascii="Arial" w:cs="Arial" w:eastAsia="Arial" w:hAnsi="Arial"/>
                <w:sz w:val="18"/>
                <w:szCs w:val="18"/>
                <w:color w:val="auto"/>
              </w:rPr>
              <w:t>Strategic Markets</w:t>
            </w:r>
          </w:p>
        </w:tc>
        <w:tc>
          <w:tcPr>
            <w:tcW w:w="380" w:type="dxa"/>
            <w:vAlign w:val="bottom"/>
          </w:tcPr>
          <w:p>
            <w:pPr>
              <w:spacing w:after="0"/>
              <w:rPr>
                <w:sz w:val="18"/>
                <w:szCs w:val="18"/>
                <w:color w:val="auto"/>
              </w:rPr>
            </w:pP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96</w:t>
            </w:r>
          </w:p>
        </w:tc>
        <w:tc>
          <w:tcPr>
            <w:tcW w:w="1760" w:type="dxa"/>
            <w:vAlign w:val="bottom"/>
            <w:gridSpan w:val="2"/>
          </w:tcPr>
          <w:p>
            <w:pPr>
              <w:jc w:val="right"/>
              <w:ind w:right="57"/>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5"/>
                <w:szCs w:val="25"/>
                <w:color w:val="auto"/>
                <w:vertAlign w:val="superscript"/>
              </w:rPr>
              <w:t>(2)</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680" w:type="dxa"/>
            <w:vAlign w:val="bottom"/>
            <w:gridSpan w:val="3"/>
          </w:tcPr>
          <w:p>
            <w:pPr>
              <w:ind w:left="220"/>
              <w:spacing w:after="0" w:line="210" w:lineRule="exact"/>
              <w:rPr>
                <w:sz w:val="20"/>
                <w:szCs w:val="20"/>
                <w:color w:val="auto"/>
              </w:rPr>
            </w:pPr>
            <w:r>
              <w:rPr>
                <w:rFonts w:ascii="Arial" w:cs="Arial" w:eastAsia="Arial" w:hAnsi="Arial"/>
                <w:sz w:val="17"/>
                <w:szCs w:val="17"/>
                <w:b w:val="1"/>
                <w:bCs w:val="1"/>
                <w:color w:val="auto"/>
              </w:rPr>
              <w:t>Total adjusted EBITDA</w:t>
            </w:r>
            <w:r>
              <w:rPr>
                <w:rFonts w:ascii="Arial" w:cs="Arial" w:eastAsia="Arial" w:hAnsi="Arial"/>
                <w:sz w:val="24"/>
                <w:szCs w:val="24"/>
                <w:b w:val="1"/>
                <w:bCs w:val="1"/>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ind w:left="380" w:right="339" w:hanging="330"/>
        <w:spacing w:after="0" w:line="221"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net amounts not allocated to segments.</w:t>
      </w:r>
    </w:p>
    <w:p>
      <w:pPr>
        <w:spacing w:after="0" w:line="19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and enables better comparison to peer companies.</w:t>
      </w:r>
    </w:p>
    <w:p>
      <w:pPr>
        <w:spacing w:after="0" w:line="18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Additionally, management uses adjusted EBITDA to evaluate our performance. Adjusted EBITDA is a non-GAAP measure and defined as net income (loss) excluding net interest expense, income taxes, depreciation and amortization (excluding depreciation of right-of-use assets and amortization of capitalized contract costs), charges related to ceasing to use leased/fixed assets, charges related to lease terminations, transaction-related costs, pension costs other than pension servicing costs and multi-employer plan costs, stock-based compensation expense, workforce rebalancing charges, impairment expense, significant litigation costs and foreign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enhances visibility to underlying results and the impact of management decisions on operational performance, enables better comparison to peer companies and allows us to provide a long-term strategic view of the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a reconciliation of U.S. GAAP net income (loss) to adjusted EBITDA: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Workforce rebalancing charges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4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Charges related to ceasing to use leased/fixed assets and lease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terminations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Transaction-related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Depreciation of property, equipment and capitalized software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75"/>
        </w:trPr>
        <w:tc>
          <w:tcPr>
            <w:tcW w:w="2240" w:type="dxa"/>
            <w:vAlign w:val="bottom"/>
            <w:tcBorders>
              <w:top w:val="single" w:sz="8" w:color="CCEEFF"/>
              <w:bottom w:val="single" w:sz="8" w:color="auto"/>
            </w:tcBorders>
          </w:tcPr>
          <w:p>
            <w:pPr>
              <w:spacing w:after="0"/>
              <w:rPr>
                <w:sz w:val="6"/>
                <w:szCs w:val="6"/>
                <w:color w:val="auto"/>
              </w:rPr>
            </w:pPr>
          </w:p>
        </w:tc>
        <w:tc>
          <w:tcPr>
            <w:tcW w:w="324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80" w:type="dxa"/>
            <w:vAlign w:val="bottom"/>
            <w:tcBorders>
              <w:top w:val="single" w:sz="8" w:color="CCEEFF"/>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right="479" w:hanging="330"/>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adjustments represent pension expense other than pension servicing costs and multi-employer plan costs, significant litigation costs and currency impacts of highly inflationary countries.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United States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Adjusted EBITDA year-over-year change</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For the three months ended June 30, 2023, United States revenue of $1.2 billion was unchanged compared to the prior-year quarter. Adjusted EBITDA increased $36 million from the prior-year quarter, primarily driven by increased operating efficiencies and higher margins on recent signings, partially offset by an increase in software costs of $16 million resulting from an amendment of the contract with a software provider that re-allocated costs among our segments.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Japan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For the three months ended June 30, 2023, Japan revenue of $610 million decreased 4 percent compared to the prior-year quarter, driven by an unfavorable currency exchange rate impact of six points. Adjusted EBITDA decreased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$15 million from the prior-year quarter, primarily driven by unfavorable currency movements that impacted both non-yen-denominated costs and the translation of earnings into U.S. dollars.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Markets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For the three months ended June 30, 2023, Principal Markets revenue of $1.5 billion decreased 2 percent compared to the prior-year quarter. The revenue decline was largely attributable to actions the Company has taken to reduce equipment sales and other low-margin components of its customer relationships. Adjusted EBITDA increased $67 million from the prior-year quarter, primarily due to a decrease in software costs of $21 million resulting from an amendment of the contract with a software provider that re-allocated costs among our segments, increased operating efficiencies and higher margins on recent signings.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Strategic Markets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For the three months ended June 30, 2023, Strategic Markets revenue of $935 million decreased 4 percent compared to the prior-year quarter. The revenue decline was largely attributable to actions the Company has taken to reduce equipment sales and other low-margin components of its customer relationships. Adjusted EBITDA increased $37 million from the prior-year quarter, primarily due to increased operating efficiencies and higher margins on recent signings, partially offset by an increase in software costs of $9 million resulting from an amendment of the contract with a software provider that re-allocated costs among our segments.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Corporate and other had an adjusted EBITDA loss of $24 million in the three months ended June 30, 2023, compared to a loss of $20 million in the three months ended June 30,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Percent of Revenue</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Selling, 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Workforce rebalancing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9"/>
                <w:szCs w:val="19"/>
                <w:color w:val="auto"/>
              </w:rPr>
            </w:pP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0.7 %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0.5 %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3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8"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Cost of services was 82.3% of revenue in the three months ended June 30, 2023, compared to 85.8% in the three months ended June 30, 2022, driven by increased operating efficiencies and higher margins on recent signings. Selling, general and administrative expenses were 17.2% of revenue in the three months ended June 30, 2023 compared to 16.2% in the prior-year quarter, driven by the impact of currency on revenue compared to our U.S. dollar-denominated expenses. Workforce rebalancing charges were 1.4% of revenue in the three months ended June 30, 2023 versus 0.1% of revenue in the prior-year quarter, due to workforce rebalancing actions in the first quarter of fiscal 2024. Transaction-related costs were 1.0% of revenue in the three months ended June 30, 2023 compared to 2.4% in the prior-year quarter driven by reduced rebranding and employee retention costs. Interest expense was 0.7% of revenue in the three months ended June 30, 2023 compared to 0.5% in the prior-year quarter.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Transaction-Related Charges</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Workforce Rebalancing and Site-Rationalization Charges</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During the fiscal year ending March 31, 2023, management initiated certain actions to reduce our overall cost structure and increase our operating efficiency. These actions include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As a result, we disposed of these assets through abandonment or early termination. During the three months ended June 30, 2023, the Company recognized $58 million in workforce rebalancing charges and $10 million in charges related to ceasing to use leased and owned fixed assets and lease termination charges.</w:t>
      </w:r>
    </w:p>
    <w:p>
      <w:pPr>
        <w:spacing w:after="0" w:line="16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Management expects total future charges for this program to be approximately $70 million, consisting of $50 million in workforce rebalancing charges and $20 million in charges related to ceasing to use leased and owned fixed assets and lease termination charges. The Company estimates that the program in aggregate will require a cash outlay of approximately $260 million, of which approximately $92 million has been paid through June 30, 2023 (including $11 million of contractual payments toward leased assets we have ceased to use) and approximately $100 million is expected to be paid within fiscal year 2024, and the remainder thereafter. Management expects that these workforce rebalancing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and site-rationalization activities will reduce future payroll costs, rent expenses and depreciation of property and equipment by approximately $200 million in fiscal year 2024. There can be no guarantee that we will achieve our expected cost savings. 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The provision for income taxes for the three months ended June 30, 2023 was $32 million of expense, compared to $45 million of expense for the three months ended June 30, 2022. Our income tax expense for each of the three months ended June 30, 2023 and 2022 was primarily related to taxes on foreign operations and valuation allowances recorded in certain jurisdictions against deferred tax assets that are not more likely than not to be realized.</w:t>
      </w:r>
    </w:p>
    <w:p>
      <w:pPr>
        <w:spacing w:after="0" w:line="157"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Dynamics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Total assets of $11.0 billion decreased by $477 million (and decreased by $450 million adjusted for currency) from March 31, 2023, primarily driven by: a decrease in cash and cash equivalents of $341 million mainly due to the net loss in the period as well as payments for license agreements, annual incentives and workforce rebalancing liabilities; and a decrease of $33 million in accounts receivable due to lower revenue.</w:t>
      </w:r>
    </w:p>
    <w:p>
      <w:pPr>
        <w:spacing w:after="0" w:line="18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Total liabilities of $9.6 billion decreased by $354 million (and decreased by $379 million adjusted for currency) from March 31, 2023, primarily as a result of: a decrease in accounts payable of $148 million; a decrease in deferred income of $63 million mainly due to lower advanced billings; and a decrease in accrued compensation and benefits of $60 million due to payments of annual incentives; partially offset by an increase in debt of $63 million due to new finance leases. Total equity of $1.3 billion decreased $124 million from March 31, 2023, principally due to our comprehensive loss in the period.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7"/>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Working capital decreased $33 million from March 31, 2023. Current assets decreased $310 million (and decreased $300 million adjusted for currency) primarily driven by: a decrease of $341 million in cash and cash equivalents and a decrease of $33 million in accounts receivable. Current liabilities decreased $277 million (and decreased $298 million adjusted for currency) as a result of a decrease in accounts payable of $148 million and a decrease in accrued compensation and benefits of $60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Noncurrent Assets and Liabilities</w:t>
      </w:r>
    </w:p>
    <w:p>
      <w:pPr>
        <w:spacing w:after="0" w:line="22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Noncurrent assets of $6.3 billion at June 30, 2023 decreased by $167 million (and decreased by $150 million adjusted for currency) compared to March 31, 2023, driven by a decrease in deferred taxes of $58 million; and a decrease in deferred costs (noncurrent) of $44 million.</w:t>
      </w:r>
    </w:p>
    <w:p>
      <w:pPr>
        <w:spacing w:after="0" w:line="184"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Noncurrent liabilities of $5.1 billion at June 30, 2023 decreased $77 million (and decreased by $82 million adjusted for currency) compared to March 31, 2023, mainly driven by a decrease in deferred tax liability of $30 million; and a decrease in deferred income (noncurrent) of $28 million; partially offset by an increase in long-term debt of $38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cash flows from operating, investing and financing activities are summarized in the table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vMerge w:val="restart"/>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142"/>
        </w:trPr>
        <w:tc>
          <w:tcPr>
            <w:tcW w:w="610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Net cash used in operating activities was $173 million in the three months ended June 30, 2023, compared to net cash provided of $104 million in the prior-year period. This change was primarily driven by payments toward license agreements, annual incentives and workforce rebalancing liabilities in the current quarter and higher cash flows from receivables in the prior-year quarter.</w:t>
      </w:r>
    </w:p>
    <w:p>
      <w:pPr>
        <w:spacing w:after="0" w:line="18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Net cash used by investing activities was $113 million in the three months ended June 30, 2023, compared to a net cash use of $218 million in the prior-year period due to lower capital expenditures.</w:t>
      </w:r>
    </w:p>
    <w:p>
      <w:pPr>
        <w:spacing w:after="0" w:line="170"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Net cash used by financing activities totaled $38 million in the three months ended June 30, 2023, compared to net cash used by financing activities of $41 million in the prior-year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the Company’s signings for the three months ended June 30, 2023 and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billions)</w:t>
            </w:r>
          </w:p>
        </w:tc>
        <w:tc>
          <w:tcPr>
            <w:tcW w:w="200" w:type="dxa"/>
            <w:vAlign w:val="bottom"/>
            <w:vMerge w:val="restart"/>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2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signings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Signings decreased by $145 million in the three months ended June 30, 2023, or 5%, compared to the prior-year quarter due to the Company’s efforts to reduce certain low-margin revenues. We believe that the estimated values of signings provide insight into the Company’s potential future revenue and are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639" w:firstLine="648"/>
        <w:spacing w:after="0" w:line="308" w:lineRule="auto"/>
        <w:rPr>
          <w:sz w:val="20"/>
          <w:szCs w:val="20"/>
          <w:color w:val="auto"/>
        </w:rPr>
      </w:pPr>
      <w:r>
        <w:rPr>
          <w:rFonts w:ascii="Arial" w:cs="Arial" w:eastAsia="Arial" w:hAnsi="Arial"/>
          <w:sz w:val="17"/>
          <w:szCs w:val="17"/>
          <w:color w:val="auto"/>
        </w:rPr>
        <w:t>We believe that our existing cash and cash equivalents and the Revolving Credit Agreement entered into in October 2021, will be sufficient to meet our anticipated cash needs for at least the next twelve months.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w:t>
      </w:r>
    </w:p>
    <w:p>
      <w:pPr>
        <w:spacing w:after="0" w:line="178"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In connection with the issuance of the Notes, we entered into a registration rights agreement with the initial purchasers of the Notes, pursuant to which we completed a registered offering to exchange each series of Notes for new notes with substantially identical terms during the quarter ended September 30, 2022.</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5"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24"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 June 2023, we amended the Credit Agreements by replacing the London Interbank Offered Rate (“LIBOR”) as the interest rate benchmark for U.S. Dollar borrowings with the Secured Overnight Financing Rate (“SOFR”). The first repricing date using SOFR will be in July 2023.</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 As of June 30, 2023, there were no borrowings under the Revolving Credit Agreement.</w:t>
      </w:r>
    </w:p>
    <w:p>
      <w:pPr>
        <w:spacing w:after="0" w:line="187"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We may voluntarily prepay our debt without premium or penalty, subject to customary “breakage” costs. The Company is in compliance with all of its debt covenants for all periods presented.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at any one time, on a revolving basis, our trade receivables with payment terms from three to nine months in the amount of up to $1.0 billion, and trade receivables with payment terms of less than three months with no defined limit, contingent on the approval of the counterparty. The initial term of this agreement was 18 months, and the agreement automatically resets to a term of 18 months after every six months, unless one of the parties elects not to extend. The second agreement was executed in June 2022 with a separate third-party financial institution, in which the sale of receivables is contingent on the approval of the counterparty with no defined facility limit. The initial term of this agreement is twelve months, and was extended for an additional year.</w:t>
      </w:r>
    </w:p>
    <w:p>
      <w:pPr>
        <w:spacing w:after="0" w:line="182"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The net proceeds from these agreements are reflected as cash provided by operating activities in the Consolidated Statement of Cash Flows. Gross proceeds from receivables sold to third parties under such programs were $1.2 billion and $613 million for the three months ended June 30, 2023 and June 30, 2022, respectively. The fees associated with the transfers of receivables were $16 million and $8 million for the three months ended June 30, 2023 and June 30, 2022, respectively. The year-over-year change was due to the aforementioned amendments.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2023 for more information; we refer to the Annual Report on Form 10-K for the fiscal year ended March 31, 2023 as the “Form 10-K”.</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“estimate,” “expect,” “intend,” “target,” “may,” “should,” “would,” “could,” “seek,” “aim,” “believe”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68"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the Company’s spin-off from IBM;</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attract new customers, retain existing customers or sell additional services to customers;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developments and the Company’s response to such developments;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meet growth and productivity objectives;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impacts of relationships with critical suppliers and partners;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and retain key personnel and other skilled employees;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local legal, economic, political, health and other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downturn in economic environment and customer spending budgets;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the Company’s reputation;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Discussion (continued)</w:t>
      </w:r>
    </w:p>
    <w:p>
      <w:pPr>
        <w:spacing w:after="0" w:line="229"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accurately estimate the cost of services and the timeline for completion of contracts;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implementation of a new enterprise resource planning system and other systems and processes;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 delivery issues;</w:t>
      </w:r>
    </w:p>
    <w:p>
      <w:pPr>
        <w:spacing w:after="0" w:line="9" w:lineRule="exact"/>
        <w:rPr>
          <w:rFonts w:ascii="Arial" w:cs="Arial" w:eastAsia="Arial" w:hAnsi="Arial"/>
          <w:sz w:val="18"/>
          <w:szCs w:val="18"/>
          <w:color w:val="auto"/>
        </w:rPr>
      </w:pPr>
    </w:p>
    <w:p>
      <w:pPr>
        <w:ind w:left="720" w:right="559" w:hanging="319"/>
        <w:spacing w:after="0" w:line="28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ability to successfully manage acquisitions, alliances and dispositions, including integration challenges, failure to achieve objectives, the assumption of liabilities, and higher debt levels;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business with government customers;</w:t>
      </w:r>
    </w:p>
    <w:p>
      <w:pPr>
        <w:spacing w:after="0" w:line="9" w:lineRule="exact"/>
        <w:rPr>
          <w:rFonts w:ascii="Arial" w:cs="Arial" w:eastAsia="Arial" w:hAnsi="Arial"/>
          <w:sz w:val="18"/>
          <w:szCs w:val="18"/>
          <w:color w:val="auto"/>
        </w:rPr>
      </w:pPr>
    </w:p>
    <w:p>
      <w:pPr>
        <w:ind w:left="720" w:right="63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impairment of our goodwill or long-lived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cybersecurity and data privacy;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non-compliance with legal and regulatory requirements;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from tax matters and environmental matters;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proceedings and investigatory risks and potential indemnification obligations;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 of changes in market liquidity conditions and customer credit risk on receivables;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pension plans;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currency fluctuations;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Company’s common stock and the securities market.</w:t>
      </w:r>
    </w:p>
    <w:p>
      <w:pPr>
        <w:spacing w:after="0" w:line="211" w:lineRule="exact"/>
        <w:rPr>
          <w:sz w:val="20"/>
          <w:szCs w:val="20"/>
          <w:color w:val="auto"/>
        </w:rPr>
      </w:pPr>
    </w:p>
    <w:p>
      <w:pPr>
        <w:ind w:left="60" w:right="379" w:firstLine="648"/>
        <w:spacing w:after="0" w:line="301" w:lineRule="auto"/>
        <w:rPr>
          <w:sz w:val="20"/>
          <w:szCs w:val="20"/>
          <w:color w:val="auto"/>
        </w:rPr>
      </w:pPr>
      <w:r>
        <w:rPr>
          <w:rFonts w:ascii="Arial" w:cs="Arial" w:eastAsia="Arial" w:hAnsi="Arial"/>
          <w:sz w:val="16"/>
          <w:szCs w:val="16"/>
          <w:color w:val="auto"/>
        </w:rPr>
        <w:t>Additional risks and uncertainties include, among others, those risks and uncertainties described in the “Risk Factors” section of our Form 10-K, as such factors may be updated from time to time in the Company’s periodic filings with the SEC. Any forward-looking statement in this report speaks only as of the date on which it is made. Except as required by law, the Company assumes no obligation to update or revise any forward-looking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Website and Social Media Disclosure</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We may also use our Investors Relations website, https://investors.kyndryl.com, as means of disclosing material non-public information and for complying with our disclosure obligations under Regulation FD. In addition, you may automatically receive email alerts and other information about the Company when you enroll your email address by visiting the “Investor Email Alerts” section under the “Resources” section at https://investors.kyndryl.com.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Any controls and procedures, no matter how well designed and operated, can provide only reasonable assurance of achieving the desired control objectives. Based on that evaluation, the Chief Executive Officer and Chief Financial Officer have concluded that the Company’s disclosure controls and procedures were effective as of the end of the period covered by this report.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During the quarter ended June 30, 2023, we completed the initial phase of a new SAP enterprise resource planning system implementation, which we expect will enhance our transactional processing and financial reporting. The implementation included changes to certain financial processes impacting key controls related to our internal controls over financial reporting. We believe we have maintained appropriate internal control over financial reporting during the implementation and will continue to monitor the impact of the implementation on our processes, procedures and internal control over financial reporting. There have been no other changes in the Company’s internal control over financial reporting (as such term is defined in Rule 13a-15(f) of the Exchange Act) that occurred during the period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Refer to Note 10 – Commitments and Contingencies, in the notes to consolidated financial statements in this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For a discussion of our potential risks and uncertainties, see the information under the heading “Risk Factors” in our Form 10-K for the year ended March 31, 2023. There have been no material changes with respect to the risk factors disclosed in the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left="60" w:right="339" w:firstLine="648"/>
        <w:spacing w:after="0" w:line="259" w:lineRule="auto"/>
        <w:rPr>
          <w:sz w:val="20"/>
          <w:szCs w:val="20"/>
          <w:color w:val="auto"/>
        </w:rPr>
      </w:pPr>
      <w:r>
        <w:rPr>
          <w:rFonts w:ascii="Arial" w:cs="Arial" w:eastAsia="Arial" w:hAnsi="Arial"/>
          <w:sz w:val="18"/>
          <w:szCs w:val="18"/>
          <w:color w:val="auto"/>
        </w:rPr>
        <w:t>During the three months ended June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17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63"/>
        </w:trPr>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3"/>
              </w:rPr>
              <w:t>Item 6. Exhibits</w:t>
            </w: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Number</w:t>
            </w:r>
          </w:p>
        </w:tc>
        <w:tc>
          <w:tcPr>
            <w:tcW w:w="6720" w:type="dxa"/>
            <w:vAlign w:val="bottom"/>
            <w:gridSpan w:val="17"/>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1260" w:type="dxa"/>
            <w:vAlign w:val="bottom"/>
          </w:tcPr>
          <w:p>
            <w:pPr>
              <w:ind w:left="80"/>
              <w:spacing w:after="0" w:line="190" w:lineRule="exact"/>
              <w:rPr>
                <w:sz w:val="20"/>
                <w:szCs w:val="20"/>
                <w:color w:val="auto"/>
              </w:rPr>
            </w:pPr>
            <w:r>
              <w:rPr>
                <w:rFonts w:ascii="Arial" w:cs="Arial" w:eastAsia="Arial" w:hAnsi="Arial"/>
                <w:sz w:val="18"/>
                <w:szCs w:val="18"/>
                <w:color w:val="auto"/>
              </w:rPr>
              <w:t>2.1</w:t>
            </w:r>
          </w:p>
        </w:tc>
        <w:tc>
          <w:tcPr>
            <w:tcW w:w="480" w:type="dxa"/>
            <w:vAlign w:val="bottom"/>
          </w:tcPr>
          <w:p>
            <w:pPr>
              <w:spacing w:after="0"/>
              <w:rPr>
                <w:sz w:val="16"/>
                <w:szCs w:val="16"/>
                <w:color w:val="auto"/>
              </w:rPr>
            </w:pPr>
          </w:p>
        </w:tc>
        <w:tc>
          <w:tcPr>
            <w:tcW w:w="664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The Separation and Distribution Agreement, dated as of November 2, 2021, by and between</w:t>
              </w:r>
            </w:hyperlink>
          </w:p>
        </w:tc>
        <w:tc>
          <w:tcPr>
            <w:tcW w:w="80" w:type="dxa"/>
            <w:vAlign w:val="bottom"/>
            <w:gridSpan w:val="4"/>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International Business Machines Corporation and the registrant was filed as Exhibit 2.1 to</w:t>
              </w:r>
            </w:hyperlink>
          </w:p>
        </w:tc>
        <w:tc>
          <w:tcPr>
            <w:tcW w:w="24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the registrant’s Current Report on Form 8-K filed on November 4, 2021, and is hereby</w:t>
              </w:r>
            </w:hyperlink>
          </w:p>
        </w:tc>
        <w:tc>
          <w:tcPr>
            <w:tcW w:w="50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incorporated by reference.</w:t>
              </w:r>
            </w:hyperlink>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3.1</w:t>
            </w:r>
          </w:p>
        </w:tc>
        <w:tc>
          <w:tcPr>
            <w:tcW w:w="480" w:type="dxa"/>
            <w:vAlign w:val="bottom"/>
          </w:tcPr>
          <w:p>
            <w:pPr>
              <w:spacing w:after="0"/>
              <w:rPr>
                <w:sz w:val="17"/>
                <w:szCs w:val="17"/>
                <w:color w:val="auto"/>
              </w:rPr>
            </w:pPr>
          </w:p>
        </w:tc>
        <w:tc>
          <w:tcPr>
            <w:tcW w:w="6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The Amended and Restated Certificate of Incorporation of the registrant was filed as Exhibit</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Current Report on Form 8-K filed on November 4, 2021, and is hereby</w:t>
              </w:r>
            </w:hyperlink>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incorporated by reference.</w:t>
              </w:r>
            </w:hyperlink>
          </w:p>
        </w:tc>
        <w:tc>
          <w:tcPr>
            <w:tcW w:w="6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3.2</w:t>
            </w: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 Amended and Restated Bylaws of the registrant, effective January 25, 2023, was filed as</w:t>
              </w:r>
            </w:hyperlink>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Exhibit 3.1 to the registrant’s Current Report on Form 8-K filed on January 27, 2023 and is</w:t>
              </w:r>
            </w:hyperlink>
          </w:p>
        </w:tc>
        <w:tc>
          <w:tcPr>
            <w:tcW w:w="1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hereby incorporated by reference.</w:t>
              </w:r>
            </w:hyperlink>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10.1</w:t>
            </w:r>
          </w:p>
        </w:tc>
        <w:tc>
          <w:tcPr>
            <w:tcW w:w="480" w:type="dxa"/>
            <w:vAlign w:val="bottom"/>
          </w:tcPr>
          <w:p>
            <w:pPr>
              <w:spacing w:after="0"/>
              <w:rPr>
                <w:sz w:val="17"/>
                <w:szCs w:val="17"/>
                <w:color w:val="auto"/>
              </w:rPr>
            </w:pPr>
          </w:p>
        </w:tc>
        <w:tc>
          <w:tcPr>
            <w:tcW w:w="6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Amendment No.1 to the Five-Year Revolving Credit Agreement, dated as of June 21, 2023</w:t>
              </w:r>
            </w:hyperlink>
          </w:p>
        </w:tc>
        <w:tc>
          <w:tcPr>
            <w:tcW w:w="18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among the Company, the Lenders party thereto and JPMorgan Chase Bank N.A., as</w:t>
              </w:r>
            </w:hyperlink>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Administrative Agent, was filed as Exhibit 10.1 to the registrant’s Current Report on Form 8-</w:t>
              </w:r>
            </w:hyperlink>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K filed on June 23, 2023, and is hereby incorporated by reference.</w:t>
              </w:r>
            </w:hyperlink>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10.2</w:t>
            </w:r>
          </w:p>
        </w:tc>
        <w:tc>
          <w:tcPr>
            <w:tcW w:w="480" w:type="dxa"/>
            <w:vAlign w:val="bottom"/>
          </w:tcPr>
          <w:p>
            <w:pPr>
              <w:spacing w:after="0"/>
              <w:rPr>
                <w:sz w:val="17"/>
                <w:szCs w:val="17"/>
                <w:color w:val="auto"/>
              </w:rPr>
            </w:pPr>
          </w:p>
        </w:tc>
        <w:tc>
          <w:tcPr>
            <w:tcW w:w="6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Amendment No.1 to the Term Loan Credit Agreement, dated as of June 21, 2023 among the</w:t>
              </w:r>
            </w:hyperlink>
          </w:p>
        </w:tc>
        <w:tc>
          <w:tcPr>
            <w:tcW w:w="10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Company, the Lenders party thereto and JPMorgan Chase Bank N.A., as Administrative</w:t>
              </w:r>
            </w:hyperlink>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Agent, was filed as Exhibit 10.2 to the registrant’s Current Report on Form 8-K filed on June</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23, 2023, and is hereby incorporated by reference.</w:t>
              </w:r>
            </w:hyperlink>
          </w:p>
        </w:tc>
        <w:tc>
          <w:tcPr>
            <w:tcW w:w="3100" w:type="dxa"/>
            <w:vAlign w:val="bottom"/>
            <w:gridSpan w:val="13"/>
          </w:tcPr>
          <w:p>
            <w:pPr>
              <w:spacing w:after="0"/>
              <w:rPr>
                <w:sz w:val="17"/>
                <w:szCs w:val="17"/>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31.1</w:t>
            </w:r>
          </w:p>
        </w:tc>
        <w:tc>
          <w:tcPr>
            <w:tcW w:w="480" w:type="dxa"/>
            <w:vAlign w:val="bottom"/>
          </w:tcPr>
          <w:p>
            <w:pPr>
              <w:spacing w:after="0"/>
              <w:rPr>
                <w:sz w:val="17"/>
                <w:szCs w:val="17"/>
                <w:color w:val="auto"/>
              </w:rPr>
            </w:pPr>
          </w:p>
        </w:tc>
        <w:tc>
          <w:tcPr>
            <w:tcW w:w="67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Certification of principal executive officer, as required by Section 302 of the Sarbanes-Oxley</w:t>
            </w:r>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sz w:val="20"/>
                <w:szCs w:val="20"/>
                <w:color w:val="auto"/>
              </w:rPr>
            </w:pPr>
            <w:r>
              <w:rPr>
                <w:rFonts w:ascii="Arial" w:cs="Arial" w:eastAsia="Arial" w:hAnsi="Arial"/>
                <w:sz w:val="18"/>
                <w:szCs w:val="18"/>
                <w:color w:val="0000EE"/>
              </w:rPr>
              <w:t>Act of 2002 (filed herewith)</w:t>
            </w:r>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31.2</w:t>
            </w:r>
          </w:p>
        </w:tc>
        <w:tc>
          <w:tcPr>
            <w:tcW w:w="480" w:type="dxa"/>
            <w:vAlign w:val="bottom"/>
          </w:tcPr>
          <w:p>
            <w:pPr>
              <w:spacing w:after="0"/>
              <w:rPr>
                <w:sz w:val="17"/>
                <w:szCs w:val="17"/>
                <w:color w:val="auto"/>
              </w:rPr>
            </w:pPr>
          </w:p>
        </w:tc>
        <w:tc>
          <w:tcPr>
            <w:tcW w:w="66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Certification of principal financial officer, as required by Section 302 of the Sarbanes-Oxley</w:t>
            </w:r>
          </w:p>
        </w:tc>
        <w:tc>
          <w:tcPr>
            <w:tcW w:w="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7"/>
          </w:tcPr>
          <w:p>
            <w:pPr>
              <w:spacing w:after="0" w:line="196" w:lineRule="exact"/>
              <w:rPr>
                <w:sz w:val="20"/>
                <w:szCs w:val="20"/>
                <w:color w:val="auto"/>
              </w:rPr>
            </w:pPr>
            <w:r>
              <w:rPr>
                <w:rFonts w:ascii="Arial" w:cs="Arial" w:eastAsia="Arial" w:hAnsi="Arial"/>
                <w:sz w:val="18"/>
                <w:szCs w:val="18"/>
                <w:color w:val="0000EE"/>
              </w:rPr>
              <w:t>Act of 2002 (filed herewith)</w:t>
            </w:r>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gridSpan w:val="14"/>
          </w:tcPr>
          <w:p>
            <w:pPr>
              <w:spacing w:after="0" w:line="20" w:lineRule="exact"/>
              <w:rPr>
                <w:sz w:val="1"/>
                <w:szCs w:val="1"/>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32.1</w:t>
            </w:r>
          </w:p>
        </w:tc>
        <w:tc>
          <w:tcPr>
            <w:tcW w:w="480" w:type="dxa"/>
            <w:vAlign w:val="bottom"/>
          </w:tcPr>
          <w:p>
            <w:pPr>
              <w:spacing w:after="0"/>
              <w:rPr>
                <w:sz w:val="17"/>
                <w:szCs w:val="17"/>
                <w:color w:val="auto"/>
              </w:rPr>
            </w:pPr>
          </w:p>
        </w:tc>
        <w:tc>
          <w:tcPr>
            <w:tcW w:w="67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Certification of principal executive officer, as required by Section 906 of the Sarbanes-Oxley</w:t>
            </w:r>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Act of 2002 (furnished herewith)</w:t>
            </w:r>
          </w:p>
        </w:tc>
        <w:tc>
          <w:tcPr>
            <w:tcW w:w="4300" w:type="dxa"/>
            <w:vAlign w:val="bottom"/>
            <w:gridSpan w:val="14"/>
          </w:tcPr>
          <w:p>
            <w:pPr>
              <w:spacing w:after="0"/>
              <w:rPr>
                <w:sz w:val="17"/>
                <w:szCs w:val="17"/>
                <w:color w:val="auto"/>
              </w:rPr>
            </w:pPr>
          </w:p>
        </w:tc>
      </w:tr>
      <w:tr>
        <w:trPr>
          <w:trHeight w:val="196"/>
        </w:trPr>
        <w:tc>
          <w:tcPr>
            <w:tcW w:w="1260" w:type="dxa"/>
            <w:vAlign w:val="bottom"/>
          </w:tcPr>
          <w:p>
            <w:pPr>
              <w:ind w:left="80"/>
              <w:spacing w:after="0" w:line="196" w:lineRule="exact"/>
              <w:rPr>
                <w:sz w:val="20"/>
                <w:szCs w:val="20"/>
                <w:color w:val="auto"/>
              </w:rPr>
            </w:pPr>
            <w:r>
              <w:rPr>
                <w:rFonts w:ascii="Arial" w:cs="Arial" w:eastAsia="Arial" w:hAnsi="Arial"/>
                <w:sz w:val="18"/>
                <w:szCs w:val="18"/>
                <w:color w:val="auto"/>
              </w:rPr>
              <w:t>32.2</w:t>
            </w:r>
          </w:p>
        </w:tc>
        <w:tc>
          <w:tcPr>
            <w:tcW w:w="480" w:type="dxa"/>
            <w:vAlign w:val="bottom"/>
          </w:tcPr>
          <w:p>
            <w:pPr>
              <w:spacing w:after="0"/>
              <w:rPr>
                <w:sz w:val="17"/>
                <w:szCs w:val="17"/>
                <w:color w:val="auto"/>
              </w:rPr>
            </w:pPr>
          </w:p>
        </w:tc>
        <w:tc>
          <w:tcPr>
            <w:tcW w:w="66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Certification of principal financial officer, as required by Section 906 of the Sarbanes-Oxley</w:t>
            </w:r>
          </w:p>
        </w:tc>
        <w:tc>
          <w:tcPr>
            <w:tcW w:w="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Act of 2002 (furnished herewith)</w:t>
            </w:r>
          </w:p>
        </w:tc>
        <w:tc>
          <w:tcPr>
            <w:tcW w:w="4300" w:type="dxa"/>
            <w:vAlign w:val="bottom"/>
            <w:gridSpan w:val="14"/>
          </w:tcPr>
          <w:p>
            <w:pPr>
              <w:spacing w:after="0"/>
              <w:rPr>
                <w:sz w:val="17"/>
                <w:szCs w:val="17"/>
                <w:color w:val="auto"/>
              </w:rPr>
            </w:pPr>
          </w:p>
        </w:tc>
      </w:tr>
      <w:tr>
        <w:trPr>
          <w:trHeight w:val="222"/>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101.INS</w:t>
            </w:r>
          </w:p>
        </w:tc>
        <w:tc>
          <w:tcPr>
            <w:tcW w:w="6720" w:type="dxa"/>
            <w:vAlign w:val="bottom"/>
            <w:gridSpan w:val="17"/>
          </w:tcPr>
          <w:p>
            <w:pPr>
              <w:spacing w:after="0"/>
              <w:rPr>
                <w:sz w:val="20"/>
                <w:szCs w:val="20"/>
                <w:color w:val="auto"/>
              </w:rPr>
            </w:pPr>
            <w:r>
              <w:rPr>
                <w:rFonts w:ascii="Arial" w:cs="Arial" w:eastAsia="Arial" w:hAnsi="Arial"/>
                <w:sz w:val="18"/>
                <w:szCs w:val="18"/>
                <w:color w:val="auto"/>
                <w:w w:val="91"/>
              </w:rPr>
              <w:t>XBRL Instance Document – the instance document does not appear on the Interactive Data</w:t>
            </w:r>
          </w:p>
        </w:tc>
      </w:tr>
      <w:tr>
        <w:trPr>
          <w:trHeight w:val="216"/>
        </w:trPr>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20" w:type="dxa"/>
            <w:vAlign w:val="bottom"/>
            <w:gridSpan w:val="17"/>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216"/>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101.SCH</w:t>
            </w:r>
          </w:p>
        </w:tc>
        <w:tc>
          <w:tcPr>
            <w:tcW w:w="672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101.CAL</w:t>
            </w:r>
          </w:p>
        </w:tc>
        <w:tc>
          <w:tcPr>
            <w:tcW w:w="67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101.DEF</w:t>
            </w:r>
          </w:p>
        </w:tc>
        <w:tc>
          <w:tcPr>
            <w:tcW w:w="672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101.LAB</w:t>
            </w:r>
          </w:p>
        </w:tc>
        <w:tc>
          <w:tcPr>
            <w:tcW w:w="67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101.PRE</w:t>
            </w:r>
          </w:p>
        </w:tc>
        <w:tc>
          <w:tcPr>
            <w:tcW w:w="67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6"/>
        </w:trPr>
        <w:tc>
          <w:tcPr>
            <w:tcW w:w="1260" w:type="dxa"/>
            <w:vAlign w:val="bottom"/>
          </w:tcPr>
          <w:p>
            <w:pPr>
              <w:ind w:left="8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6720" w:type="dxa"/>
            <w:vAlign w:val="bottom"/>
            <w:gridSpan w:val="17"/>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w:t>
            </w:r>
          </w:p>
        </w:tc>
      </w:tr>
      <w:tr>
        <w:trPr>
          <w:trHeight w:val="230"/>
        </w:trPr>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20" w:type="dxa"/>
            <w:vAlign w:val="bottom"/>
            <w:gridSpan w:val="17"/>
          </w:tcPr>
          <w:p>
            <w:pPr>
              <w:spacing w:after="0"/>
              <w:rPr>
                <w:sz w:val="20"/>
                <w:szCs w:val="20"/>
                <w:color w:val="auto"/>
              </w:rPr>
            </w:pPr>
            <w:r>
              <w:rPr>
                <w:rFonts w:ascii="Arial" w:cs="Arial" w:eastAsia="Arial" w:hAnsi="Arial"/>
                <w:sz w:val="18"/>
                <w:szCs w:val="18"/>
                <w:color w:val="auto"/>
                <w:w w:val="91"/>
              </w:rPr>
              <w:t>Interactive Data File because its XBRL tags are embedded within the Inline XBRL document</w:t>
            </w:r>
          </w:p>
        </w:tc>
      </w:tr>
    </w:tbl>
    <w:p>
      <w:pPr>
        <w:spacing w:after="0" w:line="20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2768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25800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Vineet Khurana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Kyndryl Holdings, Inc.;</w:t>
      </w:r>
    </w:p>
    <w:p>
      <w:pPr>
        <w:spacing w:after="0" w:line="225" w:lineRule="exact"/>
        <w:rPr>
          <w:rFonts w:ascii="Arial" w:cs="Arial" w:eastAsia="Arial" w:hAnsi="Arial"/>
          <w:sz w:val="18"/>
          <w:szCs w:val="18"/>
          <w:color w:val="auto"/>
        </w:rPr>
      </w:pPr>
    </w:p>
    <w:p>
      <w:pPr>
        <w:ind w:right="140" w:firstLine="8"/>
        <w:spacing w:after="0" w:line="263"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
        <w:spacing w:after="0" w:line="291" w:lineRule="auto"/>
        <w:tabs>
          <w:tab w:leader="none" w:pos="1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380" w:right="160" w:hanging="2"/>
        <w:spacing w:after="0" w:line="286" w:lineRule="auto"/>
        <w:tabs>
          <w:tab w:leader="none" w:pos="56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380" w:right="280" w:hanging="2"/>
        <w:spacing w:after="0" w:line="286" w:lineRule="auto"/>
        <w:tabs>
          <w:tab w:leader="none" w:pos="57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380" w:right="260" w:hanging="2"/>
        <w:spacing w:after="0" w:line="263" w:lineRule="auto"/>
        <w:tabs>
          <w:tab w:leader="none" w:pos="5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380" w:right="20" w:hanging="2"/>
        <w:spacing w:after="0" w:line="286" w:lineRule="auto"/>
        <w:tabs>
          <w:tab w:leader="none" w:pos="57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120" w:firstLine="8"/>
        <w:spacing w:after="0" w:line="263" w:lineRule="auto"/>
        <w:tabs>
          <w:tab w:leader="none" w:pos="1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80" w:right="140" w:hanging="2"/>
        <w:spacing w:after="0" w:line="342" w:lineRule="auto"/>
        <w:tabs>
          <w:tab w:leader="none" w:pos="55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380" w:right="160" w:hanging="2"/>
        <w:spacing w:after="0" w:line="277" w:lineRule="auto"/>
        <w:tabs>
          <w:tab w:leader="none" w:pos="5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64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and Chief Executive Officer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Kyndryl Holdings, Inc.;</w:t>
      </w:r>
    </w:p>
    <w:p>
      <w:pPr>
        <w:spacing w:after="0" w:line="225" w:lineRule="exact"/>
        <w:rPr>
          <w:rFonts w:ascii="Arial" w:cs="Arial" w:eastAsia="Arial" w:hAnsi="Arial"/>
          <w:sz w:val="18"/>
          <w:szCs w:val="18"/>
          <w:color w:val="auto"/>
        </w:rPr>
      </w:pPr>
    </w:p>
    <w:p>
      <w:pPr>
        <w:ind w:right="140" w:firstLine="8"/>
        <w:spacing w:after="0" w:line="263"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
        <w:spacing w:after="0" w:line="291" w:lineRule="auto"/>
        <w:tabs>
          <w:tab w:leader="none" w:pos="1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380" w:right="160" w:hanging="2"/>
        <w:spacing w:after="0" w:line="286" w:lineRule="auto"/>
        <w:tabs>
          <w:tab w:leader="none" w:pos="56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380" w:right="280" w:hanging="2"/>
        <w:spacing w:after="0" w:line="286" w:lineRule="auto"/>
        <w:tabs>
          <w:tab w:leader="none" w:pos="57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380" w:right="260" w:hanging="2"/>
        <w:spacing w:after="0" w:line="263" w:lineRule="auto"/>
        <w:tabs>
          <w:tab w:leader="none" w:pos="5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380" w:right="20" w:hanging="2"/>
        <w:spacing w:after="0" w:line="286" w:lineRule="auto"/>
        <w:tabs>
          <w:tab w:leader="none" w:pos="57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120" w:firstLine="8"/>
        <w:spacing w:after="0" w:line="263" w:lineRule="auto"/>
        <w:tabs>
          <w:tab w:leader="none" w:pos="1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80" w:right="140" w:hanging="2"/>
        <w:spacing w:after="0" w:line="342" w:lineRule="auto"/>
        <w:tabs>
          <w:tab w:leader="none" w:pos="5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380" w:right="160" w:hanging="2"/>
        <w:spacing w:after="0" w:line="277" w:lineRule="auto"/>
        <w:tabs>
          <w:tab w:leader="none" w:pos="5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64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Kyndryl Holdings, Inc. (the “Company”) on Form 10-Q for the quarterly period ended June 30, 2023,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0" w:firstLine="8"/>
        <w:spacing w:after="0" w:line="277" w:lineRule="auto"/>
        <w:tabs>
          <w:tab w:leader="none" w:pos="1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64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and Chief Executive Officer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Kyndryl Holdings, Inc. (the “Company”) on Form 10-Q for the quarterly period ended June 30, 2023,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0" w:firstLine="8"/>
        <w:spacing w:after="0" w:line="277" w:lineRule="auto"/>
        <w:tabs>
          <w:tab w:leader="none" w:pos="1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6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1" Type="http://schemas.openxmlformats.org/officeDocument/2006/relationships/hyperlink" Target="https://www.sec.gov/Archives/edgar/data/1867072/000110465921134456/tm2131654d1_ex2-1.htm" TargetMode="External"/><Relationship Id="rId52" Type="http://schemas.openxmlformats.org/officeDocument/2006/relationships/hyperlink" Target="https://www.sec.gov/Archives/edgar/data/1867072/000110465921134456/tm2131654d1_ex3-1.htm" TargetMode="External"/><Relationship Id="rId53" Type="http://schemas.openxmlformats.org/officeDocument/2006/relationships/hyperlink" Target="https://www.sec.gov/Archives/edgar/data/1867072/000155837023000663/kd-20230125xex3d1.htm" TargetMode="External"/><Relationship Id="rId54" Type="http://schemas.openxmlformats.org/officeDocument/2006/relationships/hyperlink" Target="https://www.sec.gov/Archives/edgar/data/1867072/000110465923074355/tm2319411d1_ex10-1.htm" TargetMode="External"/><Relationship Id="rId55" Type="http://schemas.openxmlformats.org/officeDocument/2006/relationships/hyperlink" Target="https://www.sec.gov/Archives/edgar/data/1867072/000110465923074355/tm231941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2023-08-08T15:36:14Z</dcterms:created>
  <dcterms:modified xsi:type="dcterms:W3CDTF">2023-08-08T15:36:14Z</dcterms:modified>
</cp:coreProperties>
</file>