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754380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 w:lineRule="exact"/>
        <w:rPr>
          <w:sz w:val="24"/>
          <w:szCs w:val="24"/>
          <w:color w:val="auto"/>
        </w:rPr>
      </w:pPr>
    </w:p>
    <w:p>
      <w:pPr>
        <w:ind w:left="2120" w:hanging="210"/>
        <w:spacing w:after="0"/>
        <w:tabs>
          <w:tab w:leader="none" w:pos="2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15" w:lineRule="exact"/>
        <w:rPr>
          <w:rFonts w:ascii="MS PGothic" w:cs="MS PGothic" w:eastAsia="MS PGothic" w:hAnsi="MS PGothic"/>
          <w:sz w:val="18"/>
          <w:szCs w:val="18"/>
          <w:color w:val="auto"/>
        </w:rPr>
      </w:pPr>
    </w:p>
    <w:p>
      <w:pPr>
        <w:ind w:left="2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200" w:lineRule="exact"/>
        <w:rPr>
          <w:sz w:val="24"/>
          <w:szCs w:val="24"/>
          <w:color w:val="auto"/>
        </w:rPr>
      </w:pPr>
    </w:p>
    <w:p>
      <w:pPr>
        <w:spacing w:after="0" w:line="217" w:lineRule="exact"/>
        <w:rPr>
          <w:sz w:val="24"/>
          <w:szCs w:val="24"/>
          <w:color w:val="auto"/>
        </w:rPr>
      </w:pPr>
    </w:p>
    <w:p>
      <w:pPr>
        <w:ind w:left="2100" w:hanging="195"/>
        <w:spacing w:after="0"/>
        <w:tabs>
          <w:tab w:leader="none" w:pos="21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 TO _________________</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001-40853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4" w:lineRule="exact"/>
        <w:rPr>
          <w:sz w:val="24"/>
          <w:szCs w:val="24"/>
          <w:color w:val="auto"/>
        </w:rPr>
      </w:pPr>
    </w:p>
    <w:tbl>
      <w:tblPr>
        <w:tblLayout w:type="fixed"/>
        <w:tblInd w:w="300" w:type="dxa"/>
        <w:tblCellMar>
          <w:top w:w="0" w:type="dxa"/>
          <w:left w:w="0" w:type="dxa"/>
          <w:bottom w:w="0" w:type="dxa"/>
          <w:right w:w="0" w:type="dxa"/>
        </w:tblCellMar>
      </w:tblP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40" w:type="dxa"/>
            <w:vAlign w:val="bottom"/>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rPr>
              <w:t>86-1185492</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416"/>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9"/>
              </w:rPr>
              <w:t>One Vanderbilt Avenue, 15th Floor</w:t>
            </w:r>
          </w:p>
        </w:tc>
        <w:tc>
          <w:tcPr>
            <w:tcW w:w="3140" w:type="dxa"/>
            <w:vAlign w:val="bottom"/>
          </w:tcPr>
          <w:p>
            <w:pPr>
              <w:spacing w:after="0"/>
              <w:rPr>
                <w:sz w:val="24"/>
                <w:szCs w:val="24"/>
                <w:color w:val="auto"/>
              </w:rPr>
            </w:pPr>
          </w:p>
        </w:tc>
      </w:t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40" w:type="dxa"/>
            <w:vAlign w:val="bottom"/>
          </w:tcPr>
          <w:p>
            <w:pPr>
              <w:jc w:val="right"/>
              <w:ind w:right="915"/>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212-896-2098</w:t>
      </w:r>
    </w:p>
    <w:p>
      <w:pPr>
        <w:spacing w:after="0" w:line="3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020" w:type="dxa"/>
            <w:vAlign w:val="bottom"/>
            <w:gridSpan w:val="3"/>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60" w:type="dxa"/>
            <w:vAlign w:val="bottom"/>
          </w:tcPr>
          <w:p>
            <w:pPr>
              <w:spacing w:after="0"/>
              <w:rPr>
                <w:sz w:val="18"/>
                <w:szCs w:val="18"/>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KD</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60" w:right="17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ind w:left="60" w:right="9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232" w:lineRule="exact"/>
        <w:rPr>
          <w:sz w:val="24"/>
          <w:szCs w:val="24"/>
          <w:color w:val="auto"/>
        </w:rPr>
      </w:pPr>
    </w:p>
    <w:p>
      <w:pPr>
        <w:ind w:left="14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63" w:lineRule="exact"/>
        <w:rPr>
          <w:sz w:val="24"/>
          <w:szCs w:val="24"/>
          <w:color w:val="auto"/>
        </w:rPr>
      </w:pPr>
    </w:p>
    <w:p>
      <w:pPr>
        <w:ind w:left="150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319"/>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30"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34" w:lineRule="exact"/>
        <w:rPr>
          <w:sz w:val="24"/>
          <w:szCs w:val="24"/>
          <w:color w:val="auto"/>
        </w:rPr>
      </w:pPr>
    </w:p>
    <w:p>
      <w:pPr>
        <w:sectPr>
          <w:pgSz w:w="11900" w:h="16838" w:orient="portrait"/>
          <w:cols w:equalWidth="0" w:num="2">
            <w:col w:w="5040" w:space="720"/>
            <w:col w:w="3259"/>
          </w:cols>
          <w:pgMar w:left="1440" w:top="661" w:right="1440" w:bottom="1440" w:gutter="0" w:footer="0" w:header="0"/>
          <w:type w:val="continuous"/>
        </w:sectPr>
      </w:pPr>
    </w:p>
    <w:p>
      <w:pPr>
        <w:ind w:left="60" w:right="23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 w:right="1319" w:firstLine="648"/>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left="60" w:right="519" w:firstLine="648"/>
        <w:spacing w:after="0" w:line="275" w:lineRule="auto"/>
        <w:rPr>
          <w:sz w:val="20"/>
          <w:szCs w:val="20"/>
          <w:color w:val="auto"/>
        </w:rPr>
      </w:pPr>
      <w:r>
        <w:rPr>
          <w:rFonts w:ascii="Times New Roman" w:cs="Times New Roman" w:eastAsia="Times New Roman" w:hAnsi="Times New Roman"/>
          <w:sz w:val="16"/>
          <w:szCs w:val="16"/>
          <w:color w:val="auto"/>
        </w:rPr>
        <w:t>The number of shares of the registrant’s Common Stock, par value $0.01 per share, outstanding at February 2, 2023 was 227,505,040.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466725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46990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89535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Index</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3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6220" w:type="dxa"/>
            <w:vAlign w:val="bottom"/>
            <w:gridSpan w:val="12"/>
            <w:vMerge w:val="restart"/>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2360" w:type="dxa"/>
            <w:vAlign w:val="bottom"/>
            <w:tcBorders>
              <w:bottom w:val="single" w:sz="8" w:color="0000EE"/>
            </w:tcBorders>
            <w:gridSpan w:val="11"/>
            <w:vMerge w:val="continue"/>
          </w:tcPr>
          <w:p>
            <w:pPr>
              <w:spacing w:after="0"/>
              <w:rPr>
                <w:sz w:val="13"/>
                <w:szCs w:val="13"/>
                <w:color w:val="auto"/>
              </w:rPr>
            </w:pPr>
          </w:p>
        </w:tc>
        <w:tc>
          <w:tcPr>
            <w:tcW w:w="6220" w:type="dxa"/>
            <w:vAlign w:val="bottom"/>
            <w:gridSpan w:val="1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Item 1. Consolidated Financial Statements (Unaudited):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Income Statement for the three and nine months ended December 31, 2022 and 2021</w:t>
            </w:r>
          </w:p>
        </w:tc>
        <w:tc>
          <w:tcPr>
            <w:tcW w:w="112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 of Comprehensive Income (Loss) for the three and nine months ended December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2022 and 2021</w:t>
            </w:r>
          </w:p>
        </w:tc>
        <w:tc>
          <w:tcPr>
            <w:tcW w:w="6600" w:type="dxa"/>
            <w:vAlign w:val="bottom"/>
            <w:tcBorders>
              <w:top w:val="single" w:sz="8" w:color="0000EE"/>
            </w:tcBorders>
            <w:gridSpan w:val="16"/>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Balance Sheet at December 31, 2022 and March 31, 2022</w:t>
            </w:r>
          </w:p>
        </w:tc>
        <w:tc>
          <w:tcPr>
            <w:tcW w:w="308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 of Cash Flows for the nine months ended December 31, 2022 and 202</w:t>
            </w:r>
            <w:r>
              <w:rPr>
                <w:rFonts w:ascii="Times New Roman" w:cs="Times New Roman" w:eastAsia="Times New Roman" w:hAnsi="Times New Roman"/>
                <w:sz w:val="18"/>
                <w:szCs w:val="18"/>
                <w:color w:val="000000"/>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 of Equity for the three and nine months ended December 31, 2022 and 2021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080" w:type="dxa"/>
            <w:vAlign w:val="bottom"/>
            <w:tcBorders>
              <w:top w:val="single" w:sz="8" w:color="0000EE"/>
            </w:tcBorders>
            <w:gridSpan w:val="7"/>
          </w:tcPr>
          <w:p>
            <w:pPr>
              <w:spacing w:after="0"/>
              <w:rPr>
                <w:sz w:val="24"/>
                <w:szCs w:val="24"/>
                <w:color w:val="auto"/>
              </w:rPr>
            </w:pPr>
          </w:p>
        </w:tc>
        <w:tc>
          <w:tcPr>
            <w:tcW w:w="100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Item 2. Management’s Discussion and Analysis of Financial Condition and Results of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300" w:type="dxa"/>
            <w:vAlign w:val="bottom"/>
            <w:tcBorders>
              <w:bottom w:val="single" w:sz="8" w:color="0000EE"/>
            </w:tcBorders>
            <w:gridSpan w:val="16"/>
          </w:tcPr>
          <w:p>
            <w:pPr>
              <w:ind w:left="60"/>
              <w:spacing w:after="0"/>
              <w:rPr>
                <w:sz w:val="20"/>
                <w:szCs w:val="20"/>
                <w:color w:val="auto"/>
              </w:rPr>
            </w:pPr>
            <w:r>
              <w:rPr>
                <w:rFonts w:ascii="Times New Roman" w:cs="Times New Roman" w:eastAsia="Times New Roman" w:hAnsi="Times New Roman"/>
                <w:sz w:val="18"/>
                <w:szCs w:val="18"/>
                <w:b w:val="1"/>
                <w:bCs w:val="1"/>
                <w:color w:val="0000EE"/>
                <w:w w:val="99"/>
              </w:rPr>
              <w:t>Item 3. Quantitative and Qualitative Disclosures About Market Risk</w:t>
            </w:r>
          </w:p>
        </w:tc>
        <w:tc>
          <w:tcPr>
            <w:tcW w:w="31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Item 4. Controls and Procedures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6400" w:type="dxa"/>
            <w:vAlign w:val="bottom"/>
            <w:gridSpan w:val="14"/>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Item 1. Legal Proceedings</w:t>
            </w:r>
          </w:p>
        </w:tc>
        <w:tc>
          <w:tcPr>
            <w:tcW w:w="642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Item 1A. Risk Factors</w:t>
            </w:r>
          </w:p>
        </w:tc>
        <w:tc>
          <w:tcPr>
            <w:tcW w:w="67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Item 2. Unregistered Sales of Equity Securities and Use of Proceeds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9"/>
              </w:rPr>
              <w:t>Item 3. Defaults Upon Senior Securities</w:t>
            </w:r>
          </w:p>
        </w:tc>
        <w:tc>
          <w:tcPr>
            <w:tcW w:w="2120" w:type="dxa"/>
            <w:vAlign w:val="bottom"/>
            <w:tcBorders>
              <w:top w:val="single" w:sz="8" w:color="0000EE"/>
            </w:tcBorders>
            <w:gridSpan w:val="3"/>
          </w:tcPr>
          <w:p>
            <w:pPr>
              <w:spacing w:after="0"/>
              <w:rPr>
                <w:sz w:val="24"/>
                <w:szCs w:val="24"/>
                <w:color w:val="auto"/>
              </w:rPr>
            </w:pPr>
          </w:p>
        </w:tc>
        <w:tc>
          <w:tcPr>
            <w:tcW w:w="326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rPr>
              <w:t>Item 4. Mine Safety Disclosures</w:t>
            </w:r>
          </w:p>
        </w:tc>
        <w:tc>
          <w:tcPr>
            <w:tcW w:w="592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Item 5. Other Information</w:t>
            </w:r>
          </w:p>
        </w:tc>
        <w:tc>
          <w:tcPr>
            <w:tcW w:w="638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7"/>
              </w:rPr>
              <w:t>Item 6. Exhibits</w:t>
            </w:r>
          </w:p>
        </w:tc>
        <w:tc>
          <w:tcPr>
            <w:tcW w:w="718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w:t>
            </w:r>
          </w:p>
        </w:tc>
        <w:tc>
          <w:tcPr>
            <w:tcW w:w="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expense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50"/>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4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 w:right="199" w:hanging="10"/>
        <w:spacing w:after="0" w:line="269" w:lineRule="auto"/>
        <w:tabs>
          <w:tab w:leader="none" w:pos="26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related-party revenue of $260 for the three months ended December 31, 2021 and including related-party revenue of $287 and $550 for the nine months ended December 31, 2022 and 2021, respectively.</w:t>
      </w:r>
    </w:p>
    <w:p>
      <w:pPr>
        <w:ind w:left="60" w:right="219"/>
        <w:spacing w:after="0" w:line="28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Including related-party cost of services of $1,100 for the three months ended December 31, 2021 and including related-party cost of services of $1,382 and $2,973 for the nine months ended December 31, 2022 and 2021,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6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unrealized gains (losses) on cash flow hedges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retirement-related benefit plans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194"/>
        </w:trPr>
        <w:tc>
          <w:tcPr>
            <w:tcW w:w="46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tax (expense) benefit related to items of other</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3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9"/>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0"/>
        </w:trPr>
        <w:tc>
          <w:tcPr>
            <w:tcW w:w="4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2,002</w:t>
            </w:r>
          </w:p>
        </w:tc>
        <w:tc>
          <w:tcPr>
            <w:tcW w:w="4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allowances of $34 at December 31, 2022 and $44 at March 31,</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costs (current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4,967</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2,762</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costs (noncurrent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Pension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11,851</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13,442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Value-added tax and income tax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debt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contract costs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4,607</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3,097</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Retirement and nonpension postretirement benefit obligations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(noncurrent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 portion)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9,920</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par value $0.01 per share, and additional paid-in capital</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 authorized: 1,000.0; shares issued: December 31, 2022 – 229.3, March 31, 2022 –</w:t>
            </w:r>
          </w:p>
        </w:tc>
        <w:tc>
          <w:tcPr>
            <w:tcW w:w="42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48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0" w:type="dxa"/>
            <w:vAlign w:val="bottom"/>
          </w:tcPr>
          <w:p>
            <w:pPr>
              <w:spacing w:after="0"/>
              <w:rPr>
                <w:sz w:val="1"/>
                <w:szCs w:val="1"/>
                <w:color w:val="auto"/>
              </w:rPr>
            </w:pPr>
          </w:p>
        </w:tc>
      </w:tr>
      <w:tr>
        <w:trPr>
          <w:trHeight w:val="171"/>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224.5)</w:t>
            </w:r>
          </w:p>
        </w:tc>
        <w:tc>
          <w:tcPr>
            <w:tcW w:w="42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Treasury stock, at cost (shares: December 31, 2022 – 1.8, March 31, 2022 – 0.2)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(1,303)</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stockholders’ equity before non-controlling interests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1,832</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11,851</w:t>
            </w: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079" w:hanging="10"/>
        <w:spacing w:after="0" w:line="298" w:lineRule="auto"/>
        <w:tabs>
          <w:tab w:leader="none" w:pos="34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related-party accounts receivable of $343 at March 31, 2022. ** Including related-party accounts payable of $806 at March 31, 2022.</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operating activities: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of right-of-use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transition costs and prepaid software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capitalized contract costs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Goodwill impairment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taxes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(gain) loss on asset sales and other</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costs (excluding amortization)</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Right-of-use assets and liabilities (excluding depreciation)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Workforce rebalancing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Receivables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Taxes (including items settled with former Parent in prior-year period)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assets and other liabilities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disposition of property and equipment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Debt repayments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issuance of debt, net of debt issuance costs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transfers to Parent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Common stock repurchases for tax withholdings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April 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December 31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data</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Income taxes paid, net of refunds received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 on debt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ind w:left="4120"/>
        <w:spacing w:after="0" w:line="224"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vMerge w:val="restart"/>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3"/>
                <w:szCs w:val="13"/>
                <w:color w:val="auto"/>
              </w:rPr>
            </w:pP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0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5"/>
          </w:tcPr>
          <w:p>
            <w:pPr>
              <w:jc w:val="center"/>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2"/>
                <w:szCs w:val="12"/>
                <w:color w:val="auto"/>
              </w:rPr>
            </w:pPr>
          </w:p>
        </w:tc>
        <w:tc>
          <w:tcPr>
            <w:tcW w:w="1040" w:type="dxa"/>
            <w:vAlign w:val="bottom"/>
            <w:gridSpan w:val="4"/>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October 1, 2022</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226.8</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4,370</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(1,567)</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(1,136)</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1,746</w:t>
            </w:r>
          </w:p>
        </w:tc>
        <w:tc>
          <w:tcPr>
            <w:tcW w:w="0" w:type="dxa"/>
            <w:vAlign w:val="bottom"/>
          </w:tcPr>
          <w:p>
            <w:pPr>
              <w:spacing w:after="0"/>
              <w:rPr>
                <w:sz w:val="1"/>
                <w:szCs w:val="1"/>
                <w:color w:val="auto"/>
              </w:rPr>
            </w:pPr>
          </w:p>
        </w:tc>
      </w:tr>
      <w:tr>
        <w:trPr>
          <w:trHeight w:val="148"/>
        </w:trPr>
        <w:tc>
          <w:tcPr>
            <w:tcW w:w="2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26"/>
        </w:trPr>
        <w:tc>
          <w:tcPr>
            <w:tcW w:w="232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71"/>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 employee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1"/>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232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2022</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227.5</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4,397</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(1,303)</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(1,241)</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5"/>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40" w:type="dxa"/>
            <w:vAlign w:val="bottom"/>
          </w:tcPr>
          <w:p>
            <w:pPr>
              <w:spacing w:after="0"/>
              <w:rPr>
                <w:sz w:val="12"/>
                <w:szCs w:val="12"/>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8"/>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20" w:type="dxa"/>
            <w:vAlign w:val="bottom"/>
          </w:tcPr>
          <w:p>
            <w:pPr>
              <w:spacing w:after="0"/>
              <w:rPr>
                <w:sz w:val="12"/>
                <w:szCs w:val="12"/>
                <w:color w:val="auto"/>
              </w:rPr>
            </w:pPr>
          </w:p>
        </w:tc>
        <w:tc>
          <w:tcPr>
            <w:tcW w:w="1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2"/>
                <w:szCs w:val="2"/>
                <w:color w:val="auto"/>
              </w:rPr>
            </w:pPr>
          </w:p>
        </w:tc>
        <w:tc>
          <w:tcPr>
            <w:tcW w:w="10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October 1, 2021</w:t>
            </w:r>
          </w:p>
        </w:tc>
        <w:tc>
          <w:tcPr>
            <w:tcW w:w="120" w:type="dxa"/>
            <w:vAlign w:val="bottom"/>
            <w:tcBorders>
              <w:top w:val="single" w:sz="8" w:color="CCEEFF"/>
            </w:tcBorders>
            <w:gridSpan w:val="2"/>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7,102</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(1,614)</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w:t>
            </w:r>
          </w:p>
        </w:tc>
        <w:tc>
          <w:tcPr>
            <w:tcW w:w="0" w:type="dxa"/>
            <w:vAlign w:val="bottom"/>
          </w:tcPr>
          <w:p>
            <w:pPr>
              <w:spacing w:after="0"/>
              <w:rPr>
                <w:sz w:val="1"/>
                <w:szCs w:val="1"/>
                <w:color w:val="auto"/>
              </w:rPr>
            </w:pPr>
          </w:p>
        </w:tc>
      </w:tr>
      <w:tr>
        <w:trPr>
          <w:trHeight w:val="148"/>
        </w:trPr>
        <w:tc>
          <w:tcPr>
            <w:tcW w:w="2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126"/>
        </w:trPr>
        <w:tc>
          <w:tcPr>
            <w:tcW w:w="232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71"/>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3"/>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and</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reclassification of net transfers from</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(6,747)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0" w:type="dxa"/>
            <w:vAlign w:val="bottom"/>
          </w:tcPr>
          <w:p>
            <w:pPr>
              <w:spacing w:after="0"/>
              <w:rPr>
                <w:sz w:val="1"/>
                <w:szCs w:val="1"/>
                <w:color w:val="auto"/>
              </w:rPr>
            </w:pPr>
          </w:p>
        </w:tc>
      </w:tr>
      <w:tr>
        <w:trPr>
          <w:trHeight w:val="171"/>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Parent</w:t>
            </w: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8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8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32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2"/>
        </w:trPr>
        <w:tc>
          <w:tcPr>
            <w:tcW w:w="23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2021</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4,284</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gridSpan w:val="3"/>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(1,143)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(375)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2,767</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EQUITY – (CONTINUED)</w:t>
      </w:r>
    </w:p>
    <w:p>
      <w:pPr>
        <w:ind w:left="4120"/>
        <w:spacing w:after="0" w:line="224"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vMerge w:val="restart"/>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3"/>
                <w:szCs w:val="13"/>
                <w:color w:val="auto"/>
              </w:rPr>
            </w:pP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6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0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660" w:type="dxa"/>
            <w:vAlign w:val="bottom"/>
            <w:gridSpan w:val="4"/>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8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5"/>
          </w:tcPr>
          <w:p>
            <w:pPr>
              <w:jc w:val="center"/>
              <w:ind w:right="3"/>
              <w:spacing w:after="0" w:line="142"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2"/>
                <w:szCs w:val="12"/>
                <w:color w:val="auto"/>
              </w:rPr>
            </w:pPr>
          </w:p>
        </w:tc>
        <w:tc>
          <w:tcPr>
            <w:tcW w:w="1040" w:type="dxa"/>
            <w:vAlign w:val="bottom"/>
            <w:gridSpan w:val="4"/>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2022</w:t>
            </w: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224.5</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4,315</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(605)</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2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(214)</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2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 employee</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9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Borders>
              <w:bottom w:val="single" w:sz="8" w:color="CCEEFF"/>
            </w:tcBorders>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Borders>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2022</w:t>
            </w:r>
          </w:p>
        </w:tc>
        <w:tc>
          <w:tcPr>
            <w:tcW w:w="84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227.5</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4,397</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(1,303)</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(1,241)</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12"/>
                <w:szCs w:val="12"/>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20" w:type="dxa"/>
            <w:vAlign w:val="bottom"/>
          </w:tcPr>
          <w:p>
            <w:pPr>
              <w:spacing w:after="0"/>
              <w:rPr>
                <w:sz w:val="12"/>
                <w:szCs w:val="12"/>
                <w:color w:val="auto"/>
              </w:rPr>
            </w:pPr>
          </w:p>
        </w:tc>
        <w:tc>
          <w:tcPr>
            <w:tcW w:w="10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3"/>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2"/>
                <w:szCs w:val="2"/>
                <w:color w:val="auto"/>
              </w:rPr>
            </w:pPr>
          </w:p>
        </w:tc>
        <w:tc>
          <w:tcPr>
            <w:tcW w:w="104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6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2021</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6,027</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(1,182)</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4,902</w:t>
            </w: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reclassification of net transfers from</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(4,593)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71"/>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Parent</w:t>
            </w: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plans</w:t>
            </w: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2021</w:t>
            </w:r>
          </w:p>
        </w:tc>
        <w:tc>
          <w:tcPr>
            <w:tcW w:w="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4,284</w:t>
            </w:r>
          </w:p>
        </w:tc>
        <w:tc>
          <w:tcPr>
            <w:tcW w:w="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gridSpan w:val="3"/>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(1,143)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(375)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0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Kyndryl Holdings, Inc. (“we”, “the Company” or “Kyndryl”) is a leading technology services company and the largest infrastructure services provider in the world, serving as a partner to thousands of enterprise customers whose operations span over 100 countries. Prior to November 3, 2021, the Company was wholly owned by International Business Machines Corporation (“IBM”, “Parent” or “former Parent”).</w:t>
      </w:r>
    </w:p>
    <w:p>
      <w:pPr>
        <w:spacing w:after="0" w:line="13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In October 2021, the Board of Directors of IBM approved the spin-off (the “Separation” or the “Spin-off”) of the infrastructure services unit (the “Kyndryl Businesses”) of its Global Technology Services (“GTS”) segment through the distribution of shares of Kyndryl’s common stock to IBM stockholders. In conjunction with the Separation, Kyndryl underwent an internal reorganization following which it became the holder, directly or through its subsidiaries, of the Kyndryl Businesses. On November 3, 2021, the Separation was achieved through the Parent’s pro rata distribution of</w:t>
      </w:r>
    </w:p>
    <w:p>
      <w:pPr>
        <w:spacing w:after="0" w:line="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80.1% of the shares of common stock of Kyndryl to holders of the Parent’s common stock as of the close of business on the record date of October 25, 2021. The Parent retained 19.9% of the shares of the Company’s common stock upon the Spin-off. The Parent’s stockholders of record received one share of the Company’s common stock for every five shares of the Parent’s common stock. As of September 30, 2022, IBM had transferred all of its 19.9% retained interest in Kyndryl common stock pursuant to exchange agreements with a third-party financial institution.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Prior to the Separation on November 3, 2021 (the “pre-Separation periods”), our historical financial statements were prepared on a combined basis and were derived from the consolidated financial statements of IBM. For the period subsequent to November 3, 2021, the financial statements are presented on a consolidated basis as the Company became a standalone public company. Management believes the accompanying financial statements include all adjustments necessary to present fairly the Company’s financial position and its results of operations for all the periods presented. The financial statements should be read in conjunction with the consolidated financial statements and notes thereto included in the report on Form 8-K/A we filed with the U.S. Securities and Exchange Commission (“SEC”) on May 27, 2022 (the “8-K/A”) and our transition report for the three months ended March 31, 2022 filed on Form 10-QT.</w:t>
      </w:r>
    </w:p>
    <w:p>
      <w:pPr>
        <w:spacing w:after="0" w:line="16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8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For the pre-Separation periods, the accompanying financial statements were derived from the consolidated financial statements and accounting records of the Parent as if the Company operated on a standalone basis during the periods presented and were prepared in accordance with Generally Accepted Accounting Principles in the United States (“U.S. GAAP”) and pursuant to the rules and regulations of the SEC.</w:t>
      </w:r>
    </w:p>
    <w:p>
      <w:pPr>
        <w:spacing w:after="0" w:line="153"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All significant intercompany transactions during the pre-Separation periods between Kyndryl and IBM have been included in the consolidated financial statements. Intercompany transactions between Kyndryl and IBM were considered to be effectively settled in the consolidated financial statements at the time the transaction was recorded. The total net effect of the settlement of these intercompany transactions is reflected as Net transfers from Parent in the financing activities section in the Consolidated Statement of Cash Flows and in the Consolidated Balance Sheet within Net Parent investment.</w:t>
      </w:r>
    </w:p>
    <w:p>
      <w:pPr>
        <w:spacing w:after="0" w:line="12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After the Separation on November 3, 2021, the Company’s consolidated financial statements are based on our reported results as a standalone company. All significant transactions and intercompany accounts between Kyndryl entities were eliminated.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deferred transition costs and other matters. Estimates were also used in determining the allocation of costs and expenses from IBM for the pre-Separation periods. These estimates are based on management’s knowledge of current events, historical experience and actions that the Company may undertake in the future and on various other assumptions that are believed to be reasonable under the circumstances. Actual results may be different from these estimates.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Transition Period</w:t>
      </w:r>
    </w:p>
    <w:p>
      <w:pPr>
        <w:spacing w:after="0" w:line="18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January 2022, the Board of Directors of Kyndryl approved a change to the fiscal year-end of the Company from December 31 to March 31. The Company’s 2023 fiscal year began on April 1, 2022 and will end on March 31, 2023. The Company filed a Transition Report on Form 10-QT for the period of January 1 to March 31, 2022 with the SEC on May 13,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CHANGES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Standards Implemented</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(“FASB”) issued guidance (“Revenue Contracts with Customers Acquired in a Business Combination”) which requires that an acquirer recognize and measure contract assets and liabilities acquired in a business combination as if the acquirer had originated the contracts,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Deferred revenue acquired in a business combination is no longer required to be measured at its fair value, which had historically resulted in a deferred revenue impairment at the date of acquisition. The guidance is effective January 1, 2023, and early adoption is permitted. The Company has early adopted the guidance as of January 1, 2022. Our adoption did not materially affect our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 Standards to be Implemented</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September 2022, the FASB amended its guidance related to supplier finance programs. The amended guidance requires additional disclosures surrounding the use of supplier finance programs to purchase goods or services, including disclosing the key terms of the programs, the amount of obligations outstanding at the end of the reporting period, and a roll-forward of those obligations. The new guidance, except the roll-forward information, is effective for fiscal years beginning after December 15, 2022, including interim periods within those fiscal years. The roll-forward information is effective for fiscal years beginning after December 15, 2023. Early adoption is permitted. The Company is currently evaluating the impact that this amended guidance will have on the Company’s financial statements.</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2022, the FASB issued guidance deferring the sunset date of ASC 848,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to December 31, 2024. The FASB previously issued temporary, optional expedients related to the accounting for contract modifications and hedging transactions as a result of markets transitioning from the use of LIBOR and other interbank offered rates to alternative reference rates. The Company has evaluated the impact of the amended guidance and concluded that the guidance will not have a material impact on the Company’s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views its segment results to be the best view of disaggregated revenue. Refer to Note 4 – Segments.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in which the customer is not committed. The customer is not considered committed when it is able to terminate for convenience without payment of a substantive penalty. The RPO also includes estimates of variable consideration. Additionally, as a practical expedient, the Company does not include contracts that have an original duration of one year or less. RPO estimates are subject to change and are affected by several factors, including terminations, changes in the scope of contracts, periodic revalidations, adjustments for revenue that has not materialized and adjustments for currency.</w:t>
      </w:r>
    </w:p>
    <w:p>
      <w:pPr>
        <w:spacing w:after="0" w:line="192"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2022, the aggregate amount of RPO related to customer contracts that are unsatisfied or partially unsatisfied was $39.6 billion. Approximately 59 percent of the amount is expected to be recognized as revenue in the next two years, approximately 34 percent in the subsequent three years, and the balance thereafter.</w:t>
      </w:r>
    </w:p>
    <w:p>
      <w:pPr>
        <w:spacing w:after="0" w:line="176"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December 31, 2022, revenue decreased by $3 million and increased by $4 million, respectively, for performance obligations satisfied (or partially satisfied) in previous periods, mainly due to changes in estimates on contracts with cost-to-cost measures of progress.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deferred income balances: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1"/>
        </w:trPr>
        <w:tc>
          <w:tcPr>
            <w:tcW w:w="55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(net of allowances of $34 at December 31, 2022 and</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 at March 31, 2022) *</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(current)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(noncurrent)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unbilled receivable balances of $382 million at December 31, 2022 and $473 million at March 31, 2022.</w:t>
      </w:r>
    </w:p>
    <w:p>
      <w:pPr>
        <w:spacing w:after="0" w:line="4" w:lineRule="exact"/>
        <w:rPr>
          <w:sz w:val="20"/>
          <w:szCs w:val="20"/>
          <w:color w:val="auto"/>
        </w:rPr>
      </w:pPr>
    </w:p>
    <w:p>
      <w:pPr>
        <w:ind w:left="380" w:right="279" w:hanging="330"/>
        <w:spacing w:after="0" w:line="233" w:lineRule="auto"/>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assets represent services performed by the Company prior to billing the client, which give the Company the right to consideration that is typically subject to milestone completion or client acceptance. They are included within prepaid expenses and other current assets in the Consolidated Balance Sheet.</w:t>
      </w:r>
    </w:p>
    <w:p>
      <w:pPr>
        <w:spacing w:after="0" w:line="181"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The amount of revenue recognized during the three and nine months ended December 31, 2022 that was included within the deferred income balance at the beginning of the period was $249 million and $496 million, respectively.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roll-forwards of the accounts receivable allowance for expected credit losses for the nine months ended December 31, 2022 and the nine months ended December 31, 2021.</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3"/>
                <w:szCs w:val="13"/>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7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5"/>
                <w:szCs w:val="15"/>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(releases)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w:t>
            </w:r>
          </w:p>
        </w:tc>
        <w:tc>
          <w:tcPr>
            <w:tcW w:w="10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currency translation adjustments</w:t>
      </w:r>
      <w:r>
        <w:rPr>
          <w:rFonts w:ascii="Times New Roman" w:cs="Times New Roman" w:eastAsia="Times New Roman" w:hAnsi="Times New Roman"/>
          <w:sz w:val="12"/>
          <w:szCs w:val="12"/>
          <w:color w:val="auto"/>
        </w:rPr>
        <w:t>.</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contract assets allowance for expected credit losses was not material in any of the periods presented.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Clients</w:t>
      </w:r>
    </w:p>
    <w:p>
      <w:pPr>
        <w:spacing w:after="0" w:line="229"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No single client represented more than 10 percent of the Company’s total revenue during the three and nine months ended December 31, 2022 and 2021. No single client represented more than 10 percent of the Company’s total accounts receivable balance as of December 31, 2022 and March 31,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three to six years. For contracts with an estimated amortization period of less than one year, we elected the practical expedient to expense incremental costs immediately.</w:t>
      </w:r>
    </w:p>
    <w:p>
      <w:pPr>
        <w:spacing w:after="0" w:line="183" w:lineRule="exact"/>
        <w:rPr>
          <w:sz w:val="20"/>
          <w:szCs w:val="20"/>
          <w:color w:val="auto"/>
        </w:rPr>
      </w:pPr>
    </w:p>
    <w:p>
      <w:pPr>
        <w:ind w:left="60" w:right="279"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amounts of capitalized costs to acquire and fulfill customer contracts at December 31, 2022 and March 31, 2022:</w:t>
      </w:r>
    </w:p>
    <w:tbl>
      <w:tblPr>
        <w:tblLayout w:type="fixed"/>
        <w:tblInd w:w="40" w:type="dxa"/>
        <w:tblCellMar>
          <w:top w:w="0" w:type="dxa"/>
          <w:left w:w="0" w:type="dxa"/>
          <w:bottom w:w="0" w:type="dxa"/>
          <w:right w:w="0" w:type="dxa"/>
        </w:tblCellMar>
      </w:tblPr>
      <w:tr>
        <w:trPr>
          <w:trHeight w:val="149"/>
        </w:trPr>
        <w:tc>
          <w:tcPr>
            <w:tcW w:w="5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transition costs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costs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costs to fulfill contracts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costs to obtain contracts</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costs *</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79" w:hanging="330"/>
        <w:spacing w:after="0" w:line="261" w:lineRule="auto"/>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total deferred costs, $927 million was current and $1,186 million was noncurrent at December 31, 2022, and $1,143 million was current and $1,244 million was noncurrent at March 31, 2022.</w:t>
      </w:r>
    </w:p>
    <w:p>
      <w:pPr>
        <w:spacing w:after="0" w:line="16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amount of total deferred costs amortized for the three months ended December 31, 2022 was $440 million, composed of $87 million of amortization of deferred transition costs, $239 million of amortization of prepaid software and $114 million of amortization of capitalized contract costs. The amount of total deferred costs amortized for the nine months ended December 31, 2022 was $1,246 million, composed of $259 million of amortization of deferred transition costs, $650 million of amortization of prepaid software and $337 million of amortization of capitalized contract costs.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SEGMENTS</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Our reportable segments correspond to how the chief operating decision maker (“CODM”) reviews performance and allocates resources. Our four reportable segments consist of the following:</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This reportable segment is comprised of Kyndryl’s operations in the United States.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Japan: </w:t>
      </w:r>
      <w:r>
        <w:rPr>
          <w:rFonts w:ascii="Times New Roman" w:cs="Times New Roman" w:eastAsia="Times New Roman" w:hAnsi="Times New Roman"/>
          <w:sz w:val="18"/>
          <w:szCs w:val="18"/>
          <w:color w:val="auto"/>
        </w:rPr>
        <w:t>This reportable segment is comprised of Kyndryl’s operations in Japan.</w:t>
      </w:r>
    </w:p>
    <w:p>
      <w:pPr>
        <w:spacing w:after="0" w:line="225" w:lineRule="exact"/>
        <w:rPr>
          <w:sz w:val="20"/>
          <w:szCs w:val="20"/>
          <w:color w:val="auto"/>
        </w:rPr>
      </w:pPr>
    </w:p>
    <w:p>
      <w:pPr>
        <w:ind w:left="60" w:right="49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Markets: </w:t>
      </w:r>
      <w:r>
        <w:rPr>
          <w:rFonts w:ascii="Times New Roman" w:cs="Times New Roman" w:eastAsia="Times New Roman" w:hAnsi="Times New Roman"/>
          <w:sz w:val="18"/>
          <w:szCs w:val="18"/>
          <w:color w:val="auto"/>
        </w:rPr>
        <w:t>This reportable segment represents the aggregation of our operations in Australia /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Zealand, Canada, France, Germany, India, Italy, Spain / Portugal, and the United Kingdom / Ireland.</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Strategic Markets: </w:t>
      </w:r>
      <w:r>
        <w:rPr>
          <w:rFonts w:ascii="Times New Roman" w:cs="Times New Roman" w:eastAsia="Times New Roman" w:hAnsi="Times New Roman"/>
          <w:sz w:val="18"/>
          <w:szCs w:val="18"/>
          <w:color w:val="auto"/>
        </w:rPr>
        <w:t>This reportable segment is comprised of our operations in all other countries in which we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operate.</w:t>
      </w:r>
    </w:p>
    <w:p>
      <w:pPr>
        <w:spacing w:after="0" w:line="207"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measure of segment operating performance used by Kyndryl’s CODM is adjusted EBITDA. Adjusted EBITDA is defined as net income (loss) excluding net interest expense, depreciation and amortization (excluding depreciation of right-of-use assets and amortization of capitalized contract costs), charges related to ceasing to use leased assets, charges related to lease termination, transaction-related costs, pension costs other than pension servicing costs and multi-employer plan costs, stock-based compensation expense, workforce rebalancing charges, impairment expense, significant litigation costs, and foreign currency impacts of highly inflationary countries. The use of revenue and adjusted EBITDA aligns with how the CODM assesses performance and allocates resources for the Company’s segments. The Company has recast the prior-period results to reflect the change in segment structure that became effective in the fourth quarter of 2021. In addition, during the three months ended March 31, 2022, the Company updated certain allocation methodologies related to its measure of segment adjusted EBITDA and has accordingly recast the prior-period information to reflect these updates, which did not change the aggregate amount of segment adjusted EBITDA.</w:t>
      </w:r>
    </w:p>
    <w:p>
      <w:pPr>
        <w:spacing w:after="0" w:line="192"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Our geographic markets frequently work together to sell and implement certain contracts.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reflects the results of the Company’s segments: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0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4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Segment adjusted EBITDA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consolidated pretax income (loss) to segment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4240" w:type="dxa"/>
            <w:vAlign w:val="bottom"/>
            <w:gridSpan w:val="3"/>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(loss)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16"/>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expense</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expense not allocated to the segments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adjustments *</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479" w:hanging="330"/>
        <w:spacing w:after="0" w:line="180" w:lineRule="auto"/>
        <w:tabs>
          <w:tab w:leader="none" w:pos="380" w:val="left"/>
        </w:tabs>
        <w:numPr>
          <w:ilvl w:val="0"/>
          <w:numId w:val="9"/>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2"/>
          <w:szCs w:val="12"/>
          <w:color w:val="auto"/>
        </w:rPr>
        <w:t>Other adjustments represent pension expense other than pension servicing costs and multi-employer plan costs, significant litigation costs and charges related to ceasing to use leased assets.</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TAXES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December 31, 2022, the Company’s effective tax rate was 23.2%, compared to (1.5%) for the three months ended December 31, 2021. For the nine months ended December 31, 2022, the Company’s effective tax rate was (13.1%), compared to (20.7%) for the nine months ended December 31, 2021. The Company’s positive effective tax rate for the three months ended December 31, 2022 reflects a tax benefit on a pretax loss resulting from return-to-provision adjustments recorded in that period. The Company’s negative effective tax rates for the nine months ended December 31, 2022 and in 2021 reflect a tax expense on a pretax book loss in those periods. For the three and nine months ended December 31, 2022, income taxes are computed using the estimated annual effective tax rate applicable to the fiscal year ending March 31, 2023.</w:t>
      </w:r>
    </w:p>
    <w:p>
      <w:pPr>
        <w:spacing w:after="0" w:line="19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December 31, 2022 was higher than the Company’s statutory tax rate primarily due to a benefit recorded during the period resulting from return-to-provision adjustments related to the filing of certain 2021 income tax returns. The Company’s effective tax rate for the nine months ended December 31, 2022 was lower than the Company’s statutory tax rate primarily due to taxes on foreign operations and an increase in valuation allowances in certain jurisdictions against deferred tax assets that are not more likely than not to be realized, partially offset by the benefit resulting from return-to-provision adjustments. For the three and nine months ended December 31, 2022, the additions to valuation allowance primarily relate to a valuation allowance established against certain deferred tax assets in the United States.</w:t>
      </w:r>
    </w:p>
    <w:p>
      <w:pPr>
        <w:spacing w:after="0" w:line="192"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December 31, 2021 was lower than the Company’s statutory tax rate primarily due to the geographic mix of pretax income and nondeductible goodwill impairment. The Company’s effective tax rate for the nine months ended December 31, 2021 was lower than the Company’s statutory tax rate primarily due to the geographic mix of pretax income, changes in valuation allowances in certain jurisdictions against deferred tax assets that are not more likely than not to be realized, and tax charges related to the transfer of Kyndryl’s operations from IBM in contemplation of the Company’s Separation.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NET LOSS PER SHARE</w:t>
      </w:r>
    </w:p>
    <w:p>
      <w:pPr>
        <w:spacing w:after="0" w:line="229"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We did not declare any stock dividends in the periods presented. The following tables provide the computation of basic and diluted earnings per share of common stock for the three and nine months ended December 31, 2022 and 2021.</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2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426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(loss) on which basic and diluted earnings</w:t>
            </w: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is calculated</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Number of shares on which basic and diluted earnings</w:t>
            </w: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per share is calculated</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Prior to the Separation, the Company did not have any publicly-traded common stock or equivalents issued and outstanding. Accordingly, for periods prior to the Separation, the number of shares used in the calculation of basic and diluted earnings per share were based on the 224.1 million shares distributed on the Separation Date.</w:t>
      </w:r>
    </w:p>
    <w:p>
      <w:pPr>
        <w:spacing w:after="0" w:line="176"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December 31, 2022, the Company’s basic and diluted weighted-average shares outstanding were the same. The following securities were not included in the computation of diluted net loss per share because they would have been anti-dilutive:</w:t>
      </w:r>
    </w:p>
    <w:p>
      <w:pPr>
        <w:sectPr>
          <w:pgSz w:w="11900" w:h="16838" w:orient="portrait"/>
          <w:cols w:equalWidth="0" w:num="1">
            <w:col w:w="9019"/>
          </w:cols>
          <w:pgMar w:left="1440" w:top="513" w:right="1440" w:bottom="1440" w:gutter="0" w:footer="0" w:header="0"/>
        </w:sectPr>
      </w:pP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Nonvested restricted stock units issued and outstanding</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Nonvested performance-based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Nonvested market-conditioned performance awards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options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NOTE 7. FINANCIAL ASSETS AND LIABILITIES</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9.9</w:t>
      </w:r>
    </w:p>
    <w:p>
      <w:pPr>
        <w:spacing w:after="0" w:line="2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2.5</w:t>
      </w:r>
    </w:p>
    <w:p>
      <w:pPr>
        <w:spacing w:after="0" w:line="9"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3"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3.7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-937895</wp:posOffset>
            </wp:positionH>
            <wp:positionV relativeFrom="paragraph">
              <wp:posOffset>34290</wp:posOffset>
            </wp:positionV>
            <wp:extent cx="11830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127" w:lineRule="exact"/>
        <w:rPr>
          <w:sz w:val="20"/>
          <w:szCs w:val="20"/>
          <w:color w:val="auto"/>
        </w:rPr>
      </w:pPr>
    </w:p>
    <w:p>
      <w:pPr>
        <w:sectPr>
          <w:pgSz w:w="11900" w:h="16838" w:orient="portrait"/>
          <w:cols w:equalWidth="0" w:num="2">
            <w:col w:w="7840" w:space="720"/>
            <w:col w:w="459"/>
          </w:cols>
          <w:pgMar w:left="1440" w:top="513" w:right="1440" w:bottom="1440" w:gutter="0" w:footer="0" w:header="0"/>
          <w:type w:val="continuous"/>
        </w:sectPr>
      </w:pPr>
    </w:p>
    <w:p>
      <w:pPr>
        <w:spacing w:after="0" w:line="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176" w:lineRule="exact"/>
        <w:rPr>
          <w:sz w:val="20"/>
          <w:szCs w:val="20"/>
          <w:color w:val="auto"/>
        </w:rPr>
      </w:pPr>
    </w:p>
    <w:p>
      <w:pPr>
        <w:ind w:left="1040" w:right="239" w:hanging="315"/>
        <w:spacing w:after="0" w:line="283"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Quoted prices (unadjusted) in active markets for identical assets or liabilities that can be accessed at the measurement date.</w:t>
      </w:r>
    </w:p>
    <w:p>
      <w:pPr>
        <w:spacing w:after="0" w:line="158" w:lineRule="exact"/>
        <w:rPr>
          <w:rFonts w:ascii="Times New Roman" w:cs="Times New Roman" w:eastAsia="Times New Roman" w:hAnsi="Times New Roman"/>
          <w:sz w:val="18"/>
          <w:szCs w:val="18"/>
          <w:color w:val="auto"/>
        </w:rPr>
      </w:pPr>
    </w:p>
    <w:p>
      <w:pPr>
        <w:ind w:left="1040" w:right="119" w:hanging="315"/>
        <w:spacing w:after="0" w:line="283"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Inputs other than quoted prices included within Level 1 that are observable for the asset or liability, either directly or indirectly.</w:t>
      </w:r>
    </w:p>
    <w:p>
      <w:pPr>
        <w:spacing w:after="0" w:line="15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3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Unobservable inputs for the asset or liability.</w:t>
      </w:r>
    </w:p>
    <w:p>
      <w:pPr>
        <w:spacing w:after="0" w:line="226"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level of an asset or liability within the fair value hierarchy is determined based on the lowest level of any input that is significant to the fair value measurement.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certain financial instruments, the Company considers certain market valuation adjustments to the “base valuations” using the methodologies described below for several parameters that market participants would consider in determining fair value:</w:t>
      </w:r>
    </w:p>
    <w:p>
      <w:pPr>
        <w:spacing w:after="0" w:line="176" w:lineRule="exact"/>
        <w:rPr>
          <w:sz w:val="20"/>
          <w:szCs w:val="20"/>
          <w:color w:val="auto"/>
        </w:rPr>
      </w:pPr>
    </w:p>
    <w:p>
      <w:pPr>
        <w:ind w:left="1040" w:right="359" w:hanging="315"/>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 adjustments are applied to certain financial instruments, taking into account the actual credit risk of a counterparty as observed in the credit default swap market to determine the true fair value of such an instrument.</w:t>
      </w:r>
    </w:p>
    <w:p>
      <w:pPr>
        <w:spacing w:after="0" w:line="17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adjustments are applied to reflect the Company’s own credit risk when valuing certain liabilities measured at fair value. The methodology is consistent with that applied in developing counterparty credit risk adjustments, but incorporates the Company’s credit risk as observed in the credit default swap market.</w:t>
      </w:r>
    </w:p>
    <w:p>
      <w:pPr>
        <w:spacing w:after="0" w:line="17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Certain non-financial assets such as property, plant and equipment, operating right-of-use assets, land, goodwill and intangible assets are recorded at fair value or at cost, as appropriate, in the period they are initially recognized, and such fair value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w:t>
      </w:r>
    </w:p>
    <w:p>
      <w:pPr>
        <w:spacing w:after="0" w:line="183"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perform a qualitative assessment of asset impairments on a periodic basis and recognize an impairment if there are sufficient indicators that the fair value is less than carrying value.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gross balances of derivative assets contained within prepaid expenses and other current assets in the Consolidated Balance Sheet were $32 million at December 31, 2022 and $9 million at March 31, 2022. The gross balances of derivative liabilities contained within other accrued expenses and liabilities, and other noncurrent liabilities in the Consolidated Balance Sheet were $9 million at December 31, 2022 and $2 million at March 31, 2022. The fair value of derivatives is the difference between the contractual forward price and the current available forward price for the residual maturity of the contract using observable market rates and is categorized as Level 2 in the fair value hierarchy.</w:t>
      </w:r>
    </w:p>
    <w:p>
      <w:pPr>
        <w:spacing w:after="0" w:line="187"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Company may enter into master netting agreements with certain counterparties that allow for netting of exposures in the event of default or breach. However, in the Consolidated Balance Sheet, the Company does not offset derivative assets against liabilities with counterparties in master netting arrangements by counterparty, and there was no derivative instruments activity impacted by master netting agreements at December 31, 2022 and March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spacing w:after="0" w:line="180" w:lineRule="exact"/>
        <w:rPr>
          <w:sz w:val="20"/>
          <w:szCs w:val="20"/>
          <w:color w:val="auto"/>
        </w:rPr>
      </w:pPr>
    </w:p>
    <w:p>
      <w:pPr>
        <w:ind w:left="60" w:right="79" w:firstLine="693"/>
        <w:spacing w:after="0" w:line="258" w:lineRule="auto"/>
        <w:rPr>
          <w:sz w:val="20"/>
          <w:szCs w:val="20"/>
          <w:color w:val="auto"/>
        </w:rPr>
      </w:pPr>
      <w:r>
        <w:rPr>
          <w:rFonts w:ascii="Times New Roman" w:cs="Times New Roman" w:eastAsia="Times New Roman" w:hAnsi="Times New Roman"/>
          <w:sz w:val="18"/>
          <w:szCs w:val="18"/>
          <w:color w:val="auto"/>
        </w:rPr>
        <w:t>The Company has time deposits that have maturities of 90 days or less, and their carrying values approximate fair value. The balance of these time deposits with maturities of 90 days or less contained within cash and cash equivalents in the Consolidated Balance Sheet at December 31, 2022 and March 31, 2022 was $775 million and $972 million, respectively. If measured at fair value in the consolidated financial statements, time deposits with maturities of 90 days or less would be categorized as Level 2 in the fair value hierarchy.</w:t>
      </w:r>
    </w:p>
    <w:p>
      <w:pPr>
        <w:spacing w:after="0" w:line="183" w:lineRule="exact"/>
        <w:rPr>
          <w:sz w:val="20"/>
          <w:szCs w:val="20"/>
          <w:color w:val="auto"/>
        </w:rPr>
      </w:pPr>
    </w:p>
    <w:p>
      <w:pPr>
        <w:jc w:val="both"/>
        <w:ind w:left="60" w:right="299" w:firstLine="648"/>
        <w:spacing w:after="0" w:line="289" w:lineRule="auto"/>
        <w:rPr>
          <w:sz w:val="20"/>
          <w:szCs w:val="20"/>
          <w:color w:val="auto"/>
        </w:rPr>
      </w:pPr>
      <w:r>
        <w:rPr>
          <w:rFonts w:ascii="Times New Roman" w:cs="Times New Roman" w:eastAsia="Times New Roman" w:hAnsi="Times New Roman"/>
          <w:sz w:val="17"/>
          <w:szCs w:val="17"/>
          <w:color w:val="auto"/>
        </w:rPr>
        <w:t>The fair value of our outstanding debt (excluding finance lease obligations) is based on various methodologies, including quoted prices in active markets for identical debt instruments, which is a Level 1 measurement, and calculated fair value using an expected present value technique that uses rates currently available to the Company for debt in active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markets with similar terms and remaining maturities, which is a Level 2 measurement. Our outstanding debt (excluding finance lease obligations) had a carrying value of $3.0 billion as of each of December 31, 2022 and March 31, 2022, and an estimated fair value of $2.3 billion and $2.7 billion as of December 31, 2022 and March 31, 2022, respectively.</w:t>
      </w:r>
    </w:p>
    <w:p>
      <w:pPr>
        <w:spacing w:after="0" w:line="176" w:lineRule="exact"/>
        <w:rPr>
          <w:sz w:val="20"/>
          <w:szCs w:val="20"/>
          <w:color w:val="auto"/>
        </w:rPr>
      </w:pPr>
    </w:p>
    <w:p>
      <w:pPr>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Financial assets are measured for impairment on a recurring basis by comparing their fair value with their amortized cost basis. There were no impairments of financial assets recognized for any of the periods presented.</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has entered into agreements with third-party financial institutions to sell certain financial assets (primarily trade receivables) without recourse. The Company determined these are true sales. The carrying value of the financial asset sold is derecognized, and a net gain or loss on the sale is recognized at the time of the transfer. An agreement with third-party financial institutions executed in November 2021 enabled us to sell, at any one time, on a revolving basis, up to $1.1 billion of our trade receivables with payment terms from three to nine months and was subsequently amended to decrease such amount to $1.0 billion. This agreement was further amended during the quarter ended December 31, 2022 to provide that we may sell an additional amount of trade receivables with payment terms of less than three months, contingent on the approval of the counterparty to purchase such receivables, with no defined limit on such sales. In the quarter ended June 30, 2022, the Company entered into a separate agreement, in which the sale of receivables is contingent on the approval of the counterparty with no defined facility limit.</w:t>
      </w:r>
    </w:p>
    <w:p>
      <w:pPr>
        <w:spacing w:after="0" w:line="194"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net proceeds from these arrangements are reflected as cash provided by operating activities in the Consolidated Statement of Cash Flows. Gross proceeds from receivables sold to third parties under this program were $930 million and $2.3 billion for the three and nine months ended December 31, 2022, respectively. Gross proceeds from receivables sold to third parties and the financing division of our former Parent were $472 million and $1.7 billion for the three and nine months ended December 31, 2021, respectively. The fees associated with the transfers of receivables were $14 million and $34 million for the three and nine months ended December 31, 2022, respectively, and immaterial for the three and nine months ended December 31, 2021,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Anticipated Cost Transactions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has foreign exchange derivative financial instruments designated as cash flow hedges to manage foreign currency risk. Changes in fair value of derivatives designated as cash flow hedges are recorded, net of applicable taxes, in other comprehensive income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 Through the pre-Separation periods, derivatives designated as cash flow hedges were deemed to be associated with the Company’s operations and were allocated to the Company’s Consolidated Income Statement based on its pro rata share of the underlying items hedged, where applicable, with the remainder allocated on a pro rata basis of revenue.</w:t>
      </w:r>
    </w:p>
    <w:p>
      <w:pPr>
        <w:spacing w:after="0" w:line="19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At December 31, 2022 and March 31, 2022, the total notional amount of forward contracts designated as cash flow hedges of forecasted foreign currency cost transactions was $285 million and $216 million, respectively. The notional amounts of derivative instruments do not necessarily represent the amounts exchanged by the Company with third parties and are not necessarily a direct measure of the financial exposure. The maximum remaining length of time over which the Company hedged its exposure is approximately one year. At December 31, 2022 and March 31, 2022, the weighted-average remaining maturity of these instruments was approximately 0.5 years.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At December 31, 2022, in connection with cash flow hedges of foreign currency cost transactions, the Company had net deferred losses of $5 million (before taxes) in accumulated other comprehensive income (“AOCI”). At March 31, 2022, in connection with cash flow hedges of foreign currency cost transactions, the Company had net deferred gains of $3 million (before taxes) in AOCI. The Company estimates that $5 million (before taxes) of deferred net losses on derivatives in AOCI at December 31, 2022 will be reclassified to net income within the next twelve months, providing an offsetting economic impact against the underlying anticipated transactions.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Subsidiary Cash and Foreign Currency Asset / Liability Management</w:t>
      </w:r>
    </w:p>
    <w:p>
      <w:pPr>
        <w:spacing w:after="0" w:line="22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Company uses global treasury centers to manage the cash of its subsidiaries. These centers principally use currency swaps to convert cash flows in a cost-effective manner. Changes in fair value of derivatives not designated as hedges are reported in earnings in other (income) and expense. Cash flows from derivatives not designated as hedges are reported in cash flows from investing activities in the Consolidated Statement of Cash Flows. The terms of these swap contracts are generally less than one year. The changes in the fair values of these contracts and of the underlying hedged exposures are generally offsetting and are recorded in other (income) and expense in the Consolidated Income Statement. At December 31, 2022 and March 31, 2022, the total notional amount of derivative instruments in economic hedges of foreign currency exposure was $1.7 billion and $945 million,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in the Consolidated Income Statement</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total amounts of income and expense line items presented in the Consolidated Income Statement in which the effects of cash flow hedges and derivatives not designated as hedging instruments are recorded, and the total effect of hedge activity on these income and expense line items are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vMerge w:val="restart"/>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Gains (Losses) from</w:t>
            </w:r>
          </w:p>
        </w:tc>
        <w:tc>
          <w:tcPr>
            <w:tcW w:w="0" w:type="dxa"/>
            <w:vAlign w:val="bottom"/>
          </w:tcPr>
          <w:p>
            <w:pPr>
              <w:spacing w:after="0"/>
              <w:rPr>
                <w:sz w:val="1"/>
                <w:szCs w:val="1"/>
                <w:color w:val="auto"/>
              </w:rPr>
            </w:pPr>
          </w:p>
        </w:tc>
      </w:tr>
      <w:tr>
        <w:trPr>
          <w:trHeight w:val="148"/>
        </w:trPr>
        <w:tc>
          <w:tcPr>
            <w:tcW w:w="2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4"/>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Hedge Activity</w:t>
            </w:r>
          </w:p>
        </w:tc>
        <w:tc>
          <w:tcPr>
            <w:tcW w:w="0" w:type="dxa"/>
            <w:vAlign w:val="bottom"/>
          </w:tcPr>
          <w:p>
            <w:pPr>
              <w:spacing w:after="0"/>
              <w:rPr>
                <w:sz w:val="1"/>
                <w:szCs w:val="1"/>
                <w:color w:val="auto"/>
              </w:rPr>
            </w:pPr>
          </w:p>
        </w:tc>
      </w:tr>
      <w:tr>
        <w:trPr>
          <w:trHeight w:val="25"/>
        </w:trPr>
        <w:tc>
          <w:tcPr>
            <w:tcW w:w="2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auto"/>
            </w:tcBorders>
            <w:gridSpan w:val="3"/>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60"/>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12"/>
          </w:tcPr>
          <w:p>
            <w:pPr>
              <w:ind w:left="440"/>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gridSpan w:val="3"/>
          </w:tcPr>
          <w:p>
            <w:pPr>
              <w:jc w:val="center"/>
              <w:ind w:right="479"/>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gridSpan w:val="5"/>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Recognized on</w:t>
            </w:r>
          </w:p>
        </w:tc>
        <w:tc>
          <w:tcPr>
            <w:tcW w:w="220" w:type="dxa"/>
            <w:vAlign w:val="bottom"/>
          </w:tcPr>
          <w:p>
            <w:pPr>
              <w:spacing w:after="0"/>
              <w:rPr>
                <w:sz w:val="10"/>
                <w:szCs w:val="10"/>
                <w:color w:val="auto"/>
              </w:rPr>
            </w:pPr>
          </w:p>
        </w:tc>
        <w:tc>
          <w:tcPr>
            <w:tcW w:w="1980" w:type="dxa"/>
            <w:vAlign w:val="bottom"/>
            <w:gridSpan w:val="4"/>
          </w:tcPr>
          <w:p>
            <w:pPr>
              <w:jc w:val="center"/>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Attributable to Risk</w:t>
            </w: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60" w:type="dxa"/>
            <w:vAlign w:val="bottom"/>
          </w:tcPr>
          <w:p>
            <w:pPr>
              <w:spacing w:after="0"/>
              <w:rPr>
                <w:sz w:val="12"/>
                <w:szCs w:val="12"/>
                <w:color w:val="auto"/>
              </w:rPr>
            </w:pPr>
          </w:p>
        </w:tc>
        <w:tc>
          <w:tcPr>
            <w:tcW w:w="1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left="462"/>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left="362"/>
              <w:spacing w:after="0" w:line="149" w:lineRule="exact"/>
              <w:rPr>
                <w:sz w:val="20"/>
                <w:szCs w:val="20"/>
                <w:color w:val="auto"/>
              </w:rPr>
            </w:pPr>
            <w:r>
              <w:rPr>
                <w:rFonts w:ascii="Times New Roman" w:cs="Times New Roman" w:eastAsia="Times New Roman" w:hAnsi="Times New Roman"/>
                <w:sz w:val="14"/>
                <w:szCs w:val="14"/>
                <w:b w:val="1"/>
                <w:bCs w:val="1"/>
                <w:color w:val="auto"/>
              </w:rPr>
              <w:t>Being Hedged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gridSpan w:val="3"/>
            <w:vMerge w:val="restart"/>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53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 not designated as hedging instruments: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0" w:type="dxa"/>
            <w:vAlign w:val="bottom"/>
          </w:tcPr>
          <w:p>
            <w:pPr>
              <w:spacing w:after="0"/>
              <w:rPr>
                <w:sz w:val="18"/>
                <w:szCs w:val="18"/>
                <w:color w:val="auto"/>
              </w:rPr>
            </w:pPr>
          </w:p>
        </w:tc>
        <w:tc>
          <w:tcPr>
            <w:tcW w:w="1960" w:type="dxa"/>
            <w:vAlign w:val="bottom"/>
            <w:gridSpan w:val="4"/>
          </w:tcPr>
          <w:p>
            <w:pPr>
              <w:jc w:val="right"/>
              <w:ind w:right="139"/>
              <w:spacing w:after="0"/>
              <w:rPr>
                <w:sz w:val="20"/>
                <w:szCs w:val="20"/>
                <w:color w:val="auto"/>
              </w:rPr>
            </w:pPr>
            <w:r>
              <w:rPr>
                <w:rFonts w:ascii="Times New Roman" w:cs="Times New Roman" w:eastAsia="Times New Roman" w:hAnsi="Times New Roman"/>
                <w:sz w:val="18"/>
                <w:szCs w:val="18"/>
                <w:color w:val="auto"/>
                <w:w w:val="99"/>
              </w:rPr>
              <w:t>Other expense (income)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9"/>
        </w:trPr>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17"/>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 and Other Comprehensive Income</w:t>
            </w:r>
          </w:p>
        </w:tc>
        <w:tc>
          <w:tcPr>
            <w:tcW w:w="0" w:type="dxa"/>
            <w:vAlign w:val="bottom"/>
          </w:tcPr>
          <w:p>
            <w:pPr>
              <w:spacing w:after="0"/>
              <w:rPr>
                <w:sz w:val="1"/>
                <w:szCs w:val="1"/>
                <w:color w:val="auto"/>
              </w:rPr>
            </w:pPr>
          </w:p>
        </w:tc>
      </w:tr>
      <w:tr>
        <w:trPr>
          <w:trHeight w:val="117"/>
        </w:trPr>
        <w:tc>
          <w:tcPr>
            <w:tcW w:w="2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gridSpan w:val="3"/>
          </w:tcPr>
          <w:p>
            <w:pPr>
              <w:jc w:val="right"/>
              <w:ind w:right="499"/>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gridSpan w:val="5"/>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20" w:type="dxa"/>
            <w:vAlign w:val="bottom"/>
          </w:tcPr>
          <w:p>
            <w:pPr>
              <w:spacing w:after="0"/>
              <w:rPr>
                <w:sz w:val="10"/>
                <w:szCs w:val="10"/>
                <w:color w:val="auto"/>
              </w:rPr>
            </w:pPr>
          </w:p>
        </w:tc>
        <w:tc>
          <w:tcPr>
            <w:tcW w:w="1320" w:type="dxa"/>
            <w:vAlign w:val="bottom"/>
            <w:gridSpan w:val="3"/>
          </w:tcPr>
          <w:p>
            <w:pPr>
              <w:jc w:val="center"/>
              <w:ind w:left="362"/>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3"/>
          </w:tcPr>
          <w:p>
            <w:pPr>
              <w:jc w:val="right"/>
              <w:ind w:right="639"/>
              <w:spacing w:after="0" w:line="149" w:lineRule="exact"/>
              <w:rPr>
                <w:sz w:val="20"/>
                <w:szCs w:val="20"/>
                <w:color w:val="auto"/>
              </w:rPr>
            </w:pPr>
            <w:r>
              <w:rPr>
                <w:rFonts w:ascii="Times New Roman" w:cs="Times New Roman" w:eastAsia="Times New Roman" w:hAnsi="Times New Roman"/>
                <w:sz w:val="14"/>
                <w:szCs w:val="14"/>
                <w:b w:val="1"/>
                <w:bCs w:val="1"/>
                <w:color w:val="auto"/>
              </w:rPr>
              <w:t>in OCI</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20" w:type="dxa"/>
            <w:vAlign w:val="bottom"/>
          </w:tcPr>
          <w:p>
            <w:pPr>
              <w:spacing w:after="0"/>
              <w:rPr>
                <w:sz w:val="12"/>
                <w:szCs w:val="12"/>
                <w:color w:val="auto"/>
              </w:rPr>
            </w:pPr>
          </w:p>
        </w:tc>
        <w:tc>
          <w:tcPr>
            <w:tcW w:w="1320" w:type="dxa"/>
            <w:vAlign w:val="bottom"/>
            <w:gridSpan w:val="3"/>
          </w:tcPr>
          <w:p>
            <w:pPr>
              <w:jc w:val="center"/>
              <w:ind w:left="362"/>
              <w:spacing w:after="0" w:line="149" w:lineRule="exact"/>
              <w:rPr>
                <w:sz w:val="20"/>
                <w:szCs w:val="20"/>
                <w:color w:val="auto"/>
              </w:rPr>
            </w:pPr>
            <w:r>
              <w:rPr>
                <w:rFonts w:ascii="Times New Roman" w:cs="Times New Roman" w:eastAsia="Times New Roman" w:hAnsi="Times New Roman"/>
                <w:sz w:val="14"/>
                <w:szCs w:val="14"/>
                <w:b w:val="1"/>
                <w:bCs w:val="1"/>
                <w:color w:val="auto"/>
              </w:rPr>
              <w:t>from AOCI</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3"/>
            <w:vMerge w:val="restart"/>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3"/>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42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 in cash flow hedges: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6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bottom w:val="single" w:sz="8" w:color="auto"/>
            </w:tcBorders>
            <w:gridSpan w:val="2"/>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vMerge w:val="restart"/>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Gains (Losses) from</w:t>
            </w:r>
          </w:p>
        </w:tc>
        <w:tc>
          <w:tcPr>
            <w:tcW w:w="0" w:type="dxa"/>
            <w:vAlign w:val="bottom"/>
          </w:tcPr>
          <w:p>
            <w:pPr>
              <w:spacing w:after="0"/>
              <w:rPr>
                <w:sz w:val="1"/>
                <w:szCs w:val="1"/>
                <w:color w:val="auto"/>
              </w:rPr>
            </w:pPr>
          </w:p>
        </w:tc>
      </w:tr>
      <w:tr>
        <w:trPr>
          <w:trHeight w:val="148"/>
        </w:trPr>
        <w:tc>
          <w:tcPr>
            <w:tcW w:w="2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4"/>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Hedge Activity</w:t>
            </w:r>
          </w:p>
        </w:tc>
        <w:tc>
          <w:tcPr>
            <w:tcW w:w="0" w:type="dxa"/>
            <w:vAlign w:val="bottom"/>
          </w:tcPr>
          <w:p>
            <w:pPr>
              <w:spacing w:after="0"/>
              <w:rPr>
                <w:sz w:val="1"/>
                <w:szCs w:val="1"/>
                <w:color w:val="auto"/>
              </w:rPr>
            </w:pPr>
          </w:p>
        </w:tc>
      </w:tr>
      <w:tr>
        <w:trPr>
          <w:trHeight w:val="25"/>
        </w:trPr>
        <w:tc>
          <w:tcPr>
            <w:tcW w:w="2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December 31:</w:t>
            </w: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auto"/>
            </w:tcBorders>
            <w:gridSpan w:val="3"/>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73"/>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12"/>
          </w:tcPr>
          <w:p>
            <w:pPr>
              <w:ind w:left="440"/>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gridSpan w:val="3"/>
          </w:tcPr>
          <w:p>
            <w:pPr>
              <w:jc w:val="center"/>
              <w:ind w:right="479"/>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gridSpan w:val="5"/>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Recognized on</w:t>
            </w:r>
          </w:p>
        </w:tc>
        <w:tc>
          <w:tcPr>
            <w:tcW w:w="220" w:type="dxa"/>
            <w:vAlign w:val="bottom"/>
          </w:tcPr>
          <w:p>
            <w:pPr>
              <w:spacing w:after="0"/>
              <w:rPr>
                <w:sz w:val="10"/>
                <w:szCs w:val="10"/>
                <w:color w:val="auto"/>
              </w:rPr>
            </w:pPr>
          </w:p>
        </w:tc>
        <w:tc>
          <w:tcPr>
            <w:tcW w:w="1980" w:type="dxa"/>
            <w:vAlign w:val="bottom"/>
            <w:gridSpan w:val="4"/>
          </w:tcPr>
          <w:p>
            <w:pPr>
              <w:jc w:val="center"/>
              <w:ind w:right="136"/>
              <w:spacing w:after="0" w:line="118" w:lineRule="exact"/>
              <w:rPr>
                <w:sz w:val="20"/>
                <w:szCs w:val="20"/>
                <w:color w:val="auto"/>
              </w:rPr>
            </w:pPr>
            <w:r>
              <w:rPr>
                <w:rFonts w:ascii="Times New Roman" w:cs="Times New Roman" w:eastAsia="Times New Roman" w:hAnsi="Times New Roman"/>
                <w:sz w:val="13"/>
                <w:szCs w:val="13"/>
                <w:b w:val="1"/>
                <w:bCs w:val="1"/>
                <w:color w:val="auto"/>
              </w:rPr>
              <w:t>Attributable to Risk</w:t>
            </w:r>
          </w:p>
        </w:tc>
        <w:tc>
          <w:tcPr>
            <w:tcW w:w="0" w:type="dxa"/>
            <w:vAlign w:val="bottom"/>
          </w:tcPr>
          <w:p>
            <w:pPr>
              <w:spacing w:after="0"/>
              <w:rPr>
                <w:sz w:val="1"/>
                <w:szCs w:val="1"/>
                <w:color w:val="auto"/>
              </w:rPr>
            </w:pPr>
          </w:p>
        </w:tc>
      </w:tr>
      <w:tr>
        <w:trPr>
          <w:trHeight w:val="149"/>
        </w:trPr>
        <w:tc>
          <w:tcPr>
            <w:tcW w:w="2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w:t>
            </w:r>
          </w:p>
        </w:tc>
        <w:tc>
          <w:tcPr>
            <w:tcW w:w="60" w:type="dxa"/>
            <w:vAlign w:val="bottom"/>
          </w:tcPr>
          <w:p>
            <w:pPr>
              <w:spacing w:after="0"/>
              <w:rPr>
                <w:sz w:val="12"/>
                <w:szCs w:val="12"/>
                <w:color w:val="auto"/>
              </w:rPr>
            </w:pPr>
          </w:p>
        </w:tc>
        <w:tc>
          <w:tcPr>
            <w:tcW w:w="1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left="462"/>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left="362"/>
              <w:spacing w:after="0" w:line="149" w:lineRule="exact"/>
              <w:rPr>
                <w:sz w:val="20"/>
                <w:szCs w:val="20"/>
                <w:color w:val="auto"/>
              </w:rPr>
            </w:pPr>
            <w:r>
              <w:rPr>
                <w:rFonts w:ascii="Times New Roman" w:cs="Times New Roman" w:eastAsia="Times New Roman" w:hAnsi="Times New Roman"/>
                <w:sz w:val="14"/>
                <w:szCs w:val="14"/>
                <w:b w:val="1"/>
                <w:bCs w:val="1"/>
                <w:color w:val="auto"/>
              </w:rPr>
              <w:t>Being Hedged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gridSpan w:val="3"/>
            <w:vMerge w:val="restart"/>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9"/>
        </w:trPr>
        <w:tc>
          <w:tcPr>
            <w:tcW w:w="53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 not designated as hedging instruments: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0" w:type="dxa"/>
            <w:vAlign w:val="bottom"/>
          </w:tcPr>
          <w:p>
            <w:pPr>
              <w:spacing w:after="0"/>
              <w:rPr>
                <w:sz w:val="18"/>
                <w:szCs w:val="18"/>
                <w:color w:val="auto"/>
              </w:rPr>
            </w:pPr>
          </w:p>
        </w:tc>
        <w:tc>
          <w:tcPr>
            <w:tcW w:w="1960" w:type="dxa"/>
            <w:vAlign w:val="bottom"/>
            <w:gridSpan w:val="4"/>
          </w:tcPr>
          <w:p>
            <w:pPr>
              <w:jc w:val="right"/>
              <w:ind w:right="139"/>
              <w:spacing w:after="0"/>
              <w:rPr>
                <w:sz w:val="20"/>
                <w:szCs w:val="20"/>
                <w:color w:val="auto"/>
              </w:rPr>
            </w:pPr>
            <w:r>
              <w:rPr>
                <w:rFonts w:ascii="Times New Roman" w:cs="Times New Roman" w:eastAsia="Times New Roman" w:hAnsi="Times New Roman"/>
                <w:sz w:val="18"/>
                <w:szCs w:val="18"/>
                <w:color w:val="auto"/>
                <w:w w:val="99"/>
              </w:rPr>
              <w:t>Other expense (income)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9"/>
        </w:trPr>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17"/>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 and Other Comprehensive Income</w:t>
            </w:r>
          </w:p>
        </w:tc>
        <w:tc>
          <w:tcPr>
            <w:tcW w:w="0" w:type="dxa"/>
            <w:vAlign w:val="bottom"/>
          </w:tcPr>
          <w:p>
            <w:pPr>
              <w:spacing w:after="0"/>
              <w:rPr>
                <w:sz w:val="1"/>
                <w:szCs w:val="1"/>
                <w:color w:val="auto"/>
              </w:rPr>
            </w:pPr>
          </w:p>
        </w:tc>
      </w:tr>
      <w:tr>
        <w:trPr>
          <w:trHeight w:val="117"/>
        </w:trPr>
        <w:tc>
          <w:tcPr>
            <w:tcW w:w="2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gridSpan w:val="3"/>
          </w:tcPr>
          <w:p>
            <w:pPr>
              <w:jc w:val="right"/>
              <w:ind w:right="499"/>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gridSpan w:val="5"/>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20" w:type="dxa"/>
            <w:vAlign w:val="bottom"/>
          </w:tcPr>
          <w:p>
            <w:pPr>
              <w:spacing w:after="0"/>
              <w:rPr>
                <w:sz w:val="10"/>
                <w:szCs w:val="10"/>
                <w:color w:val="auto"/>
              </w:rPr>
            </w:pPr>
          </w:p>
        </w:tc>
        <w:tc>
          <w:tcPr>
            <w:tcW w:w="1320" w:type="dxa"/>
            <w:vAlign w:val="bottom"/>
            <w:gridSpan w:val="3"/>
          </w:tcPr>
          <w:p>
            <w:pPr>
              <w:jc w:val="center"/>
              <w:ind w:left="362"/>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3"/>
          </w:tcPr>
          <w:p>
            <w:pPr>
              <w:jc w:val="right"/>
              <w:ind w:right="639"/>
              <w:spacing w:after="0" w:line="149" w:lineRule="exact"/>
              <w:rPr>
                <w:sz w:val="20"/>
                <w:szCs w:val="20"/>
                <w:color w:val="auto"/>
              </w:rPr>
            </w:pPr>
            <w:r>
              <w:rPr>
                <w:rFonts w:ascii="Times New Roman" w:cs="Times New Roman" w:eastAsia="Times New Roman" w:hAnsi="Times New Roman"/>
                <w:sz w:val="14"/>
                <w:szCs w:val="14"/>
                <w:b w:val="1"/>
                <w:bCs w:val="1"/>
                <w:color w:val="auto"/>
              </w:rPr>
              <w:t>in OCI</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20" w:type="dxa"/>
            <w:vAlign w:val="bottom"/>
          </w:tcPr>
          <w:p>
            <w:pPr>
              <w:spacing w:after="0"/>
              <w:rPr>
                <w:sz w:val="12"/>
                <w:szCs w:val="12"/>
                <w:color w:val="auto"/>
              </w:rPr>
            </w:pPr>
          </w:p>
        </w:tc>
        <w:tc>
          <w:tcPr>
            <w:tcW w:w="1320" w:type="dxa"/>
            <w:vAlign w:val="bottom"/>
            <w:gridSpan w:val="3"/>
          </w:tcPr>
          <w:p>
            <w:pPr>
              <w:jc w:val="center"/>
              <w:ind w:left="362"/>
              <w:spacing w:after="0" w:line="149" w:lineRule="exact"/>
              <w:rPr>
                <w:sz w:val="20"/>
                <w:szCs w:val="20"/>
                <w:color w:val="auto"/>
              </w:rPr>
            </w:pPr>
            <w:r>
              <w:rPr>
                <w:rFonts w:ascii="Times New Roman" w:cs="Times New Roman" w:eastAsia="Times New Roman" w:hAnsi="Times New Roman"/>
                <w:sz w:val="14"/>
                <w:szCs w:val="14"/>
                <w:b w:val="1"/>
                <w:bCs w:val="1"/>
                <w:color w:val="auto"/>
              </w:rPr>
              <w:t>from AOCI</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3"/>
            <w:vMerge w:val="restart"/>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gridSpan w:val="3"/>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42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 in cash flow hedges: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60" w:type="dxa"/>
            <w:vAlign w:val="bottom"/>
            <w:gridSpan w:val="2"/>
          </w:tcPr>
          <w:p>
            <w:pPr>
              <w:jc w:val="right"/>
              <w:ind w:right="48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top w:val="single" w:sz="8" w:color="auto"/>
              <w:bottom w:val="single" w:sz="8" w:color="auto"/>
            </w:tcBorders>
            <w:gridSpan w:val="2"/>
            <w:shd w:val="clear" w:color="auto" w:fill="CCEEFF"/>
          </w:tcPr>
          <w:p>
            <w:pPr>
              <w:jc w:val="right"/>
              <w:ind w:right="48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208" w:lineRule="exact"/>
        <w:rPr>
          <w:sz w:val="20"/>
          <w:szCs w:val="20"/>
          <w:color w:val="auto"/>
        </w:rPr>
      </w:pPr>
    </w:p>
    <w:p>
      <w:pPr>
        <w:jc w:val="both"/>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December 31, 2022 and 2021, there were no gains or losses excluded from the assessment of hedge effectiveness for cash flow hedges, or associated with an underlying exposure that did not or was not expected to occur, nor are there any anticipated in the normal course of business. For the three and nine months ended December 31, 2022 and 2021, amounts recognized in OCI and reclassified from AOCI were immaterial, as the gains and losses from maturing and revalued cash flow hedges on various currencies offset each other.</w:t>
      </w:r>
    </w:p>
    <w:p>
      <w:pPr>
        <w:spacing w:after="0" w:line="183"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Prior to the third quarter of 2021, Kyndryl did not independently execute derivative financial instruments to manage its foreign currency risk and instead participated in a centralized foreign currency hedging program administered by IBM. The hedging activity allocated to Kyndryl was for the former Parent’s forecasted currency exposures. In the third quarter of 2021, we began to execute trades to hedge certain of the Company’s foreign exchange exposures.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INTANGIBLE ASSETS INCLUDING GOODWILL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February 1, 2022, the Company completed two business combinations, consisting of an immaterial acquisition in our Strategic Markets segment and a transfer of a majority interest (51%) of a managed infrastructure services joint venture in Japan (the “Exa transaction”) from our former Parent that could not be completed prior to the Separation due to local regulatory approvals. The non-controlling interest acquired in the Exa transaction represents the fair value of the joint venture prorated by the non-controlling shareholder’s percentage of ownership (49%). The Company closed the Exa transaction for consideration of $48 million, net of cash acquired of $59 million. Acquisition costs associated with these two acquisitions were immaterial and expensed as incurred. The Exa transaction enabled us to seamlessly continue our relationships with certain key customers in Japan. The purchase price allocation for the business combinations is preliminary, and there may be changes in the allocation of consideration to assets acquired and liabilities assumed, including intangible assets and goodwill, for up to twelve months from the acquisition closing dates.</w:t>
      </w:r>
    </w:p>
    <w:p>
      <w:pPr>
        <w:spacing w:after="0" w:line="194"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consideration transferred, fair value of net assets acquired, net liabilities assumed and goodwill for the Exa transaction:</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3"/>
                <w:szCs w:val="13"/>
                <w:color w:val="auto"/>
              </w:rPr>
            </w:pPr>
          </w:p>
        </w:tc>
        <w:tc>
          <w:tcPr>
            <w:tcW w:w="13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enterprise value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liabilities assumed, excluding cash</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arising from acquired intangibles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2"/>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wp:posOffset>
            </wp:positionV>
            <wp:extent cx="1414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1"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Intangible assets acquired consist of $16 million of patents and trademarks and $91 million of customer relationships.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present the Company’s intangible asset balances by major asset class.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At December 31, 2022</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At March 31, 2022</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 w:type="dxa"/>
            <w:vAlign w:val="bottom"/>
          </w:tcPr>
          <w:p>
            <w:pPr>
              <w:spacing w:after="0"/>
              <w:rPr>
                <w:sz w:val="10"/>
                <w:szCs w:val="10"/>
                <w:color w:val="auto"/>
              </w:rPr>
            </w:pPr>
          </w:p>
        </w:tc>
        <w:tc>
          <w:tcPr>
            <w:tcW w:w="9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9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20" w:type="dxa"/>
            <w:vAlign w:val="bottom"/>
          </w:tcPr>
          <w:p>
            <w:pPr>
              <w:spacing w:after="0"/>
              <w:rPr>
                <w:sz w:val="10"/>
                <w:szCs w:val="10"/>
                <w:color w:val="auto"/>
              </w:rPr>
            </w:pPr>
          </w:p>
        </w:tc>
        <w:tc>
          <w:tcPr>
            <w:tcW w:w="10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60" w:type="dxa"/>
            <w:vAlign w:val="bottom"/>
          </w:tcPr>
          <w:p>
            <w:pPr>
              <w:spacing w:after="0"/>
              <w:rPr>
                <w:sz w:val="10"/>
                <w:szCs w:val="10"/>
                <w:color w:val="auto"/>
              </w:rPr>
            </w:pPr>
          </w:p>
        </w:tc>
        <w:tc>
          <w:tcPr>
            <w:tcW w:w="104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9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2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Amounts at December 31, 2022 include effects from foreign currency translation.</w:t>
      </w:r>
    </w:p>
    <w:p>
      <w:pPr>
        <w:spacing w:after="0" w:line="20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net carrying amount of intangible assets increased by $13 million during the nine months ended December 31, 2022, primarily due to additions to capitalized software and foreign currency translation. The aggregate intangible asset amortization expense was $11 million and $36 million for the three and nine months ended December 31, 2022, compared to $11 million and $30 million for the three and nine months ended December 31, 2021. The amortization expense for these periods primarily relate to assets acquired via business combinations.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future amortization expense relating to intangible assets currently recorded in the Consolidated Balance Sheet was estimated to be the following at December 31, 2022:</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0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2023 (remaining three months)</w:t>
            </w:r>
          </w:p>
        </w:tc>
        <w:tc>
          <w:tcPr>
            <w:tcW w:w="130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changes in the goodwill balances by segment for the nine months ended December 31, 2022 were as follows: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7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17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Additions and</w:t>
            </w:r>
          </w:p>
        </w:tc>
        <w:tc>
          <w:tcPr>
            <w:tcW w:w="160" w:type="dxa"/>
            <w:vAlign w:val="bottom"/>
          </w:tcPr>
          <w:p>
            <w:pPr>
              <w:spacing w:after="0"/>
              <w:rPr>
                <w:sz w:val="13"/>
                <w:szCs w:val="13"/>
                <w:color w:val="auto"/>
              </w:rPr>
            </w:pPr>
          </w:p>
        </w:tc>
        <w:tc>
          <w:tcPr>
            <w:tcW w:w="14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3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5"/>
                <w:szCs w:val="15"/>
                <w:color w:val="auto"/>
              </w:rPr>
            </w:pPr>
          </w:p>
        </w:tc>
        <w:tc>
          <w:tcPr>
            <w:tcW w:w="17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5"/>
                <w:szCs w:val="15"/>
                <w:color w:val="auto"/>
              </w:rPr>
            </w:pPr>
          </w:p>
        </w:tc>
        <w:tc>
          <w:tcPr>
            <w:tcW w:w="17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3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Markets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Strategic Markets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Primarily related to foreign currency translation.</w:t>
      </w:r>
    </w:p>
    <w:p>
      <w:pPr>
        <w:spacing w:after="0" w:line="194" w:lineRule="exact"/>
        <w:rPr>
          <w:sz w:val="20"/>
          <w:szCs w:val="20"/>
          <w:color w:val="auto"/>
        </w:rPr>
      </w:pPr>
    </w:p>
    <w:p>
      <w:pPr>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Management reviews goodwill for impairment annually during the fourth quarter of the calendar year and whenever events or changes in circumstances indicate the carrying value of goodwill may not be recoverable by first assessing qualitative factors to determine if it is more likely than not that fair value is less than carrying value.</w:t>
      </w:r>
    </w:p>
    <w:p>
      <w:pPr>
        <w:spacing w:after="0" w:line="1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use an income-based approach where fair value is determined using a discounted cash flow model that requires significant judgment with respect to revenue and growth rates, based upon annual budgets and long-term strategic plans. Fair value estimates employed in our annual impairment review of goodwill involve using various assumptions. Assumptions critical to our fair value estimates were discount rates, expected revenue growth and projected EBITDA margins used in determining the fair value of the reporting units. These and other assumptions are impacted by economic conditions and expectations of management and may change based on different facts and circumstances. We believe the assumptions used to estimate future cash flows are reasonable, but there can be no assurance that the expected cash flows will be realized. The use of different assumptions would increase or decrease discounted cash flows or earnings projections and therefore could change impairment determinations.</w:t>
      </w:r>
    </w:p>
    <w:p>
      <w:pPr>
        <w:spacing w:after="0" w:line="188" w:lineRule="exact"/>
        <w:rPr>
          <w:sz w:val="20"/>
          <w:szCs w:val="20"/>
          <w:color w:val="auto"/>
        </w:rPr>
      </w:pPr>
    </w:p>
    <w:p>
      <w:pPr>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We prepared our impairment test as of October 1, 2022 and determined that the fair values of each of our reporting units exceeded net book value by more than 50%. Among our reporting units, the narrowest difference between the calculated fair value and net book value was in our Principal Markets segment’s Canada reporting unit, whose calculated fair value exceeded its net book value by 53%. Future developments related to macroeconomic factors, including increases to the discount rate used, or changes to other inputs and assumptions, including revenue growth, could reduce the fair value of this and/or other reporting units and lead to impairment. There were no goodwill impairment losses recorded for the nine months ended December 31, 2022. Cumulatively, the Company has recorded $469 million in goodwill impairment charges within its former EMEA ($293 million) and current United States ($176 million) reporting units.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BORROWINGS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our debt:</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820" w:type="dxa"/>
            <w:vAlign w:val="bottom"/>
            <w:gridSpan w:val="3"/>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floating-rate term loan</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 loan agreement</w:t>
            </w: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July 2026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2026</w:t>
            </w:r>
          </w:p>
        </w:tc>
        <w:tc>
          <w:tcPr>
            <w:tcW w:w="1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2028</w:t>
            </w: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1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2031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2041</w:t>
            </w: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2041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w:t>
            </w:r>
          </w:p>
        </w:tc>
        <w:tc>
          <w:tcPr>
            <w:tcW w:w="1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2023-2027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right="2119" w:hanging="10"/>
        <w:spacing w:after="0" w:line="261" w:lineRule="auto"/>
        <w:tabs>
          <w:tab w:leader="none" w:pos="27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Floating rate calculated as of December 31, 2022, using a rate equal to one-month U.S. dollar LIBOR plus 1.125%. ** Finance lease obligations presented using the weighted-average interest rate and calendar-year maturity dates.</w:t>
      </w:r>
    </w:p>
    <w:p>
      <w:pPr>
        <w:spacing w:after="0" w:line="167"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Contractual obligations of long-term debt outstanding at December 31, 2022, exclusive of finance lease obligations,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2023 (remaining three months)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Contractual obligations approximate scheduled repayments.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Revolving Credit Agreement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October 2021, we entered into a $3.15 billion multi-currency revolving credit agreement (the “Revolving Credit Agreement”) for our future liquidity needs.</w:t>
      </w:r>
    </w:p>
    <w:p>
      <w:pPr>
        <w:spacing w:after="0" w:line="162" w:lineRule="exact"/>
        <w:rPr>
          <w:sz w:val="20"/>
          <w:szCs w:val="20"/>
          <w:color w:val="auto"/>
        </w:rPr>
      </w:pPr>
    </w:p>
    <w:p>
      <w:pPr>
        <w:jc w:val="both"/>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The Revolving Credit Agreement expires, unless extended, in October 2026. Interest rates on borrowings under the Revolving Credit Agreement are based on prevailing market interest rates, plus a margin, as further described in the Revolving Credit Agreement. The total expense recorded by the Company for the Revolving Credit Agreement was not material in any of the periods presented.</w:t>
      </w:r>
    </w:p>
    <w:p>
      <w:pPr>
        <w:spacing w:after="0" w:line="180"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We may voluntarily prepay borrowings under the Revolving Credit Agreement without premium or penalty, subject to customary “breakage” costs. The Revolving Credit Agreement includes certain customary mandatory prepayment provisions.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on Debt</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Interest expense for the three and nine months ended December 31, 2022 was $27 million and $65 million, compared to $18 million and $50 million for the three and nine months ended December 31, 2021. Most of the interest for the pre-Separation period presented in the historical Consolidated Income Statement reflects the allocation of interest expense associated with debt issued by IBM from which a portion of the proceeds benefited Kyndryl.</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guarantees certain loans and financial commitments. The maximum potential future payment under these financial guarantees and the fair value of these guarantees recognized in the Consolidated Balance Sheet at December 31, 2022 and March 31, 2022 were not material. Additionally, the Company has contractual commitments that are noncancellable with certain software, hardware and cloud partners used in the delivery of services to customers. Certain of these commitments were allocated to the Company as part of the Separation from its former Parent. The Company has determined that these commitments may exceed the Company’s needs over the next four to six years. If the Company is unable to satisfy, reduce or amend its contractual commitments, it would record the future charges for any payments related to excess commitments as cost of services. The Company’s overall contractual commitments have decreased compared to information reported in the Company’s last annual filings due to contract renegotiation and attainments outpacing new additions.</w:t>
      </w:r>
    </w:p>
    <w:p>
      <w:pPr>
        <w:spacing w:after="0" w:line="19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a company with approximately 90,000 employees and with clients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pacing w:after="0" w:line="19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8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spacing w:after="0" w:line="17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July 2017, BMC Software, Inc. (“BMC”) filed suit against IBM in the U.S. Court for the Southern District of Texas in a dispute involving various aspects of IBM’s business, including its managed infrastructure business. BMC alleged IBM’s removal of BMC software from one of its client’s sites at the client’s request constituted breach of contract, fraudulent inducement and trade secret misappropriation. In May 2022, the trial court entered a judgment against IBM and awarded BMC $717 million in direct damages and $717 million in punitive damages, plus interest. IBM has appealed the judgment and has stated publicly that it intends to seek a complete reversal on appeal. IBM may seek an indemnity from the Company in connection with this matter. Until there is a final and conclusive judgment in the case after all appeals and proceedings are concluded, until the amount of any applicable insurance is determined, and until a definitive assessment of Kyndryl’s indemnity obligations (if any) occurs, which in the aggregate will likely take several years, the amount of indemnity obligation (if any) that the Company may owe to IBM is indeterminate.</w:t>
      </w:r>
    </w:p>
    <w:p>
      <w:pPr>
        <w:spacing w:after="0" w:line="194"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Separately, certain contractual disputes have arisen between Kyndryl and IBM. IBM and Kyndryl have commenced arbitration proceedings related to certain of these matters. Kyndryl intends to vigorously pursue its interests and defenses in these matters, including asserting its own claims in arbitration if necessary.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EQUITY</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reclassifications and taxes related to items of other comprehensive income (loss) for the three and nine months ended December 31, 2022 and 2021:</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3"/>
                <w:szCs w:val="13"/>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173"/>
        </w:trPr>
        <w:tc>
          <w:tcPr>
            <w:tcW w:w="41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2022:</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20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20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21"/>
                <w:szCs w:val="21"/>
                <w:color w:val="auto"/>
              </w:rPr>
            </w:pPr>
          </w:p>
        </w:tc>
        <w:tc>
          <w:tcPr>
            <w:tcW w:w="9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2021:</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0" w:type="dxa"/>
            <w:vAlign w:val="bottom"/>
            <w:gridSpan w:val="2"/>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200" w:type="dxa"/>
            <w:vAlign w:val="bottom"/>
            <w:gridSpan w:val="2"/>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1200" w:type="dxa"/>
            <w:vAlign w:val="bottom"/>
            <w:gridSpan w:val="2"/>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80" w:right="119" w:hanging="330"/>
        <w:spacing w:after="0" w:line="261"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12 – Retirement-Related Benefits for additional information.</w:t>
      </w:r>
    </w:p>
    <w:p>
      <w:pPr>
        <w:sectPr>
          <w:pgSz w:w="11900" w:h="16838" w:orient="portrait"/>
          <w:cols w:equalWidth="0" w:num="1">
            <w:col w:w="9019"/>
          </w:cols>
          <w:pgMar w:left="1440" w:top="513"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40" w:type="dxa"/>
            <w:vAlign w:val="bottom"/>
          </w:tcPr>
          <w:p>
            <w:pPr>
              <w:spacing w:after="0"/>
              <w:rPr>
                <w:sz w:val="13"/>
                <w:szCs w:val="13"/>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173"/>
        </w:trPr>
        <w:tc>
          <w:tcPr>
            <w:tcW w:w="4440" w:type="dxa"/>
            <w:vAlign w:val="bottom"/>
            <w:gridSpan w:val="2"/>
            <w:vMerge w:val="continue"/>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40" w:type="dxa"/>
            <w:vAlign w:val="bottom"/>
          </w:tcPr>
          <w:p>
            <w:pPr>
              <w:spacing w:after="0"/>
              <w:rPr>
                <w:sz w:val="15"/>
                <w:szCs w:val="15"/>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December 31, 2022:</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(229)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92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2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(207)</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December 31, 2021:</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92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9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92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92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92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2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27" w:lineRule="exact"/>
        <w:rPr>
          <w:sz w:val="20"/>
          <w:szCs w:val="20"/>
          <w:color w:val="auto"/>
        </w:rPr>
      </w:pPr>
    </w:p>
    <w:p>
      <w:pPr>
        <w:ind w:left="380" w:right="119" w:hanging="330"/>
        <w:spacing w:after="0" w:line="261" w:lineRule="auto"/>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12 – Retirement-Related Benefits for additional information.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net of taxes: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on Cash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6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(1,084)</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on Cash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6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transfers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27"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translation adjustments are presented gross.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RETIREMENT-RELATED BENEFITS</w:t>
      </w:r>
    </w:p>
    <w:p>
      <w:pPr>
        <w:spacing w:after="0" w:line="18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components of net periodic benefit cost for the retirement-related benefit plans recognized in the Consolidated Income Statement, excluding defined contribution plans, for the three and nine months ended December 31, 2022 and 2021.</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Nonpension Postretirement Benefit Plans</w:t>
            </w:r>
          </w:p>
        </w:tc>
      </w:tr>
      <w:tr>
        <w:trPr>
          <w:trHeight w:val="142"/>
        </w:trPr>
        <w:tc>
          <w:tcPr>
            <w:tcW w:w="33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820" w:type="dxa"/>
            <w:vAlign w:val="bottom"/>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Interest cost</w:t>
            </w:r>
            <w:r>
              <w:rPr>
                <w:rFonts w:ascii="Times New Roman" w:cs="Times New Roman" w:eastAsia="Times New Roman" w:hAnsi="Times New Roman"/>
                <w:sz w:val="25"/>
                <w:szCs w:val="25"/>
                <w:color w:val="auto"/>
                <w:vertAlign w:val="superscript"/>
              </w:rPr>
              <w:t>(1)</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Expected return on plan assets</w:t>
            </w:r>
            <w:r>
              <w:rPr>
                <w:rFonts w:ascii="Times New Roman" w:cs="Times New Roman" w:eastAsia="Times New Roman" w:hAnsi="Times New Roman"/>
                <w:sz w:val="25"/>
                <w:szCs w:val="25"/>
                <w:color w:val="auto"/>
                <w:vertAlign w:val="superscript"/>
              </w:rPr>
              <w:t>(1)</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Recognized actuarial losses (gains)</w:t>
            </w:r>
            <w:r>
              <w:rPr>
                <w:rFonts w:ascii="Times New Roman" w:cs="Times New Roman" w:eastAsia="Times New Roman" w:hAnsi="Times New Roman"/>
                <w:sz w:val="25"/>
                <w:szCs w:val="25"/>
                <w:color w:val="auto"/>
                <w:vertAlign w:val="superscript"/>
              </w:rPr>
              <w:t>(1)</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Curtailments and settlements</w:t>
            </w:r>
            <w:r>
              <w:rPr>
                <w:rFonts w:ascii="Times New Roman" w:cs="Times New Roman" w:eastAsia="Times New Roman" w:hAnsi="Times New Roman"/>
                <w:sz w:val="25"/>
                <w:szCs w:val="25"/>
                <w:color w:val="auto"/>
                <w:vertAlign w:val="superscript"/>
              </w:rPr>
              <w:t>(1)</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Multi-employer plans and other costs</w:t>
            </w:r>
            <w:r>
              <w:rPr>
                <w:rFonts w:ascii="Times New Roman" w:cs="Times New Roman" w:eastAsia="Times New Roman" w:hAnsi="Times New Roman"/>
                <w:sz w:val="25"/>
                <w:szCs w:val="25"/>
                <w:color w:val="auto"/>
                <w:vertAlign w:val="superscript"/>
              </w:rPr>
              <w:t>(2)</w:t>
            </w:r>
          </w:p>
        </w:tc>
        <w:tc>
          <w:tcPr>
            <w:tcW w:w="8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2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r>
      <w:tr>
        <w:trPr>
          <w:trHeight w:val="575"/>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Nonpension Postretirement Benefit Plans</w:t>
            </w:r>
          </w:p>
        </w:tc>
      </w:tr>
      <w:tr>
        <w:trPr>
          <w:trHeight w:val="142"/>
        </w:trPr>
        <w:tc>
          <w:tcPr>
            <w:tcW w:w="33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For the nine months ended December 31:</w:t>
            </w:r>
          </w:p>
        </w:tc>
        <w:tc>
          <w:tcPr>
            <w:tcW w:w="820" w:type="dxa"/>
            <w:vAlign w:val="bottom"/>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3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Interest cost</w:t>
            </w:r>
            <w:r>
              <w:rPr>
                <w:rFonts w:ascii="Times New Roman" w:cs="Times New Roman" w:eastAsia="Times New Roman" w:hAnsi="Times New Roman"/>
                <w:sz w:val="25"/>
                <w:szCs w:val="25"/>
                <w:color w:val="auto"/>
                <w:vertAlign w:val="superscript"/>
              </w:rPr>
              <w:t>(1)</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Expected return on plan assets</w:t>
            </w:r>
            <w:r>
              <w:rPr>
                <w:rFonts w:ascii="Times New Roman" w:cs="Times New Roman" w:eastAsia="Times New Roman" w:hAnsi="Times New Roman"/>
                <w:sz w:val="25"/>
                <w:szCs w:val="25"/>
                <w:color w:val="auto"/>
                <w:vertAlign w:val="superscript"/>
              </w:rPr>
              <w:t>(1)</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Recognized actuarial losses (gains)</w:t>
            </w:r>
            <w:r>
              <w:rPr>
                <w:rFonts w:ascii="Times New Roman" w:cs="Times New Roman" w:eastAsia="Times New Roman" w:hAnsi="Times New Roman"/>
                <w:sz w:val="25"/>
                <w:szCs w:val="25"/>
                <w:color w:val="auto"/>
                <w:vertAlign w:val="superscript"/>
              </w:rPr>
              <w:t>(1)</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Curtailments and settlements</w:t>
            </w:r>
            <w:r>
              <w:rPr>
                <w:rFonts w:ascii="Times New Roman" w:cs="Times New Roman" w:eastAsia="Times New Roman" w:hAnsi="Times New Roman"/>
                <w:sz w:val="25"/>
                <w:szCs w:val="25"/>
                <w:color w:val="auto"/>
                <w:vertAlign w:val="superscript"/>
              </w:rPr>
              <w:t>(1)</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Multi-employer plans and other costs</w:t>
            </w:r>
            <w:r>
              <w:rPr>
                <w:rFonts w:ascii="Times New Roman" w:cs="Times New Roman" w:eastAsia="Times New Roman" w:hAnsi="Times New Roman"/>
                <w:sz w:val="25"/>
                <w:szCs w:val="25"/>
                <w:color w:val="auto"/>
                <w:vertAlign w:val="superscript"/>
              </w:rPr>
              <w:t>(2)</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2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2"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of net periodic benefit cost are included in other expense (income) in the Consolidated Income Statement.</w:t>
      </w:r>
    </w:p>
    <w:p>
      <w:pPr>
        <w:spacing w:after="0" w:line="3" w:lineRule="exact"/>
        <w:rPr>
          <w:rFonts w:ascii="Times New Roman" w:cs="Times New Roman" w:eastAsia="Times New Roman" w:hAnsi="Times New Roman"/>
          <w:sz w:val="14"/>
          <w:szCs w:val="14"/>
          <w:color w:val="auto"/>
        </w:rPr>
      </w:pPr>
    </w:p>
    <w:p>
      <w:pPr>
        <w:ind w:left="380" w:right="219" w:hanging="330"/>
        <w:spacing w:after="0" w:line="239"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Multi-employer plan costs represent required contributions for the period to multi-employer plans, which are plans sponsored by third parties. The Company recognizes expense in connection with multi-employer plans as operating costs as contributions are funded.</w:t>
      </w:r>
    </w:p>
    <w:p>
      <w:pPr>
        <w:spacing w:after="0" w:line="181"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contributions to its defined benefit pension plans, multi-employer plans and nonpension postretirement benefit plans for fiscal year 2023 to be approximately $37 million. These amounts generally represent legally mandated minimum contributions. During the three and nine months ended December 31, 2022, Company contributions paid to the defined benefit pension plans, multi-employer plans and nonpension postretirement benefit plans were $15 million and $27 million,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TRANSACTIONS WITH FORMER PARENT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 in Beneficial Ownership</w:t>
      </w:r>
    </w:p>
    <w:p>
      <w:pPr>
        <w:spacing w:after="0" w:line="189" w:lineRule="exact"/>
        <w:rPr>
          <w:sz w:val="20"/>
          <w:szCs w:val="20"/>
          <w:color w:val="auto"/>
        </w:rPr>
      </w:pPr>
    </w:p>
    <w:p>
      <w:pPr>
        <w:ind w:left="60" w:right="299" w:firstLine="648"/>
        <w:spacing w:after="0" w:line="281" w:lineRule="auto"/>
        <w:rPr>
          <w:sz w:val="20"/>
          <w:szCs w:val="20"/>
          <w:color w:val="auto"/>
        </w:rPr>
      </w:pPr>
      <w:r>
        <w:rPr>
          <w:rFonts w:ascii="Times New Roman" w:cs="Times New Roman" w:eastAsia="Times New Roman" w:hAnsi="Times New Roman"/>
          <w:sz w:val="17"/>
          <w:szCs w:val="17"/>
          <w:color w:val="auto"/>
        </w:rPr>
        <w:t>IBM transferred all of its 19.9% retained interest in Kyndryl common stock to a third-party financial institution through exchange agreements in May and August 2022. IBM ceased to be a related party of Kyndryl in August 2022. Transactions related to former Parent after August 11, 2022 are no longer reported as related-party activities. As a result, there was no related party revenue or cost of services recognized for the three months ended December 31,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and Purchases related to Former Parent</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Kyndryl provides various services to IBM, including those related to hosting data centers and servicing IBM’s information technology infrastructure, which are reported as revenue in the Company’s Consolidated Income Statement. Revenue generated from these services was $260 million for the three months ended December 31, 2021. Revenue generated from these services was $287 million and $550 million for the nine months ended December 31, 2022 and 2021, respectively. No related party revenue was recognized after August 2022.</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Kyndryl utilizes various IBM products and services, recognized as costs of services, in the fulfillment of services contracts. Total cost of services recognized from these related-party transactions in the Company’s Consolidated Income Statement was $1.1 billion for the three months ended December 31, 2021. Related-party costs of $1.1 billion for the quarter ended December 31, 2021 included $386 million pre-Separation costs and $714 million post-Separation costs. Total cost of services was $1.4 billion and $3.0 billion for the nine months ended December 31, 2022 and 2021, respectively. No related party cost of services was recognized after August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Expenditures with Former Parent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 expenditures for purchases of IBM hardware were reflected as payments for property and equipment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within the investing section of the Company’s Consolidated Statement of Cash Flows in the amounts of $89 million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$212 million for the nine months ended December 31, 2022 and 2021, respectively. Additionally, as part of the Separation,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IBM has committed to provide Kyndryl, at no cost, approximately $265 million of upgraded hardware over a two-year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period. The amounts committed by IBM are reflected within other assets (noncurrent) within the Consolidated Balance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Sheet. For the three and nine months ended December 31, 2022, $21 million and $41 million, respectively, of the upgraded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hardware committed by IBM was delivered to Kyndryl. Accordingly, such balance was transferred from other assets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(noncurrent) to property and equipment on the Balance Sheet and recognized as non-cash investing activity. The Company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intends to recognize depreciation expense related to such equipment over its useful life of five years, consistent with its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policy.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Related Party Agreements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On November 2, 2021, in connection with the Separation, the Company entered into several agreements with IBM that govern the relationship of the parties following the Separation. Such agreements were described in our 2021 Annual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Allocation of Corporate Expenses</w:t>
      </w:r>
    </w:p>
    <w:p>
      <w:pPr>
        <w:spacing w:after="0" w:line="229" w:lineRule="exact"/>
        <w:rPr>
          <w:sz w:val="20"/>
          <w:szCs w:val="20"/>
          <w:color w:val="auto"/>
        </w:rPr>
      </w:pPr>
    </w:p>
    <w:p>
      <w:pPr>
        <w:ind w:left="60" w:right="159" w:firstLine="648"/>
        <w:spacing w:after="0" w:line="312" w:lineRule="auto"/>
        <w:rPr>
          <w:sz w:val="20"/>
          <w:szCs w:val="20"/>
          <w:color w:val="auto"/>
        </w:rPr>
      </w:pPr>
      <w:r>
        <w:rPr>
          <w:rFonts w:ascii="Times New Roman" w:cs="Times New Roman" w:eastAsia="Times New Roman" w:hAnsi="Times New Roman"/>
          <w:sz w:val="17"/>
          <w:szCs w:val="17"/>
          <w:color w:val="auto"/>
        </w:rPr>
        <w:t>Post-Separation, general corporate expenses from IBM were no longer allocated to Kyndryl; therefore, no related amounts were reflected on the Company’s financial statements for the three and nine months ended December 31, 2022.</w:t>
      </w:r>
    </w:p>
    <w:p>
      <w:pPr>
        <w:spacing w:after="0" w:line="14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Prior to the Separation, IBM allocated certain general corporate expenses that would have been incurred by Kyndryl had it been a separate, standalone company. These allocated general corporate expenses from IBM were recorded in the historical Consolidated Income Statement, Consolidated Statement of Comprehensive Income (Loss) and Consolidated Statement of Cash Flows. Allocations for management costs and corporate support services provided to Kyndryl for the nine months ended December 31, 2021 totaled $652 million, which consisted of $3 million of allocated other (income) and expense, $32 million of allocated interest expense and $615 million of allocated selling, general and administrative expense, which primarily represents expenses for corporate functions including, but not limited to, senior management, legal, human resources, finance and accounting, treasury, information technology and other shared services. All such amounts have been deemed to have been incurred and settled by Kyndryl through net Parent investment in the period in which the costs were recorded. These costs were allocated based on direct usage as applicable, with the remainder allocated on a pro-rata basis of gross profit, headcount, assets or other measures.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Parent Investment</w:t>
      </w:r>
    </w:p>
    <w:p>
      <w:pPr>
        <w:spacing w:after="0" w:line="229" w:lineRule="exact"/>
        <w:rPr>
          <w:sz w:val="20"/>
          <w:szCs w:val="20"/>
          <w:color w:val="auto"/>
        </w:rPr>
      </w:pPr>
    </w:p>
    <w:p>
      <w:pPr>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As a result of the Separation, net Parent investment in the Consolidated Balance Sheet and Consolidated Statement of Equity was fully settled on November 3, 2021. As such, there was no balance in net Parent investment at March 31, 2022, and there was no activity within the account during the three and nine months ended December 31, 2022.</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Prior to the Separation, net Parent investment in the historical Balance Sheet and Statement of Equity represented IBM’s historical investment in Kyndryl, the net effect of transactions with and allocations from IBM, and Kyndryl’s accumulated earnings. In conjunction with the Separation, the Company issued common stock and reclassified net Parent investment to common stock and additional paid-in capital to close out the net Parent investment balance. As a result, there was no balance in net Parent investment at December 31,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Guarantees</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Kyndryl has lease agreements with third parties with an estimated aggregate lease liability of $111 million that are guaranteed by IBM as of December 31,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REVISION OF PRIOR-PERIOD FINANCIAL STATEMENTS</w:t>
      </w:r>
    </w:p>
    <w:p>
      <w:pPr>
        <w:spacing w:after="0" w:line="18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2022, the Company identified and corrected an $87 million over-accrual in its accrued contract costs balance that related to a majority-owned, consolidated joint venture in our Principal Markets segment. This over-accrual was predominantly built up over the pre-Separation periods of January 1, 2012 to November 3, 2021, resulting in overstatements of cost of services and accrued contract costs, and corresponding understatements of pretax and net income. The Company concluded that such impacts were not material to any prior annual or interim period. The Company further determined that the correction of the over-accrual within the transition period ended March 31, 2022 would be significant to the three-month results. As a result, we recorded an immaterial revision to portions of our 2021 Annual Report and immaterial revisions to prior interim periods in our Quarterly Reports on Form 10-Q.</w:t>
      </w:r>
    </w:p>
    <w:p>
      <w:pPr>
        <w:spacing w:after="0" w:line="188"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 summary of the impact of the revision to the accompanying prior-period consolidated financial statements is presented in the tables below.</w:t>
      </w:r>
    </w:p>
    <w:p>
      <w:pPr>
        <w:sectPr>
          <w:pgSz w:w="11900" w:h="16838" w:orient="portrait"/>
          <w:cols w:equalWidth="0" w:num="1">
            <w:col w:w="9019"/>
          </w:cols>
          <w:pgMar w:left="1440" w:top="513" w:right="1440" w:bottom="1440" w:gutter="0" w:footer="0" w:header="0"/>
        </w:sectPr>
      </w:pP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Income Statement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services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costs and expenses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Income Statement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 of services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costs and expenses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Statement of Comprehensive Income (Loss)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 before tax</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comprehensive income (loss)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 December 31,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0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7"/>
              </w:rPr>
              <w:t>As Revised</w:t>
            </w:r>
          </w:p>
        </w:tc>
        <w:tc>
          <w:tcPr>
            <w:tcW w:w="20" w:type="dxa"/>
            <w:vAlign w:val="bottom"/>
          </w:tcPr>
          <w:p>
            <w:pPr>
              <w:spacing w:after="0"/>
              <w:rPr>
                <w:sz w:val="12"/>
                <w:szCs w:val="12"/>
                <w:color w:val="auto"/>
              </w:rPr>
            </w:pPr>
          </w:p>
        </w:tc>
      </w:tr>
      <w:tr>
        <w:trPr>
          <w:trHeight w:val="191"/>
        </w:trPr>
        <w:tc>
          <w:tcPr>
            <w:tcW w:w="540" w:type="dxa"/>
            <w:vAlign w:val="bottom"/>
            <w:tcBorders>
              <w:top w:val="single" w:sz="8" w:color="auto"/>
            </w:tcBorders>
          </w:tcPr>
          <w:p>
            <w:pPr>
              <w:jc w:val="right"/>
              <w:ind w:right="35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4,011</w:t>
            </w:r>
          </w:p>
        </w:tc>
        <w:tc>
          <w:tcPr>
            <w:tcW w:w="16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6"/>
                <w:szCs w:val="16"/>
                <w:color w:val="auto"/>
              </w:rPr>
            </w:pPr>
          </w:p>
        </w:tc>
        <w:tc>
          <w:tcPr>
            <w:tcW w:w="340" w:type="dxa"/>
            <w:vAlign w:val="bottom"/>
            <w:tcBorders>
              <w:top w:val="single" w:sz="8" w:color="auto"/>
            </w:tcBorders>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3,999</w:t>
            </w:r>
          </w:p>
        </w:tc>
        <w:tc>
          <w:tcPr>
            <w:tcW w:w="2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(731)</w:t>
            </w:r>
          </w:p>
        </w:tc>
      </w:tr>
      <w:tr>
        <w:trPr>
          <w:trHeight w:val="378"/>
        </w:trPr>
        <w:tc>
          <w:tcPr>
            <w:tcW w:w="5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 2021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7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80" w:type="dxa"/>
            <w:vAlign w:val="bottom"/>
          </w:tcPr>
          <w:p>
            <w:pPr>
              <w:spacing w:after="0"/>
              <w:rPr>
                <w:sz w:val="12"/>
                <w:szCs w:val="12"/>
                <w:color w:val="auto"/>
              </w:rPr>
            </w:pPr>
          </w:p>
        </w:tc>
        <w:tc>
          <w:tcPr>
            <w:tcW w:w="13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2"/>
                <w:szCs w:val="12"/>
                <w:color w:val="auto"/>
              </w:rPr>
            </w:pPr>
          </w:p>
        </w:tc>
        <w:tc>
          <w:tcPr>
            <w:tcW w:w="10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7"/>
              </w:rPr>
              <w:t>As Revised</w:t>
            </w:r>
          </w:p>
        </w:tc>
        <w:tc>
          <w:tcPr>
            <w:tcW w:w="20" w:type="dxa"/>
            <w:vAlign w:val="bottom"/>
          </w:tcPr>
          <w:p>
            <w:pPr>
              <w:spacing w:after="0"/>
              <w:rPr>
                <w:sz w:val="12"/>
                <w:szCs w:val="12"/>
                <w:color w:val="auto"/>
              </w:rPr>
            </w:pPr>
          </w:p>
        </w:tc>
      </w:tr>
      <w:tr>
        <w:trPr>
          <w:trHeight w:val="191"/>
        </w:trPr>
        <w:tc>
          <w:tcPr>
            <w:tcW w:w="540" w:type="dxa"/>
            <w:vAlign w:val="bottom"/>
            <w:tcBorders>
              <w:top w:val="single" w:sz="8" w:color="auto"/>
            </w:tcBorders>
          </w:tcPr>
          <w:p>
            <w:pPr>
              <w:jc w:val="right"/>
              <w:ind w:right="35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12,252</w:t>
            </w:r>
          </w:p>
        </w:tc>
        <w:tc>
          <w:tcPr>
            <w:tcW w:w="16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6"/>
                <w:szCs w:val="16"/>
                <w:color w:val="auto"/>
              </w:rPr>
            </w:pPr>
          </w:p>
        </w:tc>
        <w:tc>
          <w:tcPr>
            <w:tcW w:w="340" w:type="dxa"/>
            <w:vAlign w:val="bottom"/>
            <w:tcBorders>
              <w:top w:val="single" w:sz="8" w:color="auto"/>
            </w:tcBorders>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12,233</w:t>
            </w:r>
          </w:p>
        </w:tc>
        <w:tc>
          <w:tcPr>
            <w:tcW w:w="2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15,385</w:t>
            </w:r>
          </w:p>
        </w:tc>
        <w:tc>
          <w:tcPr>
            <w:tcW w:w="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(1,519)</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w:t>
            </w: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(1,825)</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w:t>
            </w:r>
          </w:p>
        </w:tc>
      </w:tr>
      <w:tr>
        <w:trPr>
          <w:trHeight w:val="378"/>
        </w:trPr>
        <w:tc>
          <w:tcPr>
            <w:tcW w:w="5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 2021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7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80" w:type="dxa"/>
            <w:vAlign w:val="bottom"/>
          </w:tcPr>
          <w:p>
            <w:pPr>
              <w:spacing w:after="0"/>
              <w:rPr>
                <w:sz w:val="12"/>
                <w:szCs w:val="12"/>
                <w:color w:val="auto"/>
              </w:rPr>
            </w:pPr>
          </w:p>
        </w:tc>
        <w:tc>
          <w:tcPr>
            <w:tcW w:w="13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2"/>
                <w:szCs w:val="12"/>
                <w:color w:val="auto"/>
              </w:rPr>
            </w:pPr>
          </w:p>
        </w:tc>
        <w:tc>
          <w:tcPr>
            <w:tcW w:w="10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7"/>
              </w:rPr>
              <w:t>As Revised</w:t>
            </w:r>
          </w:p>
        </w:tc>
        <w:tc>
          <w:tcPr>
            <w:tcW w:w="20" w:type="dxa"/>
            <w:vAlign w:val="bottom"/>
          </w:tcPr>
          <w:p>
            <w:pPr>
              <w:spacing w:after="0"/>
              <w:rPr>
                <w:sz w:val="12"/>
                <w:szCs w:val="12"/>
                <w:color w:val="auto"/>
              </w:rPr>
            </w:pPr>
          </w:p>
        </w:tc>
      </w:tr>
      <w:tr>
        <w:trPr>
          <w:trHeight w:val="191"/>
        </w:trPr>
        <w:tc>
          <w:tcPr>
            <w:tcW w:w="540" w:type="dxa"/>
            <w:vAlign w:val="bottom"/>
            <w:tcBorders>
              <w:top w:val="single" w:sz="8" w:color="auto"/>
            </w:tcBorders>
          </w:tcPr>
          <w:p>
            <w:pPr>
              <w:jc w:val="right"/>
              <w:ind w:right="35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(740)</w:t>
            </w:r>
          </w:p>
        </w:tc>
        <w:tc>
          <w:tcPr>
            <w:tcW w:w="16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6"/>
                <w:szCs w:val="16"/>
                <w:color w:val="auto"/>
              </w:rPr>
            </w:pPr>
          </w:p>
        </w:tc>
        <w:tc>
          <w:tcPr>
            <w:tcW w:w="340" w:type="dxa"/>
            <w:vAlign w:val="bottom"/>
            <w:tcBorders>
              <w:top w:val="single" w:sz="8" w:color="auto"/>
            </w:tcBorders>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(731)</w:t>
            </w:r>
          </w:p>
        </w:tc>
        <w:tc>
          <w:tcPr>
            <w:tcW w:w="2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-2485390</wp:posOffset>
            </wp:positionV>
            <wp:extent cx="564896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-2211070</wp:posOffset>
            </wp:positionV>
            <wp:extent cx="564896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-2767965</wp:posOffset>
            </wp:positionV>
            <wp:extent cx="564896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-1447800</wp:posOffset>
            </wp:positionV>
            <wp:extent cx="564896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-1173480</wp:posOffset>
            </wp:positionV>
            <wp:extent cx="56489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-1731010</wp:posOffset>
            </wp:positionV>
            <wp:extent cx="564896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-410845</wp:posOffset>
            </wp:positionV>
            <wp:extent cx="56489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-136525</wp:posOffset>
            </wp:positionV>
            <wp:extent cx="564896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-694055</wp:posOffset>
            </wp:positionV>
            <wp:extent cx="564896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720"/>
            <w:col w:w="4619"/>
          </w:cols>
          <w:pgMar w:left="1440" w:top="513" w:right="1440"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Statement of Comprehensive Income (Loss)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 before tax</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comprehensive income (loss)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Accrued contract costs</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Common stock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Accumulated other comprehensive income/(loss)</w:t>
      </w:r>
    </w:p>
    <w:p>
      <w:pPr>
        <w:spacing w:after="0" w:line="9" w:lineRule="exact"/>
        <w:rPr>
          <w:sz w:val="20"/>
          <w:szCs w:val="20"/>
          <w:color w:val="auto"/>
        </w:rPr>
      </w:pPr>
    </w:p>
    <w:p>
      <w:pPr>
        <w:ind w:left="60" w:right="140"/>
        <w:spacing w:after="0" w:line="260" w:lineRule="auto"/>
        <w:rPr>
          <w:sz w:val="20"/>
          <w:szCs w:val="20"/>
          <w:color w:val="auto"/>
        </w:rPr>
      </w:pPr>
      <w:r>
        <w:rPr>
          <w:rFonts w:ascii="Times New Roman" w:cs="Times New Roman" w:eastAsia="Times New Roman" w:hAnsi="Times New Roman"/>
          <w:sz w:val="18"/>
          <w:szCs w:val="18"/>
          <w:color w:val="auto"/>
        </w:rPr>
        <w:t>Total stockholders’ equity before noncontrolling interests Total equity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Statement of Cash Flows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income (loss)</w:t>
      </w:r>
    </w:p>
    <w:p>
      <w:pPr>
        <w:spacing w:after="0" w:line="9" w:lineRule="exact"/>
        <w:rPr>
          <w:sz w:val="20"/>
          <w:szCs w:val="20"/>
          <w:color w:val="auto"/>
        </w:rPr>
      </w:pPr>
    </w:p>
    <w:p>
      <w:pPr>
        <w:ind w:left="160" w:right="520"/>
        <w:spacing w:after="0" w:line="250" w:lineRule="auto"/>
        <w:rPr>
          <w:sz w:val="20"/>
          <w:szCs w:val="20"/>
          <w:color w:val="auto"/>
        </w:rPr>
      </w:pPr>
      <w:r>
        <w:rPr>
          <w:rFonts w:ascii="Times New Roman" w:cs="Times New Roman" w:eastAsia="Times New Roman" w:hAnsi="Times New Roman"/>
          <w:sz w:val="18"/>
          <w:szCs w:val="18"/>
          <w:color w:val="auto"/>
        </w:rPr>
        <w:t>Adjustments to reconcile net income (loss) to cash provided by operating activities:</w:t>
      </w:r>
    </w:p>
    <w:p>
      <w:pPr>
        <w:spacing w:after="0" w:line="1" w:lineRule="exact"/>
        <w:rPr>
          <w:sz w:val="20"/>
          <w:szCs w:val="20"/>
          <w:color w:val="auto"/>
        </w:rPr>
      </w:pPr>
    </w:p>
    <w:p>
      <w:pPr>
        <w:ind w:left="160" w:right="540"/>
        <w:spacing w:after="0" w:line="260" w:lineRule="auto"/>
        <w:rPr>
          <w:sz w:val="20"/>
          <w:szCs w:val="20"/>
          <w:color w:val="auto"/>
        </w:rPr>
      </w:pPr>
      <w:r>
        <w:rPr>
          <w:rFonts w:ascii="Times New Roman" w:cs="Times New Roman" w:eastAsia="Times New Roman" w:hAnsi="Times New Roman"/>
          <w:sz w:val="18"/>
          <w:szCs w:val="18"/>
          <w:color w:val="auto"/>
        </w:rPr>
        <w:t>Taxes (including items settled with former Parent) Other assets and other liabilities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Statement of Equity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Parent investment</w:t>
      </w:r>
    </w:p>
    <w:p>
      <w:pPr>
        <w:spacing w:after="0" w:line="7" w:lineRule="exact"/>
        <w:rPr>
          <w:sz w:val="20"/>
          <w:szCs w:val="20"/>
          <w:color w:val="auto"/>
        </w:rPr>
      </w:pPr>
    </w:p>
    <w:p>
      <w:pPr>
        <w:ind w:left="60" w:right="740"/>
        <w:spacing w:after="0" w:line="260" w:lineRule="auto"/>
        <w:rPr>
          <w:sz w:val="20"/>
          <w:szCs w:val="20"/>
          <w:color w:val="auto"/>
        </w:rPr>
      </w:pPr>
      <w:r>
        <w:rPr>
          <w:rFonts w:ascii="Times New Roman" w:cs="Times New Roman" w:eastAsia="Times New Roman" w:hAnsi="Times New Roman"/>
          <w:sz w:val="18"/>
          <w:szCs w:val="18"/>
          <w:color w:val="auto"/>
        </w:rPr>
        <w:t>Accumulated other comprehensive income/(loss) Total equity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Statement of Equity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Parent investment</w:t>
      </w:r>
    </w:p>
    <w:p>
      <w:pPr>
        <w:spacing w:after="0" w:line="7" w:lineRule="exact"/>
        <w:rPr>
          <w:sz w:val="20"/>
          <w:szCs w:val="20"/>
          <w:color w:val="auto"/>
        </w:rPr>
      </w:pPr>
    </w:p>
    <w:p>
      <w:pPr>
        <w:ind w:left="60" w:right="740"/>
        <w:spacing w:after="0" w:line="260" w:lineRule="auto"/>
        <w:rPr>
          <w:sz w:val="20"/>
          <w:szCs w:val="20"/>
          <w:color w:val="auto"/>
        </w:rPr>
      </w:pPr>
      <w:r>
        <w:rPr>
          <w:rFonts w:ascii="Times New Roman" w:cs="Times New Roman" w:eastAsia="Times New Roman" w:hAnsi="Times New Roman"/>
          <w:sz w:val="18"/>
          <w:szCs w:val="18"/>
          <w:color w:val="auto"/>
        </w:rPr>
        <w:t>Accumulated other comprehensive income/(loss) Total equity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Consolidated Statement of Equity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Common Stock</w:t>
      </w:r>
    </w:p>
    <w:p>
      <w:pPr>
        <w:spacing w:after="0" w:line="7" w:lineRule="exact"/>
        <w:rPr>
          <w:sz w:val="20"/>
          <w:szCs w:val="20"/>
          <w:color w:val="auto"/>
        </w:rPr>
      </w:pPr>
    </w:p>
    <w:p>
      <w:pPr>
        <w:ind w:left="60" w:right="740"/>
        <w:spacing w:after="0" w:line="260" w:lineRule="auto"/>
        <w:rPr>
          <w:sz w:val="20"/>
          <w:szCs w:val="20"/>
          <w:color w:val="auto"/>
        </w:rPr>
      </w:pPr>
      <w:r>
        <w:rPr>
          <w:rFonts w:ascii="Times New Roman" w:cs="Times New Roman" w:eastAsia="Times New Roman" w:hAnsi="Times New Roman"/>
          <w:sz w:val="18"/>
          <w:szCs w:val="18"/>
          <w:color w:val="auto"/>
        </w:rPr>
        <w:t>Accumulated other comprehensive income/(loss) Total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Nine Months Ended December 31,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56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r>
      <w:tr>
        <w:trPr>
          <w:trHeight w:val="191"/>
        </w:trPr>
        <w:tc>
          <w:tcPr>
            <w:tcW w:w="540" w:type="dxa"/>
            <w:vAlign w:val="bottom"/>
            <w:tcBorders>
              <w:top w:val="single" w:sz="8" w:color="auto"/>
            </w:tcBorders>
          </w:tcPr>
          <w:p>
            <w:pPr>
              <w:jc w:val="right"/>
              <w:ind w:right="35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6"/>
                <w:szCs w:val="16"/>
                <w:color w:val="auto"/>
              </w:rPr>
            </w:pPr>
          </w:p>
        </w:tc>
        <w:tc>
          <w:tcPr>
            <w:tcW w:w="320" w:type="dxa"/>
            <w:vAlign w:val="bottom"/>
            <w:tcBorders>
              <w:top w:val="single" w:sz="8" w:color="auto"/>
            </w:tcBorders>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(1,810)</w:t>
            </w:r>
          </w:p>
        </w:tc>
        <w:tc>
          <w:tcPr>
            <w:tcW w:w="2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(1,435)</w:t>
            </w:r>
          </w:p>
        </w:tc>
      </w:tr>
      <w:tr>
        <w:trPr>
          <w:trHeight w:val="378"/>
        </w:trPr>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 December 31, 2021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5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102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r>
      <w:tr>
        <w:trPr>
          <w:trHeight w:val="191"/>
        </w:trPr>
        <w:tc>
          <w:tcPr>
            <w:tcW w:w="540" w:type="dxa"/>
            <w:vAlign w:val="bottom"/>
            <w:tcBorders>
              <w:top w:val="single" w:sz="8" w:color="auto"/>
            </w:tcBorders>
          </w:tcPr>
          <w:p>
            <w:pPr>
              <w:jc w:val="right"/>
              <w:ind w:right="35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6"/>
                <w:szCs w:val="16"/>
                <w:color w:val="auto"/>
              </w:rPr>
            </w:pPr>
          </w:p>
        </w:tc>
        <w:tc>
          <w:tcPr>
            <w:tcW w:w="320" w:type="dxa"/>
            <w:vAlign w:val="bottom"/>
            <w:tcBorders>
              <w:top w:val="single" w:sz="8" w:color="auto"/>
            </w:tcBorders>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r>
      <w:tr>
        <w:trPr>
          <w:trHeight w:val="216"/>
        </w:trPr>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2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0" w:type="dxa"/>
            <w:vAlign w:val="bottom"/>
          </w:tcPr>
          <w:p>
            <w:pPr>
              <w:spacing w:after="0"/>
              <w:rPr>
                <w:sz w:val="20"/>
                <w:szCs w:val="20"/>
                <w:color w:val="auto"/>
              </w:rPr>
            </w:pPr>
          </w:p>
        </w:tc>
      </w:tr>
      <w:tr>
        <w:trPr>
          <w:trHeight w:val="378"/>
        </w:trPr>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rPr>
              <w:t>Nine Months Ended December 31, 2021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54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r>
      <w:tr>
        <w:trPr>
          <w:trHeight w:val="426"/>
        </w:trPr>
        <w:tc>
          <w:tcPr>
            <w:tcW w:w="540" w:type="dxa"/>
            <w:vAlign w:val="bottom"/>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w:t>
            </w:r>
          </w:p>
        </w:tc>
      </w:tr>
      <w:tr>
        <w:trPr>
          <w:trHeight w:val="630"/>
        </w:trPr>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tcPr>
          <w:p>
            <w:pPr>
              <w:spacing w:after="0"/>
              <w:rPr>
                <w:sz w:val="20"/>
                <w:szCs w:val="20"/>
                <w:color w:val="auto"/>
              </w:rPr>
            </w:pPr>
          </w:p>
        </w:tc>
      </w:tr>
      <w:tr>
        <w:trPr>
          <w:trHeight w:val="378"/>
        </w:trPr>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At March 31, 2021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5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102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r>
      <w:tr>
        <w:trPr>
          <w:trHeight w:val="191"/>
        </w:trPr>
        <w:tc>
          <w:tcPr>
            <w:tcW w:w="540" w:type="dxa"/>
            <w:vAlign w:val="bottom"/>
            <w:tcBorders>
              <w:top w:val="single" w:sz="8" w:color="auto"/>
            </w:tcBorders>
          </w:tcPr>
          <w:p>
            <w:pPr>
              <w:jc w:val="right"/>
              <w:ind w:right="35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5,976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6"/>
                <w:szCs w:val="16"/>
                <w:color w:val="auto"/>
              </w:rPr>
            </w:pPr>
          </w:p>
        </w:tc>
        <w:tc>
          <w:tcPr>
            <w:tcW w:w="320" w:type="dxa"/>
            <w:vAlign w:val="bottom"/>
            <w:tcBorders>
              <w:top w:val="single" w:sz="8" w:color="auto"/>
            </w:tcBorders>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6,027</w:t>
            </w:r>
          </w:p>
        </w:tc>
        <w:tc>
          <w:tcPr>
            <w:tcW w:w="2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(1,182)</w:t>
            </w:r>
          </w:p>
        </w:tc>
      </w:tr>
      <w:tr>
        <w:trPr>
          <w:trHeight w:val="234"/>
        </w:trPr>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20" w:type="dxa"/>
            <w:vAlign w:val="bottom"/>
          </w:tcPr>
          <w:p>
            <w:pPr>
              <w:spacing w:after="0"/>
              <w:rPr>
                <w:sz w:val="20"/>
                <w:szCs w:val="20"/>
                <w:color w:val="auto"/>
              </w:rPr>
            </w:pPr>
          </w:p>
        </w:tc>
      </w:tr>
      <w:tr>
        <w:trPr>
          <w:trHeight w:val="378"/>
        </w:trPr>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 September 30, 2021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5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102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r>
      <w:tr>
        <w:trPr>
          <w:trHeight w:val="191"/>
        </w:trPr>
        <w:tc>
          <w:tcPr>
            <w:tcW w:w="540" w:type="dxa"/>
            <w:vAlign w:val="bottom"/>
            <w:tcBorders>
              <w:top w:val="single" w:sz="8" w:color="auto"/>
            </w:tcBorders>
          </w:tcPr>
          <w:p>
            <w:pPr>
              <w:jc w:val="right"/>
              <w:ind w:right="35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7,045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6"/>
                <w:szCs w:val="16"/>
                <w:color w:val="auto"/>
              </w:rPr>
            </w:pPr>
          </w:p>
        </w:tc>
        <w:tc>
          <w:tcPr>
            <w:tcW w:w="320" w:type="dxa"/>
            <w:vAlign w:val="bottom"/>
            <w:tcBorders>
              <w:top w:val="single" w:sz="8" w:color="auto"/>
            </w:tcBorders>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7,102</w:t>
            </w:r>
          </w:p>
        </w:tc>
        <w:tc>
          <w:tcPr>
            <w:tcW w:w="2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(1,614)</w:t>
            </w:r>
          </w:p>
        </w:tc>
      </w:tr>
      <w:tr>
        <w:trPr>
          <w:trHeight w:val="234"/>
        </w:trPr>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0" w:type="dxa"/>
            <w:vAlign w:val="bottom"/>
          </w:tcPr>
          <w:p>
            <w:pPr>
              <w:spacing w:after="0"/>
              <w:rPr>
                <w:sz w:val="20"/>
                <w:szCs w:val="20"/>
                <w:color w:val="auto"/>
              </w:rPr>
            </w:pPr>
          </w:p>
        </w:tc>
      </w:tr>
      <w:tr>
        <w:trPr>
          <w:trHeight w:val="378"/>
        </w:trPr>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 December 31, 2021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15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2"/>
                <w:szCs w:val="12"/>
                <w:color w:val="auto"/>
              </w:rPr>
            </w:pPr>
          </w:p>
        </w:tc>
        <w:tc>
          <w:tcPr>
            <w:tcW w:w="102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r>
      <w:tr>
        <w:trPr>
          <w:trHeight w:val="191"/>
        </w:trPr>
        <w:tc>
          <w:tcPr>
            <w:tcW w:w="540" w:type="dxa"/>
            <w:vAlign w:val="bottom"/>
            <w:tcBorders>
              <w:top w:val="single" w:sz="8" w:color="auto"/>
            </w:tcBorders>
          </w:tcPr>
          <w:p>
            <w:pPr>
              <w:jc w:val="right"/>
              <w:ind w:right="359"/>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4,218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6"/>
                <w:szCs w:val="16"/>
                <w:color w:val="auto"/>
              </w:rPr>
            </w:pPr>
          </w:p>
        </w:tc>
        <w:tc>
          <w:tcPr>
            <w:tcW w:w="320" w:type="dxa"/>
            <w:vAlign w:val="bottom"/>
            <w:tcBorders>
              <w:top w:val="single" w:sz="8" w:color="auto"/>
            </w:tcBorders>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4,284</w:t>
            </w:r>
          </w:p>
        </w:tc>
        <w:tc>
          <w:tcPr>
            <w:tcW w:w="20" w:type="dxa"/>
            <w:vAlign w:val="bottom"/>
          </w:tcPr>
          <w:p>
            <w:pPr>
              <w:spacing w:after="0"/>
              <w:rPr>
                <w:sz w:val="16"/>
                <w:szCs w:val="16"/>
                <w:color w:val="auto"/>
              </w:rPr>
            </w:pPr>
          </w:p>
        </w:tc>
      </w:tr>
      <w:tr>
        <w:trPr>
          <w:trHeight w:val="216"/>
        </w:trPr>
        <w:tc>
          <w:tcPr>
            <w:tcW w:w="5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r>
      <w:tr>
        <w:trPr>
          <w:trHeight w:val="234"/>
        </w:trPr>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-5322570</wp:posOffset>
            </wp:positionV>
            <wp:extent cx="56489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-5048250</wp:posOffset>
            </wp:positionV>
            <wp:extent cx="56489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-5605780</wp:posOffset>
            </wp:positionV>
            <wp:extent cx="564896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-4285615</wp:posOffset>
            </wp:positionV>
            <wp:extent cx="56489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-4011295</wp:posOffset>
            </wp:positionV>
            <wp:extent cx="56489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-3736975</wp:posOffset>
            </wp:positionV>
            <wp:extent cx="56489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-4568190</wp:posOffset>
            </wp:positionV>
            <wp:extent cx="564896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-2836545</wp:posOffset>
            </wp:positionV>
            <wp:extent cx="564896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8960" cy="27432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-2425065</wp:posOffset>
            </wp:positionV>
            <wp:extent cx="564896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-3119755</wp:posOffset>
            </wp:positionV>
            <wp:extent cx="564896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-1662430</wp:posOffset>
            </wp:positionV>
            <wp:extent cx="56489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-1945640</wp:posOffset>
            </wp:positionV>
            <wp:extent cx="564896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-899795</wp:posOffset>
            </wp:positionV>
            <wp:extent cx="564896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-1182370</wp:posOffset>
            </wp:positionV>
            <wp:extent cx="564896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-136525</wp:posOffset>
            </wp:positionV>
            <wp:extent cx="564896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-2762250</wp:posOffset>
            </wp:positionH>
            <wp:positionV relativeFrom="paragraph">
              <wp:posOffset>-419735</wp:posOffset>
            </wp:positionV>
            <wp:extent cx="564896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2">
            <w:col w:w="4320" w:space="80"/>
            <w:col w:w="46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FOR THE THREE AND NINE MONTHS ENDED DECEMBER 31, 2022</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5"/>
                <w:szCs w:val="15"/>
                <w:color w:val="auto"/>
              </w:rPr>
            </w:pPr>
          </w:p>
        </w:tc>
        <w:tc>
          <w:tcPr>
            <w:tcW w:w="27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5"/>
                <w:szCs w:val="15"/>
                <w:color w:val="auto"/>
              </w:rPr>
            </w:pPr>
          </w:p>
        </w:tc>
        <w:tc>
          <w:tcPr>
            <w:tcW w:w="2580" w:type="dxa"/>
            <w:vAlign w:val="bottom"/>
            <w:gridSpan w:val="5"/>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220" w:type="dxa"/>
            <w:vAlign w:val="bottom"/>
            <w:gridSpan w:val="3"/>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3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4,556</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13,886</w:t>
            </w:r>
          </w:p>
        </w:tc>
        <w:tc>
          <w:tcPr>
            <w:tcW w:w="0" w:type="dxa"/>
            <w:vAlign w:val="bottom"/>
          </w:tcPr>
          <w:p>
            <w:pPr>
              <w:spacing w:after="0"/>
              <w:rPr>
                <w:sz w:val="1"/>
                <w:szCs w:val="1"/>
                <w:color w:val="auto"/>
              </w:rPr>
            </w:pPr>
          </w:p>
        </w:tc>
      </w:tr>
      <w:tr>
        <w:trPr>
          <w:trHeight w:val="243"/>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growth (GAAP)</w:t>
            </w:r>
          </w:p>
        </w:tc>
        <w:tc>
          <w:tcPr>
            <w:tcW w:w="1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Revenue growth in constant currency</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4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tcPr>
          <w:p>
            <w:pPr>
              <w:spacing w:after="0"/>
              <w:rPr>
                <w:sz w:val="21"/>
                <w:szCs w:val="21"/>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64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43"/>
        </w:trPr>
        <w:tc>
          <w:tcPr>
            <w:tcW w:w="322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64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64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4"/>
          <w:szCs w:val="14"/>
          <w:color w:val="auto"/>
        </w:rPr>
        <w:t>(1)</w:t>
        <w:tab/>
        <w:t>Revenue growth in constant currency and adjusted EBITDA are non-GAAP financial metrics. For definitions of these metrics and a reconciliation of</w:t>
      </w:r>
    </w:p>
    <w:p>
      <w:pPr>
        <w:spacing w:after="0" w:line="55" w:lineRule="exact"/>
        <w:rPr>
          <w:sz w:val="20"/>
          <w:szCs w:val="20"/>
          <w:color w:val="auto"/>
        </w:rPr>
      </w:pPr>
    </w:p>
    <w:p>
      <w:pPr>
        <w:ind w:left="380" w:right="319"/>
        <w:spacing w:after="0" w:line="282" w:lineRule="auto"/>
        <w:rPr>
          <w:sz w:val="20"/>
          <w:szCs w:val="20"/>
          <w:color w:val="auto"/>
        </w:rPr>
      </w:pPr>
      <w:r>
        <w:rPr>
          <w:rFonts w:ascii="Times New Roman" w:cs="Times New Roman" w:eastAsia="Times New Roman" w:hAnsi="Times New Roman"/>
          <w:sz w:val="14"/>
          <w:szCs w:val="14"/>
          <w:color w:val="auto"/>
        </w:rPr>
        <w:t>adjusted EBITDA to the most directly comparable financial measure calculated and presented in accordance with U.S. GAAP, see “ Segment Results.”</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3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Organization of Information</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Kyndryl Holdings, Inc. was formed as a wholly-owned subsidiary of IBM in September 2021 to hold the operations of the managed infrastructure services unit of IBM’s Global Technology Services segment. On November 3, 2021, IBM distributed shares representing 80.1% of Kyndryl’s outstanding common stock to holders of record of IBM’s common stock as of the close of business on October 25, 2021 in a spin-off that is tax-free for U.S. federal tax purposes. Following the distribution, Kyndryl became an independent, publicly-traded company and is the world’s leading managed infrastructure services provider. As of September 30, 2022, IBM had transferred all of its 19.9% retained interest in Kyndryl common stock pursuant to exchange agreements with a third-party financial institution.</w:t>
      </w:r>
    </w:p>
    <w:p>
      <w:pPr>
        <w:spacing w:after="0" w:line="18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Kyndryl utilized allocations and carve-out methodologies through November 3, 2021 to prepare historical financial statements. The consolidated financial statements for the pre-Separation periods herein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For additional information, see “Basis of Presentation” in Note 1 – Significant Accounting Policies in the accompanying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Macro Dynamics</w:t>
      </w:r>
    </w:p>
    <w:p>
      <w:pPr>
        <w:spacing w:after="0" w:line="229"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In 2021, we saw a broad-based macroeconomic recovery in most regions of the world. Demand for technology services rebounded, as large organizations again demonstrated a need for assistance in designing, building, managing and modernizing their technology systems. In 2022, we have seen continuing demand for information technology services, despite declining economic growth, increased geopolitical tensions, lingering effects of the COVID-19 pandemic, inflationary pressures and government efforts to stem inflation. Although the risk of economic slowdowns in certain geographies has recently increased, most economists, including the International Monetary Fund, expect positive global macroeconomic growth in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December 31, 2022, we reported $4.3 billion in revenue, a decline of 6 percent when compared to the prior-year period, primarily driven by a 9-point negative impact from currency. United States revenue increased 6 percent, Japan revenue declined 11 percent, Principal Markets revenue declined 12 percent and Strategic Markets revenue decreased 5 percent compared to the three months ended December 31, 2021. Net loss of $106 million improved by $625 million versus the prior year, primarily driven by lower transaction-related costs, lower impairment expense and lower cost of services as a percentage of revenue.</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For the nine months ended December 31, 2022, we reported $12.8 billion in revenue, a decline of 8 percent when compared to the prior-year period, primarily driven by an 8-point negative impact from currency. United States revenue was unchanged, Japan revenue declined 14 percent, Principal Markets revenue declined 15 percent and Strategic Markets revenue decreased 1 percent compared to the nine months ended December 31, 2021. Net loss of $637 million improved by $1.2 billion versus the prior year, primarily driven by lower transaction-related costs, lower impairment expense, lower tax expense and lower cost of services as a percentage of revenue that reflects progress on our key initiatives.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the fourth quarter of 2021, the Company implemented a new operating model and reporting structure resulting in four reportable segments: United States, Japan, Principal Markets and Strategic Markets. Principal Markets consists of our operations in Australia/New Zealand, Canada, France, Germany, Italy, India, Spain/Portugal and United Kingdom/Ireland. Strategic Markets consists of our operations in all other countries in which we operate. In addition to this change, the measures of segment operating performance changed to revenue and adjusted EBITDA. The Company has recast the prior-period results to reflect this change in segment structure. During the three months ended March 31, 2022, the Company updated certain allocation methodologies among segments related to its measure of adjusted EBITDA and has accordingly recast the prior-period information to reflect these updates, which did not change the aggregate amount of adjusted EBITDA. See Note 14 – Revision of Prior-Period Financial Statements regarding immaterial revisions we made to the historical periods.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479" w:firstLine="648"/>
        <w:spacing w:after="0" w:line="289" w:lineRule="auto"/>
        <w:rPr>
          <w:sz w:val="20"/>
          <w:szCs w:val="20"/>
          <w:color w:val="auto"/>
        </w:rPr>
      </w:pPr>
      <w:r>
        <w:rPr>
          <w:rFonts w:ascii="Times New Roman" w:cs="Times New Roman" w:eastAsia="Times New Roman" w:hAnsi="Times New Roman"/>
          <w:sz w:val="17"/>
          <w:szCs w:val="17"/>
          <w:color w:val="auto"/>
        </w:rPr>
        <w:t>The following table presents our reportable segments’ revenue and adjusted EBITDA for the three and nine months ended December 31, 2022 and 2021 and has incorporated the aforementioned updates in the historical periods presented. Segment revenue and revenue growth in constant currency exclude any transactions between the segments.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160" w:type="dxa"/>
            <w:vAlign w:val="bottom"/>
          </w:tcPr>
          <w:p>
            <w:pPr>
              <w:spacing w:after="0"/>
              <w:rPr>
                <w:sz w:val="15"/>
                <w:szCs w:val="15"/>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0" w:type="dxa"/>
            <w:vAlign w:val="bottom"/>
          </w:tcPr>
          <w:p>
            <w:pPr>
              <w:spacing w:after="0"/>
              <w:rPr>
                <w:sz w:val="1"/>
                <w:szCs w:val="1"/>
                <w:color w:val="auto"/>
              </w:rPr>
            </w:pPr>
          </w:p>
        </w:tc>
      </w:tr>
      <w:tr>
        <w:trPr>
          <w:trHeight w:val="187"/>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160" w:type="dxa"/>
            <w:vAlign w:val="bottom"/>
          </w:tcPr>
          <w:p>
            <w:pPr>
              <w:spacing w:after="0"/>
              <w:rPr>
                <w:sz w:val="16"/>
                <w:szCs w:val="16"/>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1,265</w:t>
            </w:r>
          </w:p>
        </w:tc>
        <w:tc>
          <w:tcPr>
            <w:tcW w:w="16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3"/>
              </w:rPr>
              <w:t>1,193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3,577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1,855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2,160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0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93"/>
              </w:rPr>
              <w:t>1,670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4,460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5,260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961</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93"/>
              </w:rPr>
              <w:t>1,010</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2,889</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9"/>
        </w:trPr>
        <w:tc>
          <w:tcPr>
            <w:tcW w:w="2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rPr>
              <w:t>4,303</w:t>
            </w:r>
          </w:p>
        </w:tc>
        <w:tc>
          <w:tcPr>
            <w:tcW w:w="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93"/>
              </w:rPr>
              <w:t>4,556</w:t>
            </w: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12,771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13,886</w:t>
            </w:r>
          </w:p>
        </w:tc>
        <w:tc>
          <w:tcPr>
            <w:tcW w:w="1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39"/>
        </w:trPr>
        <w:tc>
          <w:tcPr>
            <w:tcW w:w="2240" w:type="dxa"/>
            <w:vAlign w:val="bottom"/>
            <w:gridSpan w:val="2"/>
            <w:shd w:val="clear" w:color="auto" w:fill="CCEEFF"/>
          </w:tcPr>
          <w:p>
            <w:pPr>
              <w:ind w:left="220"/>
              <w:spacing w:after="0" w:line="139" w:lineRule="exact"/>
              <w:rPr>
                <w:sz w:val="20"/>
                <w:szCs w:val="20"/>
                <w:color w:val="auto"/>
              </w:rPr>
            </w:pPr>
            <w:r>
              <w:rPr>
                <w:rFonts w:ascii="Times New Roman" w:cs="Times New Roman" w:eastAsia="Times New Roman" w:hAnsi="Times New Roman"/>
                <w:sz w:val="16"/>
                <w:szCs w:val="16"/>
                <w:b w:val="1"/>
                <w:bCs w:val="1"/>
                <w:color w:val="auto"/>
              </w:rPr>
              <w:t>Revenue growth in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240" w:type="dxa"/>
            <w:vAlign w:val="bottom"/>
            <w:gridSpan w:val="2"/>
            <w:shd w:val="clear" w:color="auto" w:fill="CCEEFF"/>
          </w:tcPr>
          <w:p>
            <w:pPr>
              <w:ind w:left="220"/>
              <w:spacing w:after="0" w:line="246" w:lineRule="exact"/>
              <w:rPr>
                <w:sz w:val="20"/>
                <w:szCs w:val="20"/>
                <w:color w:val="auto"/>
              </w:rPr>
            </w:pPr>
            <w:r>
              <w:rPr>
                <w:rFonts w:ascii="Times New Roman" w:cs="Times New Roman" w:eastAsia="Times New Roman" w:hAnsi="Times New Roman"/>
                <w:sz w:val="18"/>
                <w:szCs w:val="18"/>
                <w:b w:val="1"/>
                <w:bCs w:val="1"/>
                <w:color w:val="auto"/>
              </w:rPr>
              <w:t>constant currency</w:t>
            </w:r>
            <w:r>
              <w:rPr>
                <w:rFonts w:ascii="Times New Roman" w:cs="Times New Roman" w:eastAsia="Times New Roman" w:hAnsi="Times New Roman"/>
                <w:sz w:val="26"/>
                <w:szCs w:val="26"/>
                <w:b w:val="1"/>
                <w:bCs w:val="1"/>
                <w:color w:val="auto"/>
                <w:vertAlign w:val="superscript"/>
              </w:rPr>
              <w:t>(1)</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(1)</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0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5"/>
                <w:szCs w:val="25"/>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66"/>
        </w:trPr>
        <w:tc>
          <w:tcPr>
            <w:tcW w:w="2240" w:type="dxa"/>
            <w:vAlign w:val="bottom"/>
            <w:gridSpan w:val="2"/>
          </w:tcPr>
          <w:p>
            <w:pPr>
              <w:ind w:left="220"/>
              <w:spacing w:after="0" w:line="166" w:lineRule="exact"/>
              <w:rPr>
                <w:sz w:val="20"/>
                <w:szCs w:val="20"/>
                <w:color w:val="auto"/>
              </w:rPr>
            </w:pPr>
            <w:r>
              <w:rPr>
                <w:rFonts w:ascii="Times New Roman" w:cs="Times New Roman" w:eastAsia="Times New Roman" w:hAnsi="Times New Roman"/>
                <w:sz w:val="18"/>
                <w:szCs w:val="18"/>
                <w:b w:val="1"/>
                <w:bCs w:val="1"/>
                <w:color w:val="auto"/>
              </w:rPr>
              <w:t>Total adjusted</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vMerge w:val="restart"/>
          </w:tcPr>
          <w:p>
            <w:pPr>
              <w:jc w:val="right"/>
              <w:ind w:right="174"/>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tcPr>
          <w:p>
            <w:pPr>
              <w:spacing w:after="0"/>
              <w:rPr>
                <w:sz w:val="14"/>
                <w:szCs w:val="14"/>
                <w:color w:val="auto"/>
              </w:rPr>
            </w:pPr>
          </w:p>
        </w:tc>
        <w:tc>
          <w:tcPr>
            <w:tcW w:w="340" w:type="dxa"/>
            <w:vAlign w:val="bottom"/>
            <w:vMerge w:val="restart"/>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ind w:right="194"/>
              <w:spacing w:after="0"/>
              <w:rPr>
                <w:sz w:val="20"/>
                <w:szCs w:val="20"/>
                <w:color w:val="auto"/>
              </w:rPr>
            </w:pPr>
            <w:r>
              <w:rPr>
                <w:rFonts w:ascii="Times New Roman" w:cs="Times New Roman" w:eastAsia="Times New Roman" w:hAnsi="Times New Roman"/>
                <w:sz w:val="18"/>
                <w:szCs w:val="18"/>
                <w:color w:val="auto"/>
              </w:rPr>
              <w:t>1,499</w:t>
            </w:r>
          </w:p>
        </w:tc>
        <w:tc>
          <w:tcPr>
            <w:tcW w:w="14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1,659</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2240" w:type="dxa"/>
            <w:vAlign w:val="bottom"/>
            <w:gridSpan w:val="2"/>
          </w:tcPr>
          <w:p>
            <w:pPr>
              <w:ind w:left="220"/>
              <w:spacing w:after="0" w:line="232" w:lineRule="exact"/>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6"/>
                <w:szCs w:val="26"/>
                <w:b w:val="1"/>
                <w:bCs w:val="1"/>
                <w:color w:val="auto"/>
                <w:vertAlign w:val="superscript"/>
              </w:rPr>
              <w:t>(1)</w:t>
            </w:r>
          </w:p>
        </w:tc>
        <w:tc>
          <w:tcPr>
            <w:tcW w:w="20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4" w:lineRule="exact"/>
        <w:rPr>
          <w:sz w:val="20"/>
          <w:szCs w:val="20"/>
          <w:color w:val="auto"/>
        </w:rPr>
      </w:pPr>
    </w:p>
    <w:p>
      <w:pPr>
        <w:ind w:left="380" w:right="339" w:hanging="330"/>
        <w:spacing w:after="0" w:line="221" w:lineRule="auto"/>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See the information below for definitions of these metrics and a reconciliation of adjusted EBITDA to net income (loss).</w:t>
      </w:r>
    </w:p>
    <w:p>
      <w:pPr>
        <w:ind w:left="380" w:hanging="330"/>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amounts not allocated to segments.</w:t>
      </w:r>
    </w:p>
    <w:p>
      <w:pPr>
        <w:spacing w:after="0" w:line="19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We also present certain non-GAAP financial measures to provide useful supplemental information to investors. We provide these non-GAAP financial measures as we believe it improves visibility to underlying results and the impact of management decisions on operational performance and enables better comparison to peer companies.</w:t>
      </w:r>
    </w:p>
    <w:p>
      <w:pPr>
        <w:spacing w:after="0" w:line="18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Additionally, management uses adjusted EBITDA to evaluate our performance. Adjusted EBITDA is a non-GAAP measure and defined as net income (loss) excluding net interest expense, depreciation and amortization (excluding depreciation of right-of-use assets and amortization of capitalized contract costs), charges related to ceasing to use leased assets, charges related to lease termination, transaction-related costs, pension costs other than pension servicing costs and multi-employer plan costs, stock-based compensation, workforce rebalancing charges, impairment expense, significant litigation costs and foreign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 We provide this non-GAAP financial measure as we believe it improves visibility to underlying results and the impact of management decisions on operational performance, enables better comparison to peer companies and allows us to provide a long-term strategic view of the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this measure for comparative purposes.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U.S. GAAP net income (loss) to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418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16"/>
        </w:trPr>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Impairment expense</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adjustments *</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40" w:type="dxa"/>
            <w:vAlign w:val="bottom"/>
            <w:tcBorders>
              <w:bottom w:val="single" w:sz="8" w:color="auto"/>
            </w:tcBorders>
          </w:tcPr>
          <w:p>
            <w:pPr>
              <w:spacing w:after="0"/>
              <w:rPr>
                <w:sz w:val="5"/>
                <w:szCs w:val="5"/>
                <w:color w:val="auto"/>
              </w:rPr>
            </w:pPr>
          </w:p>
        </w:tc>
        <w:tc>
          <w:tcPr>
            <w:tcW w:w="1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right="479" w:hanging="330"/>
        <w:spacing w:after="0" w:line="261"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 other than pension servicing costs and multi-employer plan costs, significant litigation costs and charges related to ceasing to use leased assets inherited from our former Parent.</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19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gridSpan w:val="3"/>
          </w:tcPr>
          <w:p>
            <w:pPr>
              <w:jc w:val="center"/>
              <w:ind w:right="25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92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25"/>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80" w:type="dxa"/>
            <w:vAlign w:val="bottom"/>
            <w:gridSpan w:val="2"/>
            <w:vMerge w:val="continue"/>
          </w:tcPr>
          <w:p>
            <w:pPr>
              <w:spacing w:after="0"/>
              <w:rPr>
                <w:sz w:val="12"/>
                <w:szCs w:val="12"/>
                <w:color w:val="auto"/>
              </w:rPr>
            </w:pPr>
          </w:p>
        </w:tc>
        <w:tc>
          <w:tcPr>
            <w:tcW w:w="860" w:type="dxa"/>
            <w:vAlign w:val="bottom"/>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88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90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  1,265</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   1,193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3,581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   3,577</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spacing w:after="0"/>
              <w:rPr>
                <w:sz w:val="21"/>
                <w:szCs w:val="21"/>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Pr>
          <w:p>
            <w:pPr>
              <w:spacing w:after="0"/>
              <w:rPr>
                <w:sz w:val="21"/>
                <w:szCs w:val="21"/>
                <w:color w:val="auto"/>
              </w:rPr>
            </w:pP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2022, United States revenue of $1.3 billion increased 6 percent compared to the prior-year quarter and Adjusted EBITDA increased $69 million from the prior-year quarter, primarily driven by higher revenue, including increased revenue from contracts with minimum annual revenue commitments and increased seasonal variances in volume, and progress on our key initiatives.</w:t>
      </w:r>
    </w:p>
    <w:p>
      <w:pPr>
        <w:spacing w:after="0" w:line="180"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December 31, 2022, United States revenue of $3.6 billion was unchanged compared to the prior-year nine-month period. Adjusted EBITDA decreased $23 million from the prior-year nine-month period, primarily driven by certain software agreements moving from prepaid and amortized agreements to monthly subscription agreements.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160" w:type="dxa"/>
            <w:vAlign w:val="bottom"/>
          </w:tcPr>
          <w:p>
            <w:pPr>
              <w:spacing w:after="0"/>
              <w:rPr>
                <w:sz w:val="13"/>
                <w:szCs w:val="13"/>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2000" w:type="dxa"/>
            <w:vAlign w:val="bottom"/>
            <w:gridSpan w:val="5"/>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1,855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28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Revenue growth in constant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9" w:firstLine="648"/>
        <w:spacing w:after="0" w:line="281" w:lineRule="auto"/>
        <w:rPr>
          <w:sz w:val="20"/>
          <w:szCs w:val="20"/>
          <w:color w:val="auto"/>
        </w:rPr>
      </w:pPr>
      <w:r>
        <w:rPr>
          <w:rFonts w:ascii="Times New Roman" w:cs="Times New Roman" w:eastAsia="Times New Roman" w:hAnsi="Times New Roman"/>
          <w:sz w:val="17"/>
          <w:szCs w:val="17"/>
          <w:color w:val="auto"/>
        </w:rPr>
        <w:t>For the three months ended December 31, 2022, Japan revenue of $606 million decreased 11 percent compared to the prior-year quarter. Revenue decreased due to an unfavorable currency exchange rate impact of 21 points, partially offset by recent signings of incremental business including increased Kyndryl Consult (advisory &amp; implementation services) revenues. Adjusted EBITDA decreased $34 million from the prior-year quarter, reflecting unfavorable currency impacts.</w:t>
      </w:r>
    </w:p>
    <w:p>
      <w:pPr>
        <w:spacing w:after="0" w:line="164"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December 31, 2022, Japan revenue of $1.9 billion decreased 14 percent compared to the prior-year nine-month period. Revenue decreased due to an unfavorable currency exchange rate impact of 19 points, partially offset by recent signings of incremental business including increased Kyndryl Consult revenues. Adjusted EBITDA decreased $60 million from the prior-year period, primarily driven by unfavorable currency impacts, partially offset by lower costs from our post-Separation commercial agreements with IBM.</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 Markets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160" w:type="dxa"/>
            <w:vAlign w:val="bottom"/>
          </w:tcPr>
          <w:p>
            <w:pPr>
              <w:spacing w:after="0"/>
              <w:rPr>
                <w:sz w:val="13"/>
                <w:szCs w:val="13"/>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2000" w:type="dxa"/>
            <w:vAlign w:val="bottom"/>
            <w:gridSpan w:val="5"/>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5"/>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1,472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4,460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5,260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28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Revenue growth in constant</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December 31, 2022, Principal Markets revenue of $1.5 billion decreased 12 percent compared to the prior-year quarter. Revenue decreased due to an unfavorable currency exchange rate impact of 10 points, primarily driven by the strengthening of the U.S. dollar against the Euro and British pound. Adjusted EBITDA decreased $64 million from the prior-year period, driven by unfavorable currency exchange rate movements and higher energy costs, primarily in Europe.</w:t>
      </w:r>
    </w:p>
    <w:p>
      <w:pPr>
        <w:spacing w:after="0" w:line="18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December 31, 2022, Principal Markets revenue of $4.5 billion decreased 15 percent compared to the prior-year nine-month period. Revenue decreased due to certain joint ventures not transferring to us in connection with the Separation as well as an unfavorable currency exchange rate impact of 10 points, primarily driven by the strengthening of the U.S. dollar against the Euro and British pound. Adjusted EBITDA decreased $41 million from the prior-year period, primarily due to unfavorable currency exchange rates.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Markets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Year-over-</w:t>
            </w:r>
          </w:p>
        </w:tc>
        <w:tc>
          <w:tcPr>
            <w:tcW w:w="180" w:type="dxa"/>
            <w:vAlign w:val="bottom"/>
          </w:tcPr>
          <w:p>
            <w:pPr>
              <w:spacing w:after="0"/>
              <w:rPr>
                <w:sz w:val="13"/>
                <w:szCs w:val="13"/>
                <w:color w:val="auto"/>
              </w:rPr>
            </w:pPr>
          </w:p>
        </w:tc>
        <w:tc>
          <w:tcPr>
            <w:tcW w:w="196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5"/>
          </w:tcPr>
          <w:p>
            <w:pPr>
              <w:jc w:val="right"/>
              <w:ind w:right="25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2"/>
                <w:szCs w:val="12"/>
                <w:color w:val="auto"/>
              </w:rPr>
            </w:pPr>
          </w:p>
        </w:tc>
        <w:tc>
          <w:tcPr>
            <w:tcW w:w="1960" w:type="dxa"/>
            <w:vAlign w:val="bottom"/>
            <w:gridSpan w:val="6"/>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25"/>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2,889</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2022, Strategic Markets revenue of $961 million decreased 5 percent compared to the prior-year quarter driven by a 7-point headwind from currency exchange rates, primarily the Euro. Adjusted EBITDA increased $11 million from the prior-year quarter, driven by progress on our key initiatives.</w:t>
      </w:r>
    </w:p>
    <w:p>
      <w:pPr>
        <w:spacing w:after="0" w:line="176"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December 31, 2022, Strategic Markets revenue of $2.9 billion decreased 1 percent compared to the prior-year nine-month period driven by an 8-point headwind from currency exchange rates, primarily the Euro, partially offset by signings of incremental business. Adjusted EBITDA decreased $92 million from the prior-year period, since the majority of Strategic Markets countries were not charged for IBM software pre-Separation and software cost allocations began post-Separation.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Corporate and other had an adjusted EBITDA loss of $16 million in the three months ended December 31, 2022, compared to a loss of $28 million in the three months ended December 31, 2021. Corporate and other had an adjusted EBITDA loss of $57 million in the nine months ended December 31, 2022, compared to a loss of $113 million in the nine months ended December 31, 2021. The improvements were driven by lower executive expenses incurred by Kyndryl post-Separation compared to corporate expenses allocated by the former Parent in prior-year periods.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580" w:type="dxa"/>
            <w:vAlign w:val="bottom"/>
            <w:gridSpan w:val="4"/>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8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Impairment expense</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Cost of services was 83.6% of revenue in the three months ended December 31, 2022, compared to 87.8% in the three months ended December 31, 2021, driven by progress on our key initiatives, higher seasonal variances in volume and contracts with minimum annual revenue commitments. Selling, general and administrative expenses were 17.0% of revenue in 2022 compared to 14.1% in 2021, driven by costs associated with operating as an independent public company and the impact of currency on revenue compared to our U.S. dollar-denominated expenses. Transaction-related costs were 1.1% of revenue in 2022 compared to 2.8% in 2021, primarily driven by higher employee-retention expense and spin-related professional-services expense incurred in the prior-year quarter. Impairment expense was 0% in 2022 compared to 10.3% of revenue in 2021, driven by an impairment of goodwill in the former EMEA and Americas segments in the prior-year quarter. Interest expense was 0.6% of revenue in 2022 compared to 0.4% in 2021. Other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expense (income) was 0.7% of revenue in 2022 compared to 0.4% in 2021, driven by hedging activity to partially offset the unfavorable impacts of currency movements of the U.S. dollar against other major currencies.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3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00" w:type="dxa"/>
            <w:vAlign w:val="bottom"/>
            <w:gridSpan w:val="3"/>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09"/>
        </w:trPr>
        <w:tc>
          <w:tcPr>
            <w:tcW w:w="34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13,886</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Impairment expense</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0"/>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279" w:firstLine="648"/>
        <w:spacing w:after="0" w:line="253" w:lineRule="auto"/>
        <w:rPr>
          <w:sz w:val="20"/>
          <w:szCs w:val="20"/>
          <w:color w:val="auto"/>
        </w:rPr>
      </w:pPr>
      <w:r>
        <w:rPr>
          <w:rFonts w:ascii="Times New Roman" w:cs="Times New Roman" w:eastAsia="Times New Roman" w:hAnsi="Times New Roman"/>
          <w:sz w:val="18"/>
          <w:szCs w:val="18"/>
          <w:color w:val="auto"/>
        </w:rPr>
        <w:t>Cost of services was 85.2% of revenue in the nine months ended December 31, 2022, compared to 88.1% in the nine months ended December 31, 2021, primarily driven by progress on our key initiatives. Selling, general and administrative expenses were 16.7% of revenue in 2022 compared to 14.9% in 2021, driven by costs associated with operating as an independent public company and the impact of currency on revenue compared to our U.S. dollar-denominated expenses. Transaction-related costs were 1.7% of revenue in 2022 compared to 4.1% in 2021, primarily driven by higher employee-retention expense and pre-spin consultancy expense incurred in the prior year. Impairment expense was 0% in 2022 compared to 3.4% of revenue in 2021, driven by an impairment of goodwill in the EMEA and Americas segments in the prior-year period. Interest expense was 0.5% of revenue in 2022 compared to 0.4% in 2021. Other expense (income) was 0.1% of revenue in 2022 compared to 0.1% in 2021, driven by hedging activity to partially offset the unfavorable impacts of currency movements of the U.S. dollar against other major currencies.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In the nine months ended December 31, 2022, the Company granted equity and cash-based compensation awards to employees. These awards included 4.0 million restricted stock units that will vest ratably over four years; 2.4 million performance-conditioned stock units that are based on the attainment of operational milestones; and 0.7 million market-conditioned performance stock units that are based on the performance of the Company’s stock relative to that of its peers. Both types of performance-based awards will cliff vest based on the extent to which the performance criteria have been achieved as soon as practicable following the completion of the performance period on March 31, 2025. The total grant date fair value of the RSUs was determined using the stock price at the grant dates and will be recognized as stock-based compensation expense on a straight-line basis net of estimated forfeitures over the vesting period. The fair value of the performance-conditioned performance stock units ($10.62 per unit) was determined using the stock price at the grant date and will be adjusted and recognized as stock-based compensation expense based upon the probability of achievement of performance targets at each reporting period over the vesting period. The fair value of the market-conditioned performance stock units ($12.51 per unit) was determined at the grant date using a Monte Carlo simulation model and will be recognized as stock-based compensation expense on a straight-line basis net of estimated forfeitures over the vesting period. Dividend equivalents are not paid on the stock awards described above. The expense associated with these awards was $4 million during the nine months ended December 31, 2022.</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Charges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classifies certain expenses related to the Separation, acquisitions and divestitures (if any) as “transaction-related costs” in the Consolidated Income Statement. Transaction-related costs include expenditures incurred to prepare for and execute the Separation and establish Kyndryl as a standalone business. These costs include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employee retention expenses, information technology costs, marketing expenses to establish the Kyndryl brand, legal, accounting, consulting and other professional service costs required to prepare for and execute the Separation.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provision for income taxes for the three months ended December 31, 2022 was a $32 million benefit, compared to $11 million of expense for the three months ended December 31, 2021. The provision for income taxes for the nine months ended December 31, 2022 was $74 million of expense, compared to $311 million of expense for the nine months ended December 31, 2021. Our income tax benefit for the three months ended December 31, 2022 was primarily related to the benefit resulting from return-to-provision adjustments related to the filing of certain 2021 income tax returns. Our income tax expense for the nine months ended December 31, 2022 was primarily due to taxes on foreign operations and the increase in valuation allowances, primarily in the United States, against deferred tax assets that are not more likely than not to be realized, partially offset by the benefit resulting from return-to-provision adjustments related to the filing of certain 2021 income tax returns. Our income tax expense for the three months ended December 31, 2021 was primarily due to the geographic mix of pretax income and nondeductible goodwill impairment. Our income tax expense for the nine months ended December 31, 2021, was primarily due to the geographic mix of pretax income, changes in valuation allowances, and tax charges related to the transfer of Kyndryl’s operations from IBM in contemplation of the Company’s Separation.</w:t>
      </w:r>
    </w:p>
    <w:p>
      <w:pPr>
        <w:spacing w:after="0" w:line="18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Dynamics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Total assets of $11.9 billion decreased by $1.6 billion (and decreased by $1.1 billion adjusted for currency) from March 31, 2022, primarily driven by: a decrease of $731 million in accounts receivable due to collections and sales of accounts receivables outpacing new billings and currency impacts; a decrease in deferred costs of $274 million due to currency impacts and amortization outpacing additions as higher vendor billings for prepaid software typically occurred in the first calendar quarter; a decrease in operating right-of-use assets of $197 million due to expiration of leases inherited from former Parent, accelerated amortization from ceasing to use leased assets and currency impacts; a decrease in cash and cash equivalents of $132 million primarily due to payments toward accrued liabilities and currency impacts; a decrease in deferred tax assets of $77 million primarily due to tax effects of certain components of year-to-date pretax income and currency impacts; and a decrease in property and equipment of $72 million due to currency impacts.</w:t>
      </w:r>
    </w:p>
    <w:p>
      <w:pPr>
        <w:spacing w:after="0" w:line="18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Total liabilities of $9.9 billion decreased by $810 million (and decreased by $484 million adjusted for currency) from March 31, 2022, primarily as a result of: a decrease in accrued contract costs of $275 million due to timing of vendors billing Kyndryl for the first time as an independent company; a decrease in operating lease liabilities of $184 million due to payments and currency impacts; a decrease in deferred income of $141 million mainly due to the Company’s advanced annual billing with certain customers and currency impacts; and a decrease in accrued compensation and benefits of $121 million mainly due to bonus payments and currency impacts; partially offset by an increase of accounts payables $165 million due to the timing of payments. Total equity of $1.9 billion decreased $781 million from March 31, 2022 due to comprehensive loss in the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3"/>
                <w:szCs w:val="13"/>
                <w:color w:val="auto"/>
              </w:rPr>
            </w:pPr>
          </w:p>
        </w:tc>
        <w:tc>
          <w:tcPr>
            <w:tcW w:w="10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4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4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Working capital decreased $674 million from March 31, 2022. Current assets decreased $1.1 billion (and decreased $900 million adjusted for currency) primarily driven by: a decrease of $731 million in accounts receivable due to collections and sales of accounts receivables outpacing new billings and currency impacts; a decrease in deferred costs of $216 million due to currency impacts and amortization outpacing additions as higher vendor billings for prepaid software typically occurred in the first calendar quarter; and a decrease of $132 million in cash and cash equivalents primarily due to currency impacts. Current liabilities decreased $450 million (and decreased $238 million adjusted for currency) primarily driven by: a decrease in current accrued contract costs of $275 million; a decrease in accrued compensation and benefits of $121 million; and a decrease in current deferred income of $65 million; partially offset by an increase in accounts payable of $165 million.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and Liabilities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Noncurrent assets of $6.9 billion at December 31, 2022 decreased by $466 million (and decreased by $164 million adjusted for currency) compared to March 31, 2022, primarily driven by a decline in right-of-use assets of $197 million; a decrease in deferred tax assets of $77 million primarily due to tax effects of certain components of year-to-date pretax income and currency impacts; and a decline in property and equipment of $72 million.</w:t>
      </w:r>
    </w:p>
    <w:p>
      <w:pPr>
        <w:spacing w:after="0" w:line="180" w:lineRule="exact"/>
        <w:rPr>
          <w:sz w:val="20"/>
          <w:szCs w:val="20"/>
          <w:color w:val="auto"/>
        </w:rPr>
      </w:pPr>
    </w:p>
    <w:p>
      <w:pPr>
        <w:jc w:val="both"/>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Noncurrent liabilities of $5.3 billion at December 31, 2022 decreased $360 million (and decreased by $246 million adjusted for currency) compared to March 31, 2022, mainly driven by a decrease in operating lease liabilities (noncurrent portion) of $138 million and a decrease in noncurrent deferred income of $76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flows from operating, investing and financing activities are summarized in the table below.</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61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18"/>
                <w:szCs w:val="18"/>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$769 million in the nine months ended December 31, 2022, compared to net cash provided by operating activities of $209 million in the prior-year period. This change was driven by our reduced net loss.</w:t>
      </w:r>
    </w:p>
    <w:p>
      <w:pPr>
        <w:spacing w:after="0" w:line="1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Net cash used by investing activities was $699 million in the nine months ended December 31, 2022, compared to a net cash use of $472 million in the prior-year period due to increased capital expenditures compared to the pre-Separation period in 2021. Capital expenditures consist of payments for property and equipment, and purchased and internally-developed software.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Net cash used by financing activities totaled $100 million in the nine months ended December 31, 2022, compared to net cash provided by financing activities of $2.5 billion in the prior-year period. This change was driven by net transfers to former Parent of $490 million in the prior-year period, which did not continue post-Separation, and proceeds of $3.0 billion from debt incurred in conjunction with our Separation in the prior-year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Company’s signings for the three and nine months ended December 31, 2022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2021.</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signings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contract value for the Company’s signings greater than $100 million for new and existing customers for the three and nine months ended December 31, 2022 and 2021.</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3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6"/>
                <w:szCs w:val="16"/>
                <w:color w:val="auto"/>
              </w:rPr>
            </w:pPr>
          </w:p>
        </w:tc>
        <w:tc>
          <w:tcPr>
            <w:tcW w:w="248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420" w:type="dxa"/>
            <w:vAlign w:val="bottom"/>
            <w:gridSpan w:val="2"/>
            <w:vMerge w:val="continue"/>
          </w:tcPr>
          <w:p>
            <w:pPr>
              <w:spacing w:after="0"/>
              <w:rPr>
                <w:sz w:val="12"/>
                <w:szCs w:val="12"/>
                <w:color w:val="auto"/>
              </w:rPr>
            </w:pPr>
          </w:p>
        </w:tc>
        <w:tc>
          <w:tcPr>
            <w:tcW w:w="840" w:type="dxa"/>
            <w:vAlign w:val="bottom"/>
            <w:tcBorders>
              <w:top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customers</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3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Existing customers</w:t>
            </w:r>
          </w:p>
        </w:tc>
        <w:tc>
          <w:tcPr>
            <w:tcW w:w="840" w:type="dxa"/>
            <w:vAlign w:val="bottom"/>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6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60" w:type="dxa"/>
            <w:vAlign w:val="bottom"/>
          </w:tcPr>
          <w:p>
            <w:pPr>
              <w:spacing w:after="0"/>
              <w:rPr>
                <w:sz w:val="20"/>
                <w:szCs w:val="20"/>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Signings decreased by $1.2 billion, or 27%, for the three months ended December 31, 2022 compared to the prior-year period, including a 5-point negative impact from currency. Signings decreased by $2.4 billion, or 22%, for the nine months ended December 31, 2022 compared to the prior-year nine-month period, in part because currency had a 6-point negative impact on signings for the nine months ended December 31, 2022. Signings have declined as a result of an increased focus on higher-margin services, which tend to be shorter in length and therefore smaller in value than historical agreements.</w:t>
      </w:r>
    </w:p>
    <w:p>
      <w:pPr>
        <w:spacing w:after="0" w:line="147"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Management uses signings as a tool to monitor the performance of the business including the business’ ability to attract new customers and sell additional scope into our existing customer base.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the Revolving Credit Agreement entered into in October 2021 will be sufficient to meet our anticipated cash needs for at least the next twelve months.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Senior Notes due 2041 (the “Notes”). The Notes were offered and sold to qualified institutional buyers in reliance on Rule 144A under the Securities Act and to non-U.S. persons in reliance on Regulation S of the Securities Act. The Notes are subject to customary affirmative covenants, negative covenants and events of default for financings of this type and are redeemable at our option in a customary manner.</w:t>
      </w:r>
    </w:p>
    <w:p>
      <w:pPr>
        <w:spacing w:after="0" w:line="180"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Notes, we entered into a registration rights agreement with the initial purchasers of the Notes, pursuant to which we completed a registered offer to exchange each series of Notes for new notes with substantially identical terms during the quarter ended September 30,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and Revolving Credit Facility</w:t>
      </w:r>
    </w:p>
    <w:p>
      <w:pPr>
        <w:spacing w:after="0" w:line="229" w:lineRule="exact"/>
        <w:rPr>
          <w:sz w:val="20"/>
          <w:szCs w:val="20"/>
          <w:color w:val="auto"/>
        </w:rPr>
      </w:pPr>
    </w:p>
    <w:p>
      <w:pPr>
        <w:jc w:val="both"/>
        <w:ind w:left="60" w:right="239" w:firstLine="693"/>
        <w:spacing w:after="0" w:line="266" w:lineRule="auto"/>
        <w:rPr>
          <w:sz w:val="20"/>
          <w:szCs w:val="20"/>
          <w:color w:val="auto"/>
        </w:rPr>
      </w:pPr>
      <w:r>
        <w:rPr>
          <w:rFonts w:ascii="Times New Roman" w:cs="Times New Roman" w:eastAsia="Times New Roman" w:hAnsi="Times New Roman"/>
          <w:sz w:val="18"/>
          <w:szCs w:val="18"/>
          <w:color w:val="auto"/>
        </w:rPr>
        <w:t>In October 2021, we entered into a $500 million three-year variable rate term loan credit agreement (the “Term Loan Credit Agreement”). In November 2021, we drew down the full $500 million available under the Term Loan Credit Agreement.</w:t>
      </w:r>
    </w:p>
    <w:p>
      <w:pPr>
        <w:spacing w:after="0" w:line="176" w:lineRule="exact"/>
        <w:rPr>
          <w:sz w:val="20"/>
          <w:szCs w:val="20"/>
          <w:color w:val="auto"/>
        </w:rPr>
      </w:pPr>
    </w:p>
    <w:p>
      <w:pPr>
        <w:ind w:left="60" w:right="59" w:firstLine="648"/>
        <w:spacing w:after="0" w:line="312" w:lineRule="auto"/>
        <w:rPr>
          <w:sz w:val="20"/>
          <w:szCs w:val="20"/>
          <w:color w:val="auto"/>
        </w:rPr>
      </w:pPr>
      <w:r>
        <w:rPr>
          <w:rFonts w:ascii="Times New Roman" w:cs="Times New Roman" w:eastAsia="Times New Roman" w:hAnsi="Times New Roman"/>
          <w:sz w:val="17"/>
          <w:szCs w:val="17"/>
          <w:color w:val="auto"/>
        </w:rPr>
        <w:t>In October 2021, we entered into a $3.15 billion multi-currency revolving credit agreement (the “Revolving Credit Agreement” and, together with the Term Loan Credit Agreement, the “Credit Agreements”) for our future liquidity needs.</w:t>
      </w:r>
    </w:p>
    <w:p>
      <w:pPr>
        <w:spacing w:after="0" w:line="140"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Revolving Credit Agreement expires, unless extended, in October 2026, and the Term Loan Credit Agreement matures, unless extended, in November 2024. Interest rates on borrowings under the Credit Agreements are based on prevailing market interest rates, plus a margin, as further described in the Credit Agreements.</w:t>
      </w:r>
    </w:p>
    <w:p>
      <w:pPr>
        <w:spacing w:after="0" w:line="176" w:lineRule="exact"/>
        <w:rPr>
          <w:sz w:val="20"/>
          <w:szCs w:val="20"/>
          <w:color w:val="auto"/>
        </w:rPr>
      </w:pPr>
    </w:p>
    <w:p>
      <w:pPr>
        <w:ind w:left="60" w:right="239" w:firstLine="693"/>
        <w:spacing w:after="0" w:line="261" w:lineRule="auto"/>
        <w:rPr>
          <w:sz w:val="20"/>
          <w:szCs w:val="20"/>
          <w:color w:val="auto"/>
        </w:rPr>
      </w:pPr>
      <w:r>
        <w:rPr>
          <w:rFonts w:ascii="Times New Roman" w:cs="Times New Roman" w:eastAsia="Times New Roman" w:hAnsi="Times New Roman"/>
          <w:sz w:val="18"/>
          <w:szCs w:val="18"/>
          <w:color w:val="auto"/>
        </w:rPr>
        <w:t>The Notes and the Credit Agreements were initially guaranteed by IBM. Approximately $900 million of the net proceeds from the term loan and the sale of the Notes was transferred to IBM in conjunction with the Separation. Following the completion of the Separation, the guarantee was released, and the Notes and the Credit Agreements are no longer obligations of IBM.</w:t>
      </w:r>
    </w:p>
    <w:p>
      <w:pPr>
        <w:spacing w:after="0" w:line="180" w:lineRule="exact"/>
        <w:rPr>
          <w:sz w:val="20"/>
          <w:szCs w:val="20"/>
          <w:color w:val="auto"/>
        </w:rPr>
      </w:pPr>
    </w:p>
    <w:p>
      <w:pPr>
        <w:ind w:left="60" w:right="139" w:firstLine="693"/>
        <w:spacing w:after="0" w:line="258" w:lineRule="auto"/>
        <w:rPr>
          <w:sz w:val="20"/>
          <w:szCs w:val="20"/>
          <w:color w:val="auto"/>
        </w:rPr>
      </w:pPr>
      <w:r>
        <w:rPr>
          <w:rFonts w:ascii="Times New Roman" w:cs="Times New Roman" w:eastAsia="Times New Roman" w:hAnsi="Times New Roman"/>
          <w:sz w:val="18"/>
          <w:szCs w:val="18"/>
          <w:color w:val="auto"/>
        </w:rPr>
        <w:t>We may voluntarily prepay borrowings under the Credit Agreements without premium or penalty, subject to customary “breakage” costs. The Credit Agreements include certain customary mandatory prepayment provisions. In addition, the Credit Agreements include customary events of default and affirmative and negative covenants as well as a maintenance covenant that will require that the ratio of our indebtedness for borrowed money to consolidated EBITDA (as defined in the Credit Agreements) for any period of four consecutive fiscal quarters be no greater than 3.50 to 1.00.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has entered into agreements with third-party financial institutions to sell certain financial assets (primarily trade receivables) without recourse. The Company determined these are true sales. The carrying value of the financial asset sold is derecognized, and a net gain or loss on the sale is recognized at the time of the transfer. An agreement with third-party financial institutions executed in November 2021 enabled us to sell, at any one time, on a revolving basis, up to $1.1 billion of our trade receivables with payment terms from three to nine months and was subsequently amended to decrease such amount to $1.0 billion. This agreement was further amended during the quarter ended December 31, 2022 to provide that we may sell an additional amount of trade receivables with payment terms of less than three months, contingent on the approval of the counterparty to purchase such receivables with no defined limit on such sales. The initial term of this agreement was 18 months, and the agreement automatically resets to a term of 18 months, after every six months, unless one of the parties elects not to extend. In the quarter ended June 30, 2022, the Company entered into a separate agreement, in which the sale of receivables is contingent on the approval of the counterparty with no defined facility limit. The initial term of this agreement is 12 months.</w:t>
      </w:r>
    </w:p>
    <w:p>
      <w:pPr>
        <w:spacing w:after="0" w:line="19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net proceeds from these arrangements are reflected as cash provided by operating activities in the Consolidated Statement of Cash Flows. Gross proceeds from receivables sold to third parties under this program were $930 million and $2.3 billion for the three and nine months ended December 31, 2022, respectively. Gross proceeds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from receivables sold to third parties and the financing division of our former Parent were $472 million and $1.7 billion for the three and nine months ended December 31, 2021, respectively. The fees associated with the transfers of receivables were $14 million and $34 million for the three and nine months ended December 31, 2022, respectively, and immaterial for the three and nine months ended December 31, 2021,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December 31, 2021 (see Amendment No. 1 to our Current Report on Form 8-K/A filed with the SEC on May 27, 2022 (the “8-K/A”) for more information; we refer to the Annual Report on Form 10-K for the fiscal year ended December 31, 2021, revised and updated as set forth on Exhibit 99.1 to the 8-K/A, as the “Form 10-K”).</w:t>
      </w:r>
    </w:p>
    <w:p>
      <w:pPr>
        <w:spacing w:after="0" w:line="187"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In conjunction with our annual review of goodwill for impairment, we prepared qualitative and quantitative valuation analysis as of October 1, 2022. This analysis determined that the fair value of the Canada reporting unit within the Principal Markets segment exceeded book value by 51%. We performed a sensitivity analysis on the discounted cash flow valuation that was prepared to estimate the enterprise value of the Canada reporting unit. A hypothetical 100-basis-point increase in the discount rate or decline in revenue growth, combined with no other changes to other inputs and assumptions used in the analysis, would not result in a potential impairment for the Canada reporting unit.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Such forward-looking statements often contain words such as “will,” “anticipate,” “predict,” “project,” “contemplate,” “plan,” “forecast,” “estimate,” “expect,” “intend,” “target,” “may,” “should,” “would,” “could,” “seek,” “aim”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w:t>
      </w:r>
    </w:p>
    <w:p>
      <w:pPr>
        <w:spacing w:after="0" w:line="194"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spin-off from IBM;</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retain existing customers or sell additional services to customers;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and the Company’s response to such developments;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growth and productivity objectives;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relationships with critical suppliers;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key personnel and other skilled employees;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local legal, economic, political, health and other conditions, including the COVID-19 pandemic;</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economic environment and customer spending budgets;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accurately estimate the cost of services and the timeline for completion of contracts;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delivery issues;</w:t>
      </w:r>
    </w:p>
    <w:p>
      <w:pPr>
        <w:spacing w:after="0" w:line="9" w:lineRule="exact"/>
        <w:rPr>
          <w:rFonts w:ascii="Times New Roman" w:cs="Times New Roman" w:eastAsia="Times New Roman" w:hAnsi="Times New Roman"/>
          <w:sz w:val="18"/>
          <w:szCs w:val="18"/>
          <w:color w:val="auto"/>
        </w:rPr>
      </w:pPr>
    </w:p>
    <w:p>
      <w:pPr>
        <w:ind w:left="720" w:right="559" w:hanging="319"/>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acquisitions, alliances and dispositions, including integration challenges, failure to achieve objectives, the assumption of liabilities, and higher debt levels;</w:t>
      </w: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business with government customers;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720" w:right="639" w:hanging="319"/>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intellectual property rights to prevent competitive offerings and the failure of the Company to obtain necessary licenses;</w:t>
      </w: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and data privacy;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tax matters and environmental matters;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investigatory risks;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market liquidity conditions and customer credit risk on receivables;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pension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fluctuations;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common stock and the securities market.</w:t>
      </w:r>
    </w:p>
    <w:p>
      <w:pPr>
        <w:spacing w:after="0" w:line="207"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Additional risks and uncertainties include, among others, those risks and uncertainties described in the “Risk Factors” section of our Form 10-K, as such factors may be updated from time to time in the Company’s periodic filings with the SEC. Any forward-looking statement in this report speaks only as of the date on which it is made. Except as required by law, the Company assumes no obligation to update or revise any forward-looking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may use its website and/or social media outlets, such as Facebook, LinkedIn and Twitter, as distribution channels of material company information. Financial and other important information regarding the Company is routinely posted on and accessible through the Company’s website at https://investors.kyndryl.com, its Facebook page at https://www.facebook.com/kyndryl, its LinkedIn page at https://linkedin.com/company/kyndryl and its Twitter account (@Kyndryl) at https://twitter.com/Kyndryl. In addition, you may automatically receive email alerts and other information about the Company when you enroll your email address by visiting the “Investor Email Alerts” section under the “Resources” section at https://investors.kyndryl.com.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For our disclosures about market risk, see the information under the heading “Quantitative and Qualitative Disclosures About Market Risk” in the Form 10-K. There have been no material changes to the Company’s disclosure about market risk in the Form 10-K.</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the end of the period covered by this report. Based on that evaluation, the Chief Executive Officer and Chief Financial Officer have concluded that the Company’s disclosure controls and procedures were effective as of the end of the period covered by this report.</w:t>
      </w:r>
    </w:p>
    <w:p>
      <w:pPr>
        <w:spacing w:after="0" w:line="18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(as such term is defined in Rule 13a-15(f) of the Exchange Act)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 to Note 10 – Commitments and Contingencies, in the notes to consolidated financial statements in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the Form 10-K. There have been no material changes with respect to the risk factors disclosed in the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on January 25, 2023, the Company’s Board of Directors approved and adopted Amended and Restated Bylaws (the “Amended Bylaws”) effective as of such date. The amendments effected by the Amended Bylaws include the following changes to the procedures by which stockholders may recommend nominees to the Company’s Board of Directors:</w:t>
      </w:r>
    </w:p>
    <w:p>
      <w:pPr>
        <w:spacing w:after="0" w:line="180" w:lineRule="exact"/>
        <w:rPr>
          <w:sz w:val="20"/>
          <w:szCs w:val="20"/>
          <w:color w:val="auto"/>
        </w:rPr>
      </w:pPr>
    </w:p>
    <w:p>
      <w:pPr>
        <w:ind w:left="720" w:right="11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revision to the deadline for receipt of a notice of a stockholder’s intent to bring director nominations (other than director nominations brought pursuant to the Company’s proxy access bylaw) before an annual meeting of stockholders to require that such notice be received no earlier than 150 days and no later than 120 days before the anniversary of the prior year’s annual meeting of stockholders; and</w:t>
      </w:r>
    </w:p>
    <w:p>
      <w:pPr>
        <w:spacing w:after="0" w:line="179" w:lineRule="exact"/>
        <w:rPr>
          <w:rFonts w:ascii="Times New Roman" w:cs="Times New Roman" w:eastAsia="Times New Roman" w:hAnsi="Times New Roman"/>
          <w:sz w:val="18"/>
          <w:szCs w:val="18"/>
          <w:color w:val="auto"/>
        </w:rPr>
      </w:pPr>
    </w:p>
    <w:p>
      <w:pPr>
        <w:ind w:left="720" w:right="13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updates to procedural requirements relating to director nominations by stockholders (other than director nominations brought pursuant to the Company’s proxy access bylaw) in response to the Securities and Exchange Commission’s adoption of Rule 14a-19 under the Securities Exchange Act of 1934, as amended (“Rule 14a-19”), including:</w:t>
      </w:r>
    </w:p>
    <w:p>
      <w:pPr>
        <w:spacing w:after="0" w:line="164" w:lineRule="exact"/>
        <w:rPr>
          <w:rFonts w:ascii="Times New Roman" w:cs="Times New Roman" w:eastAsia="Times New Roman" w:hAnsi="Times New Roman"/>
          <w:sz w:val="18"/>
          <w:szCs w:val="18"/>
          <w:color w:val="auto"/>
        </w:rPr>
      </w:pPr>
    </w:p>
    <w:p>
      <w:pPr>
        <w:ind w:left="1040" w:right="399" w:hanging="324"/>
        <w:spacing w:after="0" w:line="254"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 requirement that, if a stockholder intends to engage in a solicitation with respect to a nomination, the</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stockholder include in the nomination notice the name of each participant in such solicitation and a representation that such stockholder intends to deliver a proxy statement and form of proxy to at least the percentage of the Company’s outstanding capital stock required under Rule 14a-19;</w:t>
      </w:r>
    </w:p>
    <w:p>
      <w:pPr>
        <w:spacing w:after="0" w:line="171" w:lineRule="exact"/>
        <w:rPr>
          <w:rFonts w:ascii="Times New Roman" w:cs="Times New Roman" w:eastAsia="Times New Roman" w:hAnsi="Times New Roman"/>
          <w:sz w:val="18"/>
          <w:szCs w:val="18"/>
          <w:color w:val="auto"/>
        </w:rPr>
      </w:pPr>
    </w:p>
    <w:p>
      <w:pPr>
        <w:ind w:left="1040" w:right="299" w:hanging="324"/>
        <w:spacing w:after="0" w:line="262"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 requirement that a stockholder provide notice to the Company within two business days of any change in</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such stockholder’s intent to solicit proxies under Rule 14a-19;</w:t>
      </w:r>
    </w:p>
    <w:p>
      <w:pPr>
        <w:spacing w:after="0" w:line="163" w:lineRule="exact"/>
        <w:rPr>
          <w:rFonts w:ascii="Times New Roman" w:cs="Times New Roman" w:eastAsia="Times New Roman" w:hAnsi="Times New Roman"/>
          <w:sz w:val="18"/>
          <w:szCs w:val="18"/>
          <w:color w:val="auto"/>
        </w:rPr>
      </w:pPr>
    </w:p>
    <w:p>
      <w:pPr>
        <w:ind w:left="1040" w:right="179" w:hanging="324"/>
        <w:spacing w:after="0" w:line="256"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Times New Roman" w:cs="Times New Roman" w:eastAsia="Times New Roman" w:hAnsi="Times New Roman"/>
          <w:sz w:val="18"/>
          <w:szCs w:val="18"/>
          <w:color w:val="auto"/>
        </w:rPr>
        <w:t>a requirement that any stockholder that has represented that it intends to solicit proxies under Rule 14a-19</w:t>
      </w:r>
      <w:r>
        <w:rPr>
          <w:rFonts w:ascii="Courier New" w:cs="Courier New" w:eastAsia="Courier New" w:hAnsi="Courier New"/>
          <w:sz w:val="18"/>
          <w:szCs w:val="18"/>
          <w:color w:val="auto"/>
        </w:rPr>
        <w:t xml:space="preserve"> </w:t>
      </w:r>
      <w:r>
        <w:rPr>
          <w:rFonts w:ascii="Times New Roman" w:cs="Times New Roman" w:eastAsia="Times New Roman" w:hAnsi="Times New Roman"/>
          <w:sz w:val="18"/>
          <w:szCs w:val="18"/>
          <w:color w:val="auto"/>
        </w:rPr>
        <w:t>provide evidence that it has met the requirements of the rule at least five business days before the applicable meeting; and</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right="119" w:hanging="315"/>
        <w:spacing w:after="0" w:line="254" w:lineRule="auto"/>
        <w:tabs>
          <w:tab w:leader="none" w:pos="1040" w:val="left"/>
        </w:tabs>
        <w:numPr>
          <w:ilvl w:val="0"/>
          <w:numId w:val="2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requirement that, if a nominating stockholder provides notice that it intends to solicit proxies in support of any proposed nominee in accordance with Rule 14a-19 and subsequently fails to comply with the requirements of the rule, or the evidentiary requirement in described the previous bullet, any proxies or votes for each such proposed nominee will be disregarded.</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Amended Bylaws are filed as Exhibit 3.2 to this report.</w:t>
      </w: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7"/>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7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664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The Separation and Distribution Agreement, dated as of November 2, 2021, by and between</w:t>
              </w:r>
            </w:hyperlink>
          </w:p>
        </w:tc>
        <w:tc>
          <w:tcPr>
            <w:tcW w:w="100" w:type="dxa"/>
            <w:vAlign w:val="bottom"/>
            <w:gridSpan w:val="3"/>
          </w:tcPr>
          <w:p>
            <w:pPr>
              <w:spacing w:after="0"/>
              <w:rPr>
                <w:sz w:val="16"/>
                <w:szCs w:val="16"/>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5"/>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International Business Machines Corporation and the registrant was filed as Exhibit 2.1 to</w:t>
              </w:r>
            </w:hyperlink>
          </w:p>
        </w:tc>
      </w:tr>
      <w:tr>
        <w:trPr>
          <w:trHeight w:val="196"/>
        </w:trPr>
        <w:tc>
          <w:tcPr>
            <w:tcW w:w="172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the registrant’s Current Report on Form 8-K filed on November 4, 2021, and is hereby</w:t>
              </w:r>
            </w:hyperlink>
          </w:p>
        </w:tc>
        <w:tc>
          <w:tcPr>
            <w:tcW w:w="260" w:type="dxa"/>
            <w:vAlign w:val="bottom"/>
            <w:tcBorders>
              <w:top w:val="single" w:sz="8" w:color="0000EE"/>
            </w:tcBorders>
            <w:gridSpan w:val="2"/>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incorporated by reference.</w:t>
              </w:r>
            </w:hyperlink>
          </w:p>
        </w:tc>
        <w:tc>
          <w:tcPr>
            <w:tcW w:w="4840" w:type="dxa"/>
            <w:vAlign w:val="bottom"/>
            <w:gridSpan w:val="13"/>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The Amended and Restated Certificate of Incorporation of the registrant was filed as Exhibit</w:t>
              </w:r>
            </w:hyperlink>
          </w:p>
        </w:tc>
        <w:tc>
          <w:tcPr>
            <w:tcW w:w="60" w:type="dxa"/>
            <w:vAlign w:val="bottom"/>
            <w:gridSpan w:val="2"/>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filed on November 4, 2021, and is hereby</w:t>
              </w:r>
            </w:hyperlink>
          </w:p>
        </w:tc>
        <w:tc>
          <w:tcPr>
            <w:tcW w:w="60" w:type="dxa"/>
            <w:vAlign w:val="bottom"/>
            <w:gridSpan w:val="2"/>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incorporated by reference.</w:t>
              </w:r>
            </w:hyperlink>
          </w:p>
        </w:tc>
        <w:tc>
          <w:tcPr>
            <w:tcW w:w="4840" w:type="dxa"/>
            <w:vAlign w:val="bottom"/>
            <w:gridSpan w:val="13"/>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7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The Amended and Restated Bylaws, effective January 25, 2023, of the registrant was filed as</w:t>
              </w:r>
            </w:hyperlink>
          </w:p>
        </w:tc>
        <w:tc>
          <w:tcPr>
            <w:tcW w:w="4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5"/>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Exhibit 3.1 to the registrant’s Current Report on Form 8-K filed on January 27, 2023, and is</w:t>
              </w:r>
            </w:hyperlink>
          </w:p>
        </w:tc>
      </w:tr>
      <w:tr>
        <w:trPr>
          <w:trHeight w:val="196"/>
        </w:trPr>
        <w:tc>
          <w:tcPr>
            <w:tcW w:w="1720" w:type="dxa"/>
            <w:vAlign w:val="bottom"/>
          </w:tcPr>
          <w:p>
            <w:pPr>
              <w:spacing w:after="0"/>
              <w:rPr>
                <w:sz w:val="17"/>
                <w:szCs w:val="17"/>
                <w:color w:val="auto"/>
              </w:rPr>
            </w:pPr>
          </w:p>
        </w:tc>
        <w:tc>
          <w:tcPr>
            <w:tcW w:w="66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hereby incorporated by reference.</w:t>
              </w:r>
            </w:hyperlink>
          </w:p>
        </w:tc>
        <w:tc>
          <w:tcPr>
            <w:tcW w:w="140" w:type="dxa"/>
            <w:vAlign w:val="bottom"/>
            <w:gridSpan w:val="4"/>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63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Second Amendment to Amended and Restated Receivables Purchase Agreement, dated</w:t>
            </w:r>
          </w:p>
        </w:tc>
        <w:tc>
          <w:tcPr>
            <w:tcW w:w="440" w:type="dxa"/>
            <w:vAlign w:val="bottom"/>
            <w:gridSpan w:val="7"/>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2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21, 2022, by and among Banco Santander S.A., Kyndryl, Inc. and Kyndryl</w:t>
            </w:r>
          </w:p>
        </w:tc>
        <w:tc>
          <w:tcPr>
            <w:tcW w:w="540" w:type="dxa"/>
            <w:vAlign w:val="bottom"/>
            <w:gridSpan w:val="9"/>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Holdings, Inc.</w:t>
            </w:r>
          </w:p>
        </w:tc>
      </w:tr>
      <w:tr>
        <w:trPr>
          <w:trHeight w:val="20"/>
        </w:trPr>
        <w:tc>
          <w:tcPr>
            <w:tcW w:w="17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5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Third Amendment to Amended and Restated Receivables Purchase Agreement, dated as of</w:t>
            </w:r>
          </w:p>
        </w:tc>
        <w:tc>
          <w:tcPr>
            <w:tcW w:w="180" w:type="dxa"/>
            <w:vAlign w:val="bottom"/>
            <w:gridSpan w:val="5"/>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December 21, 2022, by and among Banco Santander S.A., Kyndryl, Inc. and Kyndryl</w:t>
            </w:r>
          </w:p>
        </w:tc>
      </w:tr>
      <w:tr>
        <w:trPr>
          <w:trHeight w:val="196"/>
        </w:trPr>
        <w:tc>
          <w:tcPr>
            <w:tcW w:w="1720" w:type="dxa"/>
            <w:vAlign w:val="bottom"/>
          </w:tcPr>
          <w:p>
            <w:pPr>
              <w:spacing w:after="0"/>
              <w:rPr>
                <w:sz w:val="17"/>
                <w:szCs w:val="17"/>
                <w:color w:val="auto"/>
              </w:rPr>
            </w:pPr>
          </w:p>
        </w:tc>
        <w:tc>
          <w:tcPr>
            <w:tcW w:w="61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Holdings, Inc.</w:t>
            </w:r>
          </w:p>
        </w:tc>
        <w:tc>
          <w:tcPr>
            <w:tcW w:w="580" w:type="dxa"/>
            <w:vAlign w:val="bottom"/>
            <w:gridSpan w:val="10"/>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7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302 of the Sarbanes-Oxley</w:t>
            </w:r>
          </w:p>
        </w:tc>
      </w:tr>
      <w:tr>
        <w:trPr>
          <w:trHeight w:val="196"/>
        </w:trPr>
        <w:tc>
          <w:tcPr>
            <w:tcW w:w="1720" w:type="dxa"/>
            <w:vAlign w:val="bottom"/>
          </w:tcPr>
          <w:p>
            <w:pPr>
              <w:spacing w:after="0"/>
              <w:rPr>
                <w:sz w:val="17"/>
                <w:szCs w:val="17"/>
                <w:color w:val="auto"/>
              </w:rPr>
            </w:pPr>
          </w:p>
        </w:tc>
        <w:tc>
          <w:tcPr>
            <w:tcW w:w="67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4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7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302 of the Sarbanes-Oxley</w:t>
            </w:r>
          </w:p>
        </w:tc>
      </w:tr>
      <w:tr>
        <w:trPr>
          <w:trHeight w:val="196"/>
        </w:trPr>
        <w:tc>
          <w:tcPr>
            <w:tcW w:w="1720" w:type="dxa"/>
            <w:vAlign w:val="bottom"/>
          </w:tcPr>
          <w:p>
            <w:pPr>
              <w:spacing w:after="0"/>
              <w:rPr>
                <w:sz w:val="17"/>
                <w:szCs w:val="17"/>
                <w:color w:val="auto"/>
              </w:rPr>
            </w:pPr>
          </w:p>
        </w:tc>
        <w:tc>
          <w:tcPr>
            <w:tcW w:w="66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100" w:type="dxa"/>
            <w:vAlign w:val="bottom"/>
            <w:gridSpan w:val="3"/>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20" w:type="dxa"/>
            <w:vAlign w:val="bottom"/>
            <w:gridSpan w:val="11"/>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7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906 of the Sarbanes-Oxley</w:t>
            </w:r>
          </w:p>
        </w:tc>
      </w:tr>
      <w:tr>
        <w:trPr>
          <w:trHeight w:val="196"/>
        </w:trPr>
        <w:tc>
          <w:tcPr>
            <w:tcW w:w="17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Act of 2002 (furnished herewith)</w:t>
            </w:r>
          </w:p>
        </w:tc>
        <w:tc>
          <w:tcPr>
            <w:tcW w:w="4280" w:type="dxa"/>
            <w:vAlign w:val="bottom"/>
            <w:tcBorders>
              <w:top w:val="single" w:sz="8" w:color="0000EE"/>
            </w:tcBorders>
            <w:gridSpan w:val="10"/>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7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906 of the Sarbanes-Oxley</w:t>
            </w:r>
          </w:p>
        </w:tc>
      </w:tr>
      <w:tr>
        <w:trPr>
          <w:trHeight w:val="196"/>
        </w:trPr>
        <w:tc>
          <w:tcPr>
            <w:tcW w:w="17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Act of 2002 (furnished herewith)</w:t>
            </w:r>
          </w:p>
        </w:tc>
        <w:tc>
          <w:tcPr>
            <w:tcW w:w="4220" w:type="dxa"/>
            <w:vAlign w:val="bottom"/>
            <w:tcBorders>
              <w:top w:val="single" w:sz="8" w:color="0000EE"/>
            </w:tcBorders>
            <w:gridSpan w:val="8"/>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218"/>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on the Interactive Data</w:t>
            </w:r>
          </w:p>
        </w:tc>
      </w:tr>
      <w:tr>
        <w:trPr>
          <w:trHeight w:val="216"/>
        </w:trPr>
        <w:tc>
          <w:tcPr>
            <w:tcW w:w="1720" w:type="dxa"/>
            <w:vAlign w:val="bottom"/>
          </w:tcPr>
          <w:p>
            <w:pPr>
              <w:spacing w:after="0"/>
              <w:rPr>
                <w:sz w:val="18"/>
                <w:szCs w:val="18"/>
                <w:color w:val="auto"/>
              </w:rPr>
            </w:pPr>
          </w:p>
        </w:tc>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101.SCH</w:t>
            </w:r>
          </w:p>
        </w:tc>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101.CAL</w:t>
            </w:r>
          </w:p>
        </w:tc>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101.DEF</w:t>
            </w:r>
          </w:p>
        </w:tc>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w:t>
            </w:r>
          </w:p>
        </w:tc>
      </w:tr>
      <w:tr>
        <w:trPr>
          <w:trHeight w:val="234"/>
        </w:trPr>
        <w:tc>
          <w:tcPr>
            <w:tcW w:w="1720" w:type="dxa"/>
            <w:vAlign w:val="bottom"/>
          </w:tcPr>
          <w:p>
            <w:pPr>
              <w:spacing w:after="0"/>
              <w:rPr>
                <w:sz w:val="20"/>
                <w:szCs w:val="20"/>
                <w:color w:val="auto"/>
              </w:rPr>
            </w:pPr>
          </w:p>
        </w:tc>
        <w:tc>
          <w:tcPr>
            <w:tcW w:w="674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9"/>
              </w:rPr>
              <w:t>Interactive Data File because its XBRL tags are embedded within the Inline XBRL document</w:t>
            </w:r>
          </w:p>
        </w:tc>
      </w:tr>
    </w:tbl>
    <w:p>
      <w:pPr>
        <w:spacing w:after="0" w:line="19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17145</wp:posOffset>
            </wp:positionV>
            <wp:extent cx="27686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February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317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Vineet Khurana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88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Vineet Khurana</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 and Authorized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AMENDED AND RESTATED RECEIVABLES PURCHASE AGREEMENT</w:t>
      </w:r>
    </w:p>
    <w:p>
      <w:pPr>
        <w:spacing w:after="0" w:line="17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THIS SECOND AMENDMENT TO AMENDED AND RESTATED RECEIVABLES PURCHASE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September 21, 2022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by and among Banco Santander S.A. (“</w:t>
      </w:r>
      <w:r>
        <w:rPr>
          <w:rFonts w:ascii="Times New Roman" w:cs="Times New Roman" w:eastAsia="Times New Roman" w:hAnsi="Times New Roman"/>
          <w:sz w:val="22"/>
          <w:szCs w:val="22"/>
          <w:u w:val="single" w:color="auto"/>
          <w:color w:val="auto"/>
        </w:rPr>
        <w:t>Santander</w:t>
      </w:r>
      <w:r>
        <w:rPr>
          <w:rFonts w:ascii="Times New Roman" w:cs="Times New Roman" w:eastAsia="Times New Roman" w:hAnsi="Times New Roman"/>
          <w:sz w:val="22"/>
          <w:szCs w:val="22"/>
          <w:color w:val="auto"/>
        </w:rPr>
        <w:t>”), Kyndryl, Inc., a Delaware corporation (“</w:t>
      </w:r>
      <w:r>
        <w:rPr>
          <w:rFonts w:ascii="Times New Roman" w:cs="Times New Roman" w:eastAsia="Times New Roman" w:hAnsi="Times New Roman"/>
          <w:sz w:val="22"/>
          <w:szCs w:val="22"/>
          <w:u w:val="single" w:color="auto"/>
          <w:color w:val="auto"/>
        </w:rPr>
        <w:t>Kyndryl</w:t>
      </w:r>
      <w:r>
        <w:rPr>
          <w:rFonts w:ascii="Times New Roman" w:cs="Times New Roman" w:eastAsia="Times New Roman" w:hAnsi="Times New Roman"/>
          <w:sz w:val="22"/>
          <w:szCs w:val="22"/>
          <w:color w:val="auto"/>
        </w:rPr>
        <w:t xml:space="preserve"> ”), and Kyndryl Holdings Inc., a Delaware corporation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This Amendment amends that certain Amended and Restated Receivables Purchase Agreement, dated as of October 28, 2021, as amended by the First Amendment to Amended and Restated Receivables Purchase Agreement dated January 26, 2022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among, </w:t>
      </w:r>
      <w:r>
        <w:rPr>
          <w:rFonts w:ascii="Times New Roman" w:cs="Times New Roman" w:eastAsia="Times New Roman" w:hAnsi="Times New Roman"/>
          <w:sz w:val="22"/>
          <w:szCs w:val="22"/>
          <w:i w:val="1"/>
          <w:iCs w:val="1"/>
          <w:color w:val="auto"/>
        </w:rPr>
        <w:t>inter alia</w:t>
      </w:r>
      <w:r>
        <w:rPr>
          <w:rFonts w:ascii="Times New Roman" w:cs="Times New Roman" w:eastAsia="Times New Roman" w:hAnsi="Times New Roman"/>
          <w:sz w:val="22"/>
          <w:szCs w:val="22"/>
          <w:color w:val="auto"/>
        </w:rPr>
        <w:t>, Kyndryl, Santander, and solely for purposes of Section 13.19 thereof, Parent.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good and valuable consideration, the receipt and sufficiency of which are hereby acknowledged, the parties hereby agree as follows:</w:t>
      </w:r>
    </w:p>
    <w:p>
      <w:pPr>
        <w:spacing w:after="0" w:line="154" w:lineRule="exact"/>
        <w:rPr>
          <w:sz w:val="20"/>
          <w:szCs w:val="20"/>
          <w:color w:val="auto"/>
        </w:rPr>
      </w:pPr>
    </w:p>
    <w:p>
      <w:pPr>
        <w:ind w:firstLine="656"/>
        <w:spacing w:after="0" w:line="262" w:lineRule="auto"/>
        <w:tabs>
          <w:tab w:leader="none" w:pos="1296" w:val="left"/>
        </w:tabs>
        <w:numPr>
          <w:ilvl w:val="1"/>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Defined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initially capitalized terms used herein without definition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meanings ascribed thereto in the Agreement, as amended hereby.</w:t>
      </w:r>
    </w:p>
    <w:p>
      <w:pPr>
        <w:spacing w:after="0" w:line="14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 to the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Agreement is hereby amended as follows:</w:t>
      </w:r>
    </w:p>
    <w:p>
      <w:pPr>
        <w:spacing w:after="0" w:line="210" w:lineRule="exact"/>
        <w:rPr>
          <w:rFonts w:ascii="Times New Roman" w:cs="Times New Roman" w:eastAsia="Times New Roman" w:hAnsi="Times New Roman"/>
          <w:sz w:val="22"/>
          <w:szCs w:val="22"/>
          <w:b w:val="1"/>
          <w:bCs w:val="1"/>
          <w:color w:val="auto"/>
        </w:rPr>
      </w:pPr>
    </w:p>
    <w:p>
      <w:pPr>
        <w:ind w:right="20" w:firstLine="8"/>
        <w:spacing w:after="0" w:line="258" w:lineRule="auto"/>
        <w:tabs>
          <w:tab w:leader="none" w:pos="32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Section 2.2 of the Agreement (Purchase and Sale), subsection (c) is hereby amended by the deleting the phrase “owing by an Obligor (Committed)”.</w:t>
      </w:r>
    </w:p>
    <w:p>
      <w:pPr>
        <w:spacing w:after="0" w:line="158" w:lineRule="exact"/>
        <w:rPr>
          <w:rFonts w:ascii="Times New Roman" w:cs="Times New Roman" w:eastAsia="Times New Roman" w:hAnsi="Times New Roman"/>
          <w:sz w:val="22"/>
          <w:szCs w:val="22"/>
          <w:color w:val="auto"/>
        </w:rPr>
      </w:pPr>
    </w:p>
    <w:p>
      <w:pPr>
        <w:ind w:firstLine="8"/>
        <w:spacing w:after="0" w:line="258" w:lineRule="auto"/>
        <w:tabs>
          <w:tab w:leader="none" w:pos="32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Section 2.4 of the Agreement (Settlement; Certain Collection Matters; Obligor Notices), clause (A) of subsection (a) is hereby deleted in its entirety and replaced with the following:</w:t>
      </w:r>
    </w:p>
    <w:p>
      <w:pPr>
        <w:spacing w:after="0" w:line="158" w:lineRule="exact"/>
        <w:rPr>
          <w:sz w:val="20"/>
          <w:szCs w:val="20"/>
          <w:color w:val="auto"/>
        </w:rPr>
      </w:pPr>
    </w:p>
    <w:p>
      <w:pPr>
        <w:jc w:val="both"/>
        <w:ind w:left="660" w:hanging="4"/>
        <w:spacing w:after="0" w:line="239" w:lineRule="auto"/>
        <w:tabs>
          <w:tab w:leader="none" w:pos="1035"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amount of Purchased Collections (in each applicable currency) received by or on behalf of Kyndryl, any other Seller, or any Affiliate, agent or representative of any of them, that were not included in any prior Reconciliation Report and that were so received on or prior to the fifth Business Day preceding such Reconciliation Date and</w:t>
      </w:r>
    </w:p>
    <w:p>
      <w:pPr>
        <w:spacing w:after="0" w:line="180" w:lineRule="exact"/>
        <w:rPr>
          <w:rFonts w:ascii="Times New Roman" w:cs="Times New Roman" w:eastAsia="Times New Roman" w:hAnsi="Times New Roman"/>
          <w:sz w:val="22"/>
          <w:szCs w:val="22"/>
          <w:color w:val="auto"/>
        </w:rPr>
      </w:pPr>
    </w:p>
    <w:p>
      <w:pPr>
        <w:ind w:right="20" w:firstLine="8"/>
        <w:spacing w:after="0" w:line="258" w:lineRule="auto"/>
        <w:tabs>
          <w:tab w:leader="none" w:pos="32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Section 6.1 of the Agreement, subsection (a) is hereby amended by adding the following at the conclusion thereof:</w:t>
      </w:r>
    </w:p>
    <w:p>
      <w:pPr>
        <w:spacing w:after="0" w:line="158" w:lineRule="exact"/>
        <w:rPr>
          <w:sz w:val="20"/>
          <w:szCs w:val="20"/>
          <w:color w:val="auto"/>
        </w:rPr>
      </w:pPr>
    </w:p>
    <w:p>
      <w:pPr>
        <w:jc w:val="both"/>
        <w:ind w:left="660" w:hanging="4"/>
        <w:spacing w:after="0" w:line="244" w:lineRule="auto"/>
        <w:tabs>
          <w:tab w:leader="none" w:pos="121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in relation to Obligors (Uncommitted): i) the face amount of such Designated Receivables owed by the Obligor is at least equal to 3,000 USD in aggregate; ii) payment of such Designated Receivable is not made by a letter of credit.</w:t>
      </w:r>
    </w:p>
    <w:p>
      <w:pPr>
        <w:spacing w:after="0" w:line="17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Subsection 11.1(l) is hereby deleted and replaced in its entirety with the following:</w:t>
      </w:r>
    </w:p>
    <w:p>
      <w:pPr>
        <w:spacing w:after="0" w:line="206" w:lineRule="exact"/>
        <w:rPr>
          <w:rFonts w:ascii="Times New Roman" w:cs="Times New Roman" w:eastAsia="Times New Roman" w:hAnsi="Times New Roman"/>
          <w:sz w:val="22"/>
          <w:szCs w:val="22"/>
          <w:color w:val="auto"/>
        </w:rPr>
      </w:pPr>
    </w:p>
    <w:p>
      <w:pPr>
        <w:ind w:left="660" w:hanging="4"/>
        <w:spacing w:after="0" w:line="258" w:lineRule="auto"/>
        <w:tabs>
          <w:tab w:leader="none" w:pos="927"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Spin-Off Date, the long-term unsecured indebtedness credit rating of Parent is not at least BBB- or Baa3, as applicable, by S&amp;P or Moody’s (for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48" w:name="page49"/>
    <w:bookmarkEnd w:id="48"/>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avoidance of doubt, it is not a Purchaser Termination Event if either S&amp;P or Moody’s long-term unsecured indebtedness credit rating of Parent is at least BBB- or Baa3, as applicable);</w:t>
      </w:r>
    </w:p>
    <w:p>
      <w:pPr>
        <w:spacing w:after="0" w:line="158"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or (ii) at any time, the Parent at such time has no long-term unsecured indebtedness credit rating by S&amp;P or Moody’s (for the avoidance of doubt, it is not a Purchaser Termination Event if either S&amp;P or Moody’s provides a long-term unsecured indebtedness credit rating of the Parent).</w:t>
      </w:r>
    </w:p>
    <w:p>
      <w:pPr>
        <w:spacing w:after="0" w:line="173" w:lineRule="exact"/>
        <w:rPr>
          <w:sz w:val="20"/>
          <w:szCs w:val="20"/>
          <w:color w:val="auto"/>
        </w:rPr>
      </w:pPr>
    </w:p>
    <w:p>
      <w:pPr>
        <w:ind w:firstLine="8"/>
        <w:spacing w:after="0" w:line="258" w:lineRule="auto"/>
        <w:tabs>
          <w:tab w:leader="none" w:pos="32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paragraph of Section 13.16 of the Agreement (Amendments) is hereby deleted in its entirety and replaced with the following:</w:t>
      </w:r>
    </w:p>
    <w:p>
      <w:pPr>
        <w:spacing w:after="0" w:line="166"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1"/>
          <w:szCs w:val="21"/>
          <w:color w:val="auto"/>
        </w:rPr>
        <w:t xml:space="preserve">13.16 Amendments. Neither this Agreement nor any provision hereof may be amended, waived or discharged unless in a writing agreed by the Purchaser and Kyndryl; provided that (a) the Seller Schedule, Seller Accounts, Obligor Schedule, Performance Triggers and </w:t>
      </w:r>
      <w:r>
        <w:rPr>
          <w:rFonts w:ascii="Times New Roman" w:cs="Times New Roman" w:eastAsia="Times New Roman" w:hAnsi="Times New Roman"/>
          <w:sz w:val="21"/>
          <w:szCs w:val="21"/>
          <w:u w:val="single" w:color="auto"/>
          <w:color w:val="auto"/>
        </w:rPr>
        <w:t>the definition of Facility Limit</w:t>
      </w:r>
      <w:r>
        <w:rPr>
          <w:rFonts w:ascii="Times New Roman" w:cs="Times New Roman" w:eastAsia="Times New Roman" w:hAnsi="Times New Roman"/>
          <w:sz w:val="21"/>
          <w:szCs w:val="21"/>
          <w:color w:val="auto"/>
        </w:rPr>
        <w:t xml:space="preserve"> may be amended or otherwise modified from time to time by mutual consent delivered by each of Kyndryl and Purchaser through an exchange of emails among any one of the persons for each such party listed on Schedule 1 and (b) each of Schedule 1 (Addresses for Notices) and the Purchaser Accounts may be amended or otherwise modified from time to time by delivery of an email by either party (with respect to itself only and, in the case of Purchaser, its accounts) to the other party via email to any of the persons listed for such other party on Schedule 1. Any amendment will be effective (to the extent permitted by Applicable Law) with respect to all of the parties’ respective Affiliates that have entered into Participation Agreements without the additional requirement of any express written acknowledgement and/or acceptance by such Affiliates of the terms of such amendment, and shall take precedence over any conflicting terms in any Participation Agreement.</w:t>
      </w:r>
    </w:p>
    <w:p>
      <w:pPr>
        <w:spacing w:after="0" w:line="178" w:lineRule="exact"/>
        <w:rPr>
          <w:sz w:val="20"/>
          <w:szCs w:val="20"/>
          <w:color w:val="auto"/>
        </w:rPr>
      </w:pPr>
    </w:p>
    <w:p>
      <w:pPr>
        <w:ind w:firstLine="8"/>
        <w:spacing w:after="0" w:line="258" w:lineRule="auto"/>
        <w:tabs>
          <w:tab w:leader="none" w:pos="32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the following defined terms are hereby deleted in their entirety and replaced with the definitions set forth below:</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“Business Day” means any day that is not a Saturday, Sunday or other day on which commercial banks in New York City or Madrid are authorized or required by law to remain closed, and with respect to any payments in a specific currency, any other day on which such specific currency is not authorized to be traded.</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Expected Reconciliation Date</w:t>
      </w:r>
      <w:r>
        <w:rPr>
          <w:rFonts w:ascii="Times New Roman" w:cs="Times New Roman" w:eastAsia="Times New Roman" w:hAnsi="Times New Roman"/>
          <w:sz w:val="22"/>
          <w:szCs w:val="22"/>
          <w:color w:val="auto"/>
        </w:rPr>
        <w:t>” means, with respect to any Designated Receivable, the Reconciliation Date first occurring at least five (5) Business Days after the Expected Payment Date for such Designated Receivable (or such earlier date as the parties may otherwise agree, but any use of an earlier date will not set a course of dealing in any respect).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Limit” means 1,000,000,000.</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Reconciliation Date</w:t>
      </w:r>
      <w:r>
        <w:rPr>
          <w:rFonts w:ascii="Times New Roman" w:cs="Times New Roman" w:eastAsia="Times New Roman" w:hAnsi="Times New Roman"/>
          <w:sz w:val="22"/>
          <w:szCs w:val="22"/>
          <w:color w:val="auto"/>
        </w:rPr>
        <w:t>” means, for each calendar month as of the Amendment Effective Date, the twentieth (20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day of each calendar month; provided, if such day is not a Business Day, the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Business Day</w:t>
      </w:r>
    </w:p>
    <w:p>
      <w:pPr>
        <w:spacing w:after="0" w:line="206" w:lineRule="exact"/>
        <w:rPr>
          <w:sz w:val="20"/>
          <w:szCs w:val="20"/>
          <w:color w:val="auto"/>
        </w:rPr>
      </w:pPr>
    </w:p>
    <w:p>
      <w:pPr>
        <w:ind w:right="20" w:firstLine="8"/>
        <w:spacing w:after="0" w:line="258" w:lineRule="auto"/>
        <w:tabs>
          <w:tab w:leader="none" w:pos="32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the following shall be added at the end of the definition of “Initial Performance Trigger”:</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Initial Performance Trigger shall be measured as of the Business Day before the first Cut off Date of each calendar month.”</w:t>
      </w:r>
    </w:p>
    <w:p>
      <w:pPr>
        <w:spacing w:after="0" w:line="158"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the following new defined term is hereby added:</w:t>
      </w:r>
    </w:p>
    <w:p>
      <w:pPr>
        <w:spacing w:after="0" w:line="206" w:lineRule="exact"/>
        <w:rPr>
          <w:rFonts w:ascii="Times New Roman" w:cs="Times New Roman" w:eastAsia="Times New Roman" w:hAnsi="Times New Roman"/>
          <w:sz w:val="22"/>
          <w:szCs w:val="22"/>
          <w:color w:val="auto"/>
        </w:rPr>
      </w:pPr>
    </w:p>
    <w:p>
      <w:pPr>
        <w:ind w:firstLine="8"/>
        <w:spacing w:after="0" w:line="258" w:lineRule="auto"/>
        <w:tabs>
          <w:tab w:leader="none" w:pos="32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paragraph of Section 2 in Schedule 5 of the Agreement (Receivables Portfolio Performance Triggers) is hereby deleted in its entirety and replaced with the following:</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“Performance Triggers above, will be computed and measured as of the Business Day before the first Cut off Date of each calendar month and will be tested on a rolling 3 month basis.”</w:t>
      </w:r>
    </w:p>
    <w:p>
      <w:pPr>
        <w:spacing w:after="0" w:line="158" w:lineRule="exact"/>
        <w:rPr>
          <w:sz w:val="20"/>
          <w:szCs w:val="20"/>
          <w:color w:val="auto"/>
        </w:rPr>
      </w:pPr>
    </w:p>
    <w:p>
      <w:pPr>
        <w:jc w:val="both"/>
        <w:ind w:firstLine="8"/>
        <w:spacing w:after="0" w:line="238" w:lineRule="auto"/>
        <w:tabs>
          <w:tab w:leader="none" w:pos="32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from the Amendment Effective Date, any reference to US Dollar LIBOR for any relevant period commencing on or after the date hereof shall instead be read as a reference to the term SOFR reference rate administered by the CME Group Benchmark Administration Limited (CBA) (or any other Person that takes over the administration of such benchmark rate) for such period as Santander, acting reasonably, may consider most appropriate.</w:t>
      </w:r>
    </w:p>
    <w:p>
      <w:pPr>
        <w:spacing w:after="0" w:line="172" w:lineRule="exact"/>
        <w:rPr>
          <w:rFonts w:ascii="Times New Roman" w:cs="Times New Roman" w:eastAsia="Times New Roman" w:hAnsi="Times New Roman"/>
          <w:sz w:val="22"/>
          <w:szCs w:val="22"/>
          <w:color w:val="auto"/>
        </w:rPr>
      </w:pPr>
    </w:p>
    <w:p>
      <w:pPr>
        <w:ind w:firstLine="656"/>
        <w:spacing w:after="0" w:line="262" w:lineRule="auto"/>
        <w:tabs>
          <w:tab w:leader="none" w:pos="1296"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Parent and Kyndryl hereby represents and warrants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Amendment Effective Date as follows:</w:t>
      </w:r>
    </w:p>
    <w:p>
      <w:pPr>
        <w:spacing w:after="0" w:line="154" w:lineRule="exact"/>
        <w:rPr>
          <w:sz w:val="20"/>
          <w:szCs w:val="20"/>
          <w:color w:val="auto"/>
        </w:rPr>
      </w:pPr>
    </w:p>
    <w:p>
      <w:pPr>
        <w:jc w:val="both"/>
        <w:ind w:firstLine="8"/>
        <w:spacing w:after="0" w:line="236" w:lineRule="auto"/>
        <w:tabs>
          <w:tab w:leader="none" w:pos="48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immediately before and immediately after giving effect to this Amendment, the representations and warranties set forth in the Agreement and each other Transaction Document (including, without limitation, each Participation Agreement executed on or prior to the date hereof) are true and correct on and as of the date hereof, as though made on the date hereof (except to the extent that such representations and warranties expressly relate solely to an earlier date, in which case such representations and warranties shall be true and correct as of such earlier date).</w:t>
      </w:r>
    </w:p>
    <w:p>
      <w:pPr>
        <w:spacing w:after="0" w:line="181" w:lineRule="exact"/>
        <w:rPr>
          <w:rFonts w:ascii="Times New Roman" w:cs="Times New Roman" w:eastAsia="Times New Roman" w:hAnsi="Times New Roman"/>
          <w:sz w:val="22"/>
          <w:szCs w:val="22"/>
          <w:color w:val="auto"/>
        </w:rPr>
      </w:pPr>
    </w:p>
    <w:p>
      <w:pPr>
        <w:jc w:val="both"/>
        <w:ind w:firstLine="8"/>
        <w:spacing w:after="0" w:line="235" w:lineRule="auto"/>
        <w:tabs>
          <w:tab w:leader="none" w:pos="48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notice to or the consent, acceptance, acknowledgement or approval of any Seller (other than Kyndryl) is required pursuant to the applicable Participation Agreement to which it is party to effectuate any amendment to or modification of the Agreement, as incorporated by reference into such Participation Agreement, such Seller has received such notice or provided such consent, acceptance, acknowledgement or approval (collectively, the “</w:t>
      </w: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and Kyndryl is executing this Agreement on behalf of itself and each such other Seller. Kyndryl will provide a copy of this Agreement to each other Seller (whether or not consent hereto is required by any such other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50" w:name="page51"/>
    <w:bookmarkEnd w:id="50"/>
    <w:p>
      <w:pPr>
        <w:jc w:val="both"/>
        <w:ind w:firstLine="8"/>
        <w:spacing w:after="0" w:line="239" w:lineRule="auto"/>
        <w:tabs>
          <w:tab w:leader="none" w:pos="4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immediately before and immediately after giving effect to this Amendment, the representations and warranties set forth in subsections (b) though (i) of Section 6.1 of the Agreement are true and correct with respect to Parent in connection with its obligations under Section 13.19 of the Agreement, as if each reference in such representations and warranties to “Seller” were a reference to “Parent” for purposes hereof.</w:t>
      </w:r>
    </w:p>
    <w:p>
      <w:pPr>
        <w:spacing w:after="0" w:line="180" w:lineRule="exact"/>
        <w:rPr>
          <w:rFonts w:ascii="Times New Roman" w:cs="Times New Roman" w:eastAsia="Times New Roman" w:hAnsi="Times New Roman"/>
          <w:sz w:val="22"/>
          <w:szCs w:val="22"/>
          <w:color w:val="auto"/>
        </w:rPr>
      </w:pPr>
    </w:p>
    <w:p>
      <w:pPr>
        <w:jc w:val="both"/>
        <w:ind w:firstLine="8"/>
        <w:spacing w:after="0" w:line="234" w:lineRule="auto"/>
        <w:tabs>
          <w:tab w:leader="none" w:pos="4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Parent, Kyndryl and each other Seller has the organizational power and authority to execute (if applicable) and be bound by the terms and provisions of this Amendment (and any applicable Required Consent to which any other Seller is a signatory) and each of them has taken all necessary organizational action to authorize and approve the execution and delivery (to the extent applicable) and performance of this Amendment and the Agreement, as amended hereby (and, in the case of each Seller other than Kyndryl, as the Agreement, as amended hereby, is incorporated into the Participation Agreement to which it is a party), and the foregoing constitutes the legal, valid, and binding obligation of such party, enforceable against such party in accordance with its terms, except as the enforceability thereof may be limited by bankruptcy, insolvency or similar laws affecting creditors’ rights generally and subject to general principles of equity.</w:t>
      </w:r>
    </w:p>
    <w:p>
      <w:pPr>
        <w:spacing w:after="0" w:line="183" w:lineRule="exact"/>
        <w:rPr>
          <w:rFonts w:ascii="Times New Roman" w:cs="Times New Roman" w:eastAsia="Times New Roman" w:hAnsi="Times New Roman"/>
          <w:sz w:val="22"/>
          <w:szCs w:val="22"/>
          <w:color w:val="auto"/>
        </w:rPr>
      </w:pPr>
    </w:p>
    <w:p>
      <w:pPr>
        <w:jc w:val="both"/>
        <w:ind w:firstLine="8"/>
        <w:spacing w:after="0" w:line="244" w:lineRule="auto"/>
        <w:tabs>
          <w:tab w:leader="none" w:pos="48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Triggering Event, Purchaser Termination Event, or event that with the giving of notice, or lapse of time or both would give rise to a Triggering Event or Purchaser Termination Event has occurred, in each such case, both immediately before and immediately after giving effect to this Amendment.</w:t>
      </w:r>
    </w:p>
    <w:p>
      <w:pPr>
        <w:spacing w:after="0" w:line="173"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Insolvency Event has occurred with respect to Parent, Kyndryl or any other Seller.</w:t>
      </w:r>
    </w:p>
    <w:p>
      <w:pPr>
        <w:spacing w:after="0" w:line="202" w:lineRule="exact"/>
        <w:rPr>
          <w:sz w:val="20"/>
          <w:szCs w:val="20"/>
          <w:color w:val="auto"/>
        </w:rPr>
      </w:pPr>
    </w:p>
    <w:p>
      <w:pPr>
        <w:ind w:left="1300" w:hanging="644"/>
        <w:spacing w:after="0"/>
        <w:tabs>
          <w:tab w:leader="none" w:pos="1300" w:val="left"/>
        </w:tabs>
        <w:numPr>
          <w:ilvl w:val="1"/>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further agree to the following terms.</w:t>
      </w:r>
    </w:p>
    <w:p>
      <w:pPr>
        <w:spacing w:after="0" w:line="210" w:lineRule="exact"/>
        <w:rPr>
          <w:rFonts w:ascii="Times New Roman" w:cs="Times New Roman" w:eastAsia="Times New Roman" w:hAnsi="Times New Roman"/>
          <w:sz w:val="22"/>
          <w:szCs w:val="22"/>
          <w:b w:val="1"/>
          <w:bCs w:val="1"/>
          <w:color w:val="auto"/>
        </w:rPr>
      </w:pPr>
    </w:p>
    <w:p>
      <w:pPr>
        <w:jc w:val="both"/>
        <w:ind w:firstLine="8"/>
        <w:spacing w:after="0" w:line="247" w:lineRule="auto"/>
        <w:tabs>
          <w:tab w:leader="none" w:pos="48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effective solely for the specific purpose for which it is given and shall not create a course of dealing between the parties in any respect. The execution, delivery, and performance of this Amendment shall not operate, except as expressly set forth herein, as a waiver of, consent to, or a modification or amendment of, any right, power, or remedy of Purchaser under the Agreement, any Participation Agreement, or any other Transaction Document. Except for the amendments to the Agreement expressly set forth herein (and as the Agreement, as amended hereby, is incorporated by reference into each Participation Agreement), the Agreement, each Participation Agreement and each other Transaction Document shall remain unchanged and in full force and effect in accordance with their respective terms and are hereby ratified and confirmed in all respects.</w:t>
      </w:r>
    </w:p>
    <w:p>
      <w:pPr>
        <w:spacing w:after="0" w:line="171" w:lineRule="exact"/>
        <w:rPr>
          <w:rFonts w:ascii="Times New Roman" w:cs="Times New Roman" w:eastAsia="Times New Roman" w:hAnsi="Times New Roman"/>
          <w:sz w:val="21"/>
          <w:szCs w:val="21"/>
          <w:color w:val="auto"/>
        </w:rPr>
      </w:pPr>
    </w:p>
    <w:p>
      <w:pPr>
        <w:jc w:val="both"/>
        <w:ind w:firstLine="8"/>
        <w:spacing w:after="0" w:line="236" w:lineRule="auto"/>
        <w:tabs>
          <w:tab w:leader="none" w:pos="48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after the effectiveness of this Amendment, each reference in the Agreement to “this Agreement”, “hereunder”, “herein”, “hereof” or words of like import referring to the Agreement, and each reference in any Participation Agreement or any other Transaction Document to “the Receivables Purchase Agreement”, “the Amended and Restated Receivables Purchase Agreement”, “thereunder”, “therein”, “thereof” or words of like import referring to the Agreement, shall mean and be a reference to the Agreement as modified and amended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51" w:name="page52"/>
    <w:bookmarkEnd w:id="51"/>
    <w:p>
      <w:pPr>
        <w:jc w:val="both"/>
        <w:ind w:firstLine="8"/>
        <w:spacing w:after="0" w:line="236" w:lineRule="auto"/>
        <w:tabs>
          <w:tab w:leader="none" w:pos="4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the terms and provisions hereof, the Agreement (as amended hereby) and the other Transaction Documents (after giving effect to this Amendment) constitute the entire understanding and agreement between the parties hereto or thereto with respect to the subject matter hereof and thereof and supersede any and all prior or contemporaneous amendments or understandings with respect to the subject matter hereof, whether express or implied, oral or written. The terms and provisions of this Amendment shall prevail over any conflicting terms of any other Transaction Document.</w:t>
      </w:r>
    </w:p>
    <w:p>
      <w:pPr>
        <w:spacing w:after="0" w:line="181" w:lineRule="exact"/>
        <w:rPr>
          <w:rFonts w:ascii="Times New Roman" w:cs="Times New Roman" w:eastAsia="Times New Roman" w:hAnsi="Times New Roman"/>
          <w:sz w:val="22"/>
          <w:szCs w:val="22"/>
          <w:color w:val="auto"/>
        </w:rPr>
      </w:pPr>
    </w:p>
    <w:p>
      <w:pPr>
        <w:jc w:val="both"/>
        <w:ind w:firstLine="8"/>
        <w:spacing w:after="0" w:line="238" w:lineRule="auto"/>
        <w:tabs>
          <w:tab w:leader="none" w:pos="4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Parent and Kyndryl, on behalf of itself and each other Seller, hereby (i) reaffirms its obligations under each Transaction Document to which it is a party after giving effect to the terms and provisions of this Amendment and (ii) ratifies and reaffirms the validity, enforceability, perfection and first priority ownership interest of the Purchaser in, to and under each Purchased Receivable transferred pursuant to the Agreement or any Participation Agreement, as applicable.</w:t>
      </w:r>
    </w:p>
    <w:p>
      <w:pPr>
        <w:spacing w:after="0" w:line="176" w:lineRule="exact"/>
        <w:rPr>
          <w:rFonts w:ascii="Times New Roman" w:cs="Times New Roman" w:eastAsia="Times New Roman" w:hAnsi="Times New Roman"/>
          <w:sz w:val="22"/>
          <w:szCs w:val="22"/>
          <w:color w:val="auto"/>
        </w:rPr>
      </w:pPr>
    </w:p>
    <w:p>
      <w:pPr>
        <w:jc w:val="both"/>
        <w:ind w:firstLine="8"/>
        <w:spacing w:after="0" w:line="244" w:lineRule="auto"/>
        <w:tabs>
          <w:tab w:leader="none" w:pos="4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73" w:lineRule="exact"/>
        <w:rPr>
          <w:rFonts w:ascii="Times New Roman" w:cs="Times New Roman" w:eastAsia="Times New Roman" w:hAnsi="Times New Roman"/>
          <w:sz w:val="22"/>
          <w:szCs w:val="22"/>
          <w:color w:val="auto"/>
        </w:rPr>
      </w:pPr>
    </w:p>
    <w:p>
      <w:pPr>
        <w:jc w:val="both"/>
        <w:ind w:firstLine="8"/>
        <w:spacing w:after="0" w:line="244" w:lineRule="auto"/>
        <w:tabs>
          <w:tab w:leader="none" w:pos="4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SECTIONS 13.9, 13.10 AND 13.11 OF THE AGREEMENT (GOVERNING LAW, SUBMISSION TO JURISDICTION AND WAIVER OF JURY TRIAL) ARE HEREBY INCORPORATED HEREIN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MUTANDIS </w:t>
      </w:r>
      <w:r>
        <w:rPr>
          <w:rFonts w:ascii="Times New Roman" w:cs="Times New Roman" w:eastAsia="Times New Roman" w:hAnsi="Times New Roman"/>
          <w:sz w:val="22"/>
          <w:szCs w:val="22"/>
          <w:color w:val="auto"/>
        </w:rPr>
        <w:t>AS IF SET FORTH IN FULL HEREIN.</w:t>
      </w:r>
    </w:p>
    <w:p>
      <w:pPr>
        <w:spacing w:after="0" w:line="173" w:lineRule="exact"/>
        <w:rPr>
          <w:rFonts w:ascii="Times New Roman" w:cs="Times New Roman" w:eastAsia="Times New Roman" w:hAnsi="Times New Roman"/>
          <w:sz w:val="22"/>
          <w:szCs w:val="22"/>
          <w:color w:val="auto"/>
        </w:rPr>
      </w:pPr>
    </w:p>
    <w:p>
      <w:pPr>
        <w:jc w:val="both"/>
        <w:ind w:firstLine="8"/>
        <w:spacing w:after="0" w:line="238" w:lineRule="auto"/>
        <w:tabs>
          <w:tab w:leader="none" w:pos="48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and by different parties hereto in separate counterparts, each of which, when executed and delivered, shall be deemed to be an original, and all of which, taken together, shall constitute but one and the same agreement. Delivery of an executed counterpart of this Amendment by facsimile or other electronic method of transmission shall be equally effective as delivery of an original executed counterpart of this Amendment.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and delivered as of the date first above written.</w:t>
      </w:r>
    </w:p>
    <w:p>
      <w:pPr>
        <w:spacing w:after="0" w:line="38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BANCO SANTANDER S.A., as Purchaser</w:t>
      </w:r>
    </w:p>
    <w:p>
      <w:pPr>
        <w:spacing w:after="0" w:line="200" w:lineRule="exact"/>
        <w:rPr>
          <w:sz w:val="20"/>
          <w:szCs w:val="20"/>
          <w:color w:val="auto"/>
        </w:rPr>
      </w:pPr>
    </w:p>
    <w:p>
      <w:pPr>
        <w:spacing w:after="0" w:line="276" w:lineRule="exact"/>
        <w:rPr>
          <w:sz w:val="20"/>
          <w:szCs w:val="20"/>
          <w:color w:val="auto"/>
        </w:rPr>
      </w:pP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Antia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10795</wp:posOffset>
            </wp:positionV>
            <wp:extent cx="27260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Antia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-3810</wp:posOffset>
            </wp:positionV>
            <wp:extent cx="27260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-3810</wp:posOffset>
            </wp:positionV>
            <wp:extent cx="27260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Ignacio Frutos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10795</wp:posOffset>
            </wp:positionV>
            <wp:extent cx="27260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Ignacio Frutos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-3810</wp:posOffset>
            </wp:positionV>
            <wp:extent cx="27260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-3810</wp:posOffset>
            </wp:positionV>
            <wp:extent cx="27260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Second Amendment to Amended and Restated Receivables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53" w:name="page54"/>
    <w:bookmarkEnd w:id="53"/>
    <w:p>
      <w:pPr>
        <w:ind w:left="4520"/>
        <w:spacing w:after="0"/>
        <w:rPr>
          <w:sz w:val="20"/>
          <w:szCs w:val="20"/>
          <w:color w:val="auto"/>
        </w:rPr>
      </w:pPr>
      <w:r>
        <w:rPr>
          <w:rFonts w:ascii="Times New Roman" w:cs="Times New Roman" w:eastAsia="Times New Roman" w:hAnsi="Times New Roman"/>
          <w:sz w:val="22"/>
          <w:szCs w:val="22"/>
          <w:color w:val="auto"/>
        </w:rPr>
        <w:t>KYNDRYL, INC., as Seller</w:t>
      </w:r>
    </w:p>
    <w:p>
      <w:pPr>
        <w:spacing w:after="0" w:line="200" w:lineRule="exact"/>
        <w:rPr>
          <w:sz w:val="20"/>
          <w:szCs w:val="20"/>
          <w:color w:val="auto"/>
        </w:rPr>
      </w:pPr>
    </w:p>
    <w:p>
      <w:pPr>
        <w:spacing w:after="0" w:line="276" w:lineRule="exact"/>
        <w:rPr>
          <w:sz w:val="20"/>
          <w:szCs w:val="20"/>
          <w:color w:val="auto"/>
        </w:rPr>
      </w:pPr>
    </w:p>
    <w:p>
      <w:pPr>
        <w:ind w:left="4520"/>
        <w:spacing w:after="0"/>
        <w:tabs>
          <w:tab w:leader="none" w:pos="5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Evan Barth</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 Evan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-158115</wp:posOffset>
            </wp:positionV>
            <wp:extent cx="27260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160" w:hanging="639"/>
        <w:spacing w:after="0" w:line="248" w:lineRule="auto"/>
        <w:tabs>
          <w:tab w:leader="none" w:pos="5140" w:val="left"/>
        </w:tabs>
        <w:rPr>
          <w:sz w:val="20"/>
          <w:szCs w:val="20"/>
          <w:color w:val="auto"/>
        </w:rPr>
      </w:pPr>
      <w:r>
        <w:rPr>
          <w:rFonts w:ascii="Times New Roman" w:cs="Times New Roman" w:eastAsia="Times New Roman" w:hAnsi="Times New Roman"/>
          <w:sz w:val="22"/>
          <w:szCs w:val="22"/>
          <w:color w:val="auto"/>
        </w:rPr>
        <w:t>Title:</w:t>
        <w:tab/>
        <w:t>VP, Associate General Counsel and 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-12065</wp:posOffset>
            </wp:positionV>
            <wp:extent cx="27260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-328930</wp:posOffset>
            </wp:positionV>
            <wp:extent cx="27260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89" w:lineRule="exact"/>
        <w:rPr>
          <w:sz w:val="20"/>
          <w:szCs w:val="20"/>
          <w:color w:val="auto"/>
        </w:rPr>
      </w:pPr>
    </w:p>
    <w:p>
      <w:pPr>
        <w:ind w:left="4520"/>
        <w:spacing w:after="0" w:line="282" w:lineRule="auto"/>
        <w:rPr>
          <w:sz w:val="20"/>
          <w:szCs w:val="20"/>
          <w:color w:val="auto"/>
        </w:rPr>
      </w:pPr>
      <w:r>
        <w:rPr>
          <w:rFonts w:ascii="Times New Roman" w:cs="Times New Roman" w:eastAsia="Times New Roman" w:hAnsi="Times New Roman"/>
          <w:sz w:val="21"/>
          <w:szCs w:val="21"/>
          <w:color w:val="auto"/>
        </w:rPr>
        <w:t>Kyndryl Holdings Inc., solely for purposes of Section 13.19 of the Receivables Purchase Agreement, as Parent</w:t>
      </w:r>
    </w:p>
    <w:p>
      <w:pPr>
        <w:spacing w:after="0" w:line="162" w:lineRule="exact"/>
        <w:rPr>
          <w:sz w:val="20"/>
          <w:szCs w:val="20"/>
          <w:color w:val="auto"/>
        </w:rPr>
      </w:pPr>
    </w:p>
    <w:p>
      <w:pPr>
        <w:ind w:left="4520"/>
        <w:spacing w:after="0"/>
        <w:tabs>
          <w:tab w:leader="none" w:pos="5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Evan Barth</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 Evan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-158115</wp:posOffset>
            </wp:positionV>
            <wp:extent cx="27260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160" w:hanging="639"/>
        <w:spacing w:after="0" w:line="248" w:lineRule="auto"/>
        <w:tabs>
          <w:tab w:leader="none" w:pos="5140" w:val="left"/>
        </w:tabs>
        <w:rPr>
          <w:sz w:val="20"/>
          <w:szCs w:val="20"/>
          <w:color w:val="auto"/>
        </w:rPr>
      </w:pPr>
      <w:r>
        <w:rPr>
          <w:rFonts w:ascii="Times New Roman" w:cs="Times New Roman" w:eastAsia="Times New Roman" w:hAnsi="Times New Roman"/>
          <w:sz w:val="22"/>
          <w:szCs w:val="22"/>
          <w:color w:val="auto"/>
        </w:rPr>
        <w:t>Title:</w:t>
        <w:tab/>
        <w:t>VP, Associate General Counsel and 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904875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-12065</wp:posOffset>
            </wp:positionV>
            <wp:extent cx="27260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-328930</wp:posOffset>
            </wp:positionV>
            <wp:extent cx="27260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ectPr>
          <w:pgSz w:w="11900" w:h="16838" w:orient="portrait"/>
          <w:cols w:equalWidth="0" w:num="1">
            <w:col w:w="9460"/>
          </w:cols>
          <w:pgMar w:left="1440" w:top="1125" w:right="9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AMENDED AND RESTATED RECEIVABLES PURCHASE AGREEMENT</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THIS THIRD AMENDMENT TO AMENDED AND RESTATED RECEIVABLES PURCHASE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dated as of December 21, 2022 (the “</w:t>
      </w:r>
      <w:r>
        <w:rPr>
          <w:rFonts w:ascii="Times New Roman" w:cs="Times New Roman" w:eastAsia="Times New Roman" w:hAnsi="Times New Roman"/>
          <w:sz w:val="21"/>
          <w:szCs w:val="21"/>
          <w:u w:val="single" w:color="auto"/>
          <w:color w:val="auto"/>
        </w:rPr>
        <w:t>Amendment Effective Date</w:t>
      </w:r>
      <w:r>
        <w:rPr>
          <w:rFonts w:ascii="Times New Roman" w:cs="Times New Roman" w:eastAsia="Times New Roman" w:hAnsi="Times New Roman"/>
          <w:sz w:val="21"/>
          <w:szCs w:val="21"/>
          <w:color w:val="auto"/>
        </w:rPr>
        <w: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entered into by and among Banco Santander S.A. (“</w:t>
      </w:r>
      <w:r>
        <w:rPr>
          <w:rFonts w:ascii="Times New Roman" w:cs="Times New Roman" w:eastAsia="Times New Roman" w:hAnsi="Times New Roman"/>
          <w:sz w:val="21"/>
          <w:szCs w:val="21"/>
          <w:u w:val="single" w:color="auto"/>
          <w:color w:val="auto"/>
        </w:rPr>
        <w:t>Santander</w:t>
      </w:r>
      <w:r>
        <w:rPr>
          <w:rFonts w:ascii="Times New Roman" w:cs="Times New Roman" w:eastAsia="Times New Roman" w:hAnsi="Times New Roman"/>
          <w:sz w:val="21"/>
          <w:szCs w:val="21"/>
          <w:color w:val="auto"/>
        </w:rPr>
        <w:t>”), Kyndryl, Inc., a Delaware corporation (“</w:t>
      </w:r>
      <w:r>
        <w:rPr>
          <w:rFonts w:ascii="Times New Roman" w:cs="Times New Roman" w:eastAsia="Times New Roman" w:hAnsi="Times New Roman"/>
          <w:sz w:val="21"/>
          <w:szCs w:val="21"/>
          <w:u w:val="single" w:color="auto"/>
          <w:color w:val="auto"/>
        </w:rPr>
        <w:t>Kyndryl</w:t>
      </w:r>
      <w:r>
        <w:rPr>
          <w:rFonts w:ascii="Times New Roman" w:cs="Times New Roman" w:eastAsia="Times New Roman" w:hAnsi="Times New Roman"/>
          <w:sz w:val="21"/>
          <w:szCs w:val="21"/>
          <w:color w:val="auto"/>
        </w:rPr>
        <w:t xml:space="preserve"> ”), and Kyndryl Holdings Inc., a Delaware corporation (“</w:t>
      </w:r>
      <w:r>
        <w:rPr>
          <w:rFonts w:ascii="Times New Roman" w:cs="Times New Roman" w:eastAsia="Times New Roman" w:hAnsi="Times New Roman"/>
          <w:sz w:val="21"/>
          <w:szCs w:val="21"/>
          <w:u w:val="single" w:color="auto"/>
          <w:color w:val="auto"/>
        </w:rPr>
        <w:t>Parent</w:t>
      </w:r>
      <w:r>
        <w:rPr>
          <w:rFonts w:ascii="Times New Roman" w:cs="Times New Roman" w:eastAsia="Times New Roman" w:hAnsi="Times New Roman"/>
          <w:sz w:val="21"/>
          <w:szCs w:val="21"/>
          <w:color w:val="auto"/>
        </w:rPr>
        <w:t>”). This Amendment amends that certain Amended and Restated Receivables Purchase Agreement, dated as of October 28, 2021, as amended by the First Amendment to Amended and Restated Receivables Purchase Agreement dated January 26, 2022, and the Second Amendment to Amended and Restated Receivables Purchase Agreement dated September 21, 2022 (collectively,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xml:space="preserve">”), among,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Kyndryl, Santander, and solely for purposes of Section 13.19 thereof, Parent.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good and valuable consideration, the receipt and sufficiency of which are hereby acknowledged, the parties hereby agree as follows:</w:t>
      </w:r>
    </w:p>
    <w:p>
      <w:pPr>
        <w:spacing w:after="0" w:line="154" w:lineRule="exact"/>
        <w:rPr>
          <w:sz w:val="20"/>
          <w:szCs w:val="20"/>
          <w:color w:val="auto"/>
        </w:rPr>
      </w:pPr>
    </w:p>
    <w:p>
      <w:pPr>
        <w:ind w:firstLine="656"/>
        <w:spacing w:after="0" w:line="262" w:lineRule="auto"/>
        <w:tabs>
          <w:tab w:leader="none" w:pos="1296"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Defined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initially capitalized terms used herein without definition shall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meanings ascribed thereto in the Agreement, as amended hereby.</w:t>
      </w:r>
    </w:p>
    <w:p>
      <w:pPr>
        <w:spacing w:after="0" w:line="14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 to the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Agreement is hereby amended as follows:</w:t>
      </w:r>
    </w:p>
    <w:p>
      <w:pPr>
        <w:spacing w:after="0" w:line="210" w:lineRule="exact"/>
        <w:rPr>
          <w:rFonts w:ascii="Times New Roman" w:cs="Times New Roman" w:eastAsia="Times New Roman" w:hAnsi="Times New Roman"/>
          <w:sz w:val="22"/>
          <w:szCs w:val="22"/>
          <w:b w:val="1"/>
          <w:bCs w:val="1"/>
          <w:color w:val="auto"/>
        </w:rPr>
      </w:pPr>
    </w:p>
    <w:p>
      <w:pPr>
        <w:ind w:left="340" w:hanging="332"/>
        <w:spacing w:after="0"/>
        <w:tabs>
          <w:tab w:leader="none" w:pos="3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2.1 of the Agreement is hereby deleted and replaced in its entirety with the following:</w:t>
      </w:r>
    </w:p>
    <w:p>
      <w:pPr>
        <w:spacing w:after="0" w:line="206"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Committed Facility; Facility Limit.</w:t>
      </w:r>
      <w:r>
        <w:rPr>
          <w:rFonts w:ascii="Times New Roman" w:cs="Times New Roman" w:eastAsia="Times New Roman" w:hAnsi="Times New Roman"/>
          <w:sz w:val="22"/>
          <w:szCs w:val="22"/>
          <w:color w:val="auto"/>
        </w:rPr>
        <w:t xml:space="preserve"> Subject to the terms and conditions of this Agreement, Purchaser agrees to provide the Facility to the Sellers from time to time during the Availability Period; provided, that in no event shall the Aggregate EPP Balance exceed the Facility Limit at any time. Subject to the terms and conditions herein set forth and in accordance with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hereof, (a) the Purchaser is committed to purchase Receivables hereunder solely with respect to EPP Receivables of an Obligor (Committed) up to the Obligor EPP Limit for such Obligor and (b) the Purchaser may, on an uncommitted basis, purchase Receivables, in the Purchaser’s sole discretion, with respect to (i) EPP Receivables of an Obligor (Uncommitted) up to the Obligor EPP Limit for such Obligor and (ii) Non-EPP Receivables of any Obligor up to the Obligor Non-EPP Limit for such Obligor. If the daily average Aggregate EPP Balance for any successive three-month period falls below the Facility Limit Threshold, Purchaser, in its sole discretion, shall be entitled to reduce the Facility Limit down to not less than 10% above such daily average Aggregate EPP Balance or such higher amount the Purchaser selects,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Purchaser shall provide Kyndryl notice of such reduction at least thirty (30) days prior to the reduction of the Facility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491490</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55" w:name="page56"/>
    <w:bookmarkEnd w:id="55"/>
    <w:p>
      <w:pPr>
        <w:jc w:val="both"/>
        <w:ind w:firstLine="8"/>
        <w:spacing w:after="0" w:line="246" w:lineRule="auto"/>
        <w:tabs>
          <w:tab w:leader="none" w:pos="324"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Subsections (a) and (b) of Section 2.2 of the Agreement are hereby amended as follows: (a) the phrase “</w:t>
      </w:r>
      <w:r>
        <w:rPr>
          <w:rFonts w:ascii="Times New Roman" w:cs="Times New Roman" w:eastAsia="Times New Roman" w:hAnsi="Times New Roman"/>
          <w:sz w:val="21"/>
          <w:szCs w:val="21"/>
          <w:i w:val="1"/>
          <w:iCs w:val="1"/>
          <w:color w:val="auto"/>
        </w:rPr>
        <w:t>(EPP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Receivables Only)</w:t>
      </w:r>
      <w:r>
        <w:rPr>
          <w:rFonts w:ascii="Times New Roman" w:cs="Times New Roman" w:eastAsia="Times New Roman" w:hAnsi="Times New Roman"/>
          <w:sz w:val="21"/>
          <w:szCs w:val="21"/>
          <w:color w:val="auto"/>
        </w:rPr>
        <w:t>” is hereby added at the end of the heading for each such subsection, (b) each reference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“Designated Receivable” in any such subsection is hereby replaced with a reference to “Designated EPP Receivable” (for both the singular and plural forms), (c) each reference to a “Specification” (including in the first reference to such term in which such term is defined) in any such subsection is hereby replaced with a reference to an “EPP Specification” (for both the singular and plural forms), (d) each reference to “Obligor Limit” in each such subsection is hereby replaced with a reference to “Obligor EPP Limit”, (e) each reference to “Outstanding Obligor Balance” in each such subsection is hereby replaced with a reference to “Outstanding Obligor EPP Balance”, and (f) the phrase “the aggregate amount of outstanding Purchased Receivables for all Obligors” in the last sentence of such subsection (a) is hereby replaced with the phrase “the Aggregate EPP Balance”.</w:t>
      </w:r>
    </w:p>
    <w:p>
      <w:pPr>
        <w:spacing w:after="0" w:line="174" w:lineRule="exact"/>
        <w:rPr>
          <w:rFonts w:ascii="Times New Roman" w:cs="Times New Roman" w:eastAsia="Times New Roman" w:hAnsi="Times New Roman"/>
          <w:sz w:val="21"/>
          <w:szCs w:val="21"/>
          <w:color w:val="auto"/>
        </w:rPr>
      </w:pPr>
    </w:p>
    <w:p>
      <w:pPr>
        <w:ind w:right="20" w:firstLine="8"/>
        <w:spacing w:after="0" w:line="258" w:lineRule="auto"/>
        <w:tabs>
          <w:tab w:leader="none" w:pos="3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2.2 of the Agreement is hereby further amended to delete subsections (c), (d) and (e) therefrom and replace such subsections in their entirety with the following:</w:t>
      </w:r>
    </w:p>
    <w:p>
      <w:pPr>
        <w:spacing w:after="0" w:line="154" w:lineRule="exact"/>
        <w:rPr>
          <w:rFonts w:ascii="Times New Roman" w:cs="Times New Roman" w:eastAsia="Times New Roman" w:hAnsi="Times New Roman"/>
          <w:sz w:val="22"/>
          <w:szCs w:val="22"/>
          <w:color w:val="auto"/>
        </w:rPr>
      </w:pPr>
    </w:p>
    <w:p>
      <w:pPr>
        <w:jc w:val="both"/>
        <w:ind w:left="740" w:hanging="3"/>
        <w:spacing w:after="0" w:line="244" w:lineRule="auto"/>
        <w:tabs>
          <w:tab w:leader="none" w:pos="1088"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Additional Quarterly Purchases</w:t>
      </w:r>
      <w:r>
        <w:rPr>
          <w:rFonts w:ascii="Times New Roman" w:cs="Times New Roman" w:eastAsia="Times New Roman" w:hAnsi="Times New Roman"/>
          <w:sz w:val="21"/>
          <w:szCs w:val="21"/>
          <w:color w:val="auto"/>
        </w:rPr>
        <w:t>. Solely for the final calendar month in any fiscal quarter of Seller,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Business Day after the applicable Cut Off Date for such calendar month with respect to either EPP Receivables or Non-EPP Receivables, as the case may be, and on or prior to the Approved Purchase Date for such calendar month, Seller may deliver one additional Specification to Purchaser for each Type (with respect to either Type, an “</w:t>
      </w:r>
      <w:r>
        <w:rPr>
          <w:rFonts w:ascii="Times New Roman" w:cs="Times New Roman" w:eastAsia="Times New Roman" w:hAnsi="Times New Roman"/>
          <w:sz w:val="21"/>
          <w:szCs w:val="21"/>
          <w:u w:val="single" w:color="auto"/>
          <w:color w:val="auto"/>
        </w:rPr>
        <w:t>End of Period Specification</w:t>
      </w:r>
      <w:r>
        <w:rPr>
          <w:rFonts w:ascii="Times New Roman" w:cs="Times New Roman" w:eastAsia="Times New Roman" w:hAnsi="Times New Roman"/>
          <w:sz w:val="21"/>
          <w:szCs w:val="21"/>
          <w:color w:val="auto"/>
        </w:rPr>
        <w:t xml:space="preserve">”), but solely if (i) all Designated Receivables listed thereon are Eligible Receivables, (ii) after giving effect to the purchase of all Designated Receivables to be purchased on such Approved Purchase Date (under both End of Period Specifications and other Specifications for such calendar month), (A) the Aggregate EPP Balance does not exceed the Facility Limit, (B) the Outstanding Obligor EPP Balance of each Obligor does not exceed the Obligor EPP Limit of such Obligor, and (C) the Outstanding Obligor Non-EPP Balance of each Obligor does not exceed the Obligor Non-EPP Limit of such Obligor, and (iii) all conditions precedent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2.7</w:t>
      </w:r>
      <w:r>
        <w:rPr>
          <w:rFonts w:ascii="Times New Roman" w:cs="Times New Roman" w:eastAsia="Times New Roman" w:hAnsi="Times New Roman"/>
          <w:sz w:val="21"/>
          <w:szCs w:val="21"/>
          <w:color w:val="auto"/>
        </w:rPr>
        <w:t xml:space="preserve"> will be satisfied on the applicable Approved Purchase Date. Subject to the foregoing, the Purchaser will purchase the Designated Receivables set forth on any End of Period Specification for either Type for any such final calendar month of the fiscal quarter, but solely in accordance with the process set forth in </w:t>
      </w:r>
      <w:r>
        <w:rPr>
          <w:rFonts w:ascii="Times New Roman" w:cs="Times New Roman" w:eastAsia="Times New Roman" w:hAnsi="Times New Roman"/>
          <w:sz w:val="21"/>
          <w:szCs w:val="21"/>
          <w:u w:val="single" w:color="auto"/>
          <w:color w:val="auto"/>
        </w:rPr>
        <w:t>Section 2.2(e)</w:t>
      </w:r>
      <w:r>
        <w:rPr>
          <w:rFonts w:ascii="Times New Roman" w:cs="Times New Roman" w:eastAsia="Times New Roman" w:hAnsi="Times New Roman"/>
          <w:sz w:val="21"/>
          <w:szCs w:val="21"/>
          <w:color w:val="auto"/>
        </w:rPr>
        <w:t>. Seller has provided its fiscal calendar to Purchaser as of the Closing Date and shall provide to Purchaser notice of any changes thereto promptly after any such changes are made.</w:t>
      </w:r>
    </w:p>
    <w:p>
      <w:pPr>
        <w:spacing w:after="0" w:line="175" w:lineRule="exact"/>
        <w:rPr>
          <w:rFonts w:ascii="Times New Roman" w:cs="Times New Roman" w:eastAsia="Times New Roman" w:hAnsi="Times New Roman"/>
          <w:sz w:val="21"/>
          <w:szCs w:val="21"/>
          <w:color w:val="auto"/>
        </w:rPr>
      </w:pPr>
    </w:p>
    <w:p>
      <w:pPr>
        <w:jc w:val="both"/>
        <w:ind w:left="740" w:hanging="3"/>
        <w:spacing w:after="0" w:line="237" w:lineRule="auto"/>
        <w:tabs>
          <w:tab w:leader="none" w:pos="118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Purchase Price Payments</w:t>
      </w:r>
      <w:r>
        <w:rPr>
          <w:rFonts w:ascii="Times New Roman" w:cs="Times New Roman" w:eastAsia="Times New Roman" w:hAnsi="Times New Roman"/>
          <w:sz w:val="22"/>
          <w:szCs w:val="22"/>
          <w:color w:val="auto"/>
        </w:rPr>
        <w:t>. Provided that Seller is in material compliance with the terms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and subject to the satisfaction of the conditions precedent set forth in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on the Approved Purchase Date for each applicable calendar month, the Purchaser will remit the aggregate Purchase Price in respect of all Accepted Receivables to the relevant Seller Account by wire transfer of immediately available funds, net of the portion of such aggregate Purchase Price applicable to any Designated Receivables (of either Type) set forth</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1" w:right="999" w:bottom="1440" w:gutter="0" w:footer="0" w:header="0"/>
        </w:sectPr>
      </w:pPr>
    </w:p>
    <w:bookmarkStart w:id="56" w:name="page57"/>
    <w:bookmarkEnd w:id="56"/>
    <w:p>
      <w:pPr>
        <w:ind w:left="740"/>
        <w:spacing w:after="0" w:line="258" w:lineRule="auto"/>
        <w:rPr>
          <w:sz w:val="20"/>
          <w:szCs w:val="20"/>
          <w:color w:val="auto"/>
        </w:rPr>
      </w:pPr>
      <w:r>
        <w:rPr>
          <w:rFonts w:ascii="Times New Roman" w:cs="Times New Roman" w:eastAsia="Times New Roman" w:hAnsi="Times New Roman"/>
          <w:sz w:val="22"/>
          <w:szCs w:val="22"/>
          <w:color w:val="auto"/>
        </w:rPr>
        <w:t xml:space="preserve">on an End of Period Specification that are subject to payment by netting as described in </w:t>
      </w:r>
      <w:r>
        <w:rPr>
          <w:rFonts w:ascii="Times New Roman" w:cs="Times New Roman" w:eastAsia="Times New Roman" w:hAnsi="Times New Roman"/>
          <w:sz w:val="22"/>
          <w:szCs w:val="22"/>
          <w:u w:val="single" w:color="auto"/>
          <w:color w:val="auto"/>
        </w:rPr>
        <w:t>subsection (e)</w:t>
      </w:r>
      <w:r>
        <w:rPr>
          <w:rFonts w:ascii="Times New Roman" w:cs="Times New Roman" w:eastAsia="Times New Roman" w:hAnsi="Times New Roman"/>
          <w:sz w:val="22"/>
          <w:szCs w:val="22"/>
          <w:color w:val="auto"/>
        </w:rPr>
        <w:t xml:space="preserve"> of this Section.</w:t>
      </w:r>
    </w:p>
    <w:p>
      <w:pPr>
        <w:spacing w:after="0" w:line="154" w:lineRule="exact"/>
        <w:rPr>
          <w:sz w:val="20"/>
          <w:szCs w:val="20"/>
          <w:color w:val="auto"/>
        </w:rPr>
      </w:pPr>
    </w:p>
    <w:p>
      <w:pPr>
        <w:jc w:val="both"/>
        <w:ind w:left="740" w:hanging="3"/>
        <w:spacing w:after="0" w:line="244" w:lineRule="auto"/>
        <w:tabs>
          <w:tab w:leader="none" w:pos="1061"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Netting of Purchase Price for Additional Quarterly Purchases</w:t>
      </w:r>
      <w:r>
        <w:rPr>
          <w:rFonts w:ascii="Times New Roman" w:cs="Times New Roman" w:eastAsia="Times New Roman" w:hAnsi="Times New Roman"/>
          <w:sz w:val="21"/>
          <w:szCs w:val="21"/>
          <w:color w:val="auto"/>
        </w:rPr>
        <w:t>. Provided that Seller is in material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compliance with the terms of this Agreement and subject to the satisfaction of the conditions precedent set forth in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xml:space="preserve">, on the Approved Purchase Date for each applicable calendar month, the aggregate Purchase Price for any Designated Receivables (of either Type) set forth on an End of Period Specification delivered pursuant to (and in compliance with) </w:t>
      </w:r>
      <w:r>
        <w:rPr>
          <w:rFonts w:ascii="Times New Roman" w:cs="Times New Roman" w:eastAsia="Times New Roman" w:hAnsi="Times New Roman"/>
          <w:sz w:val="21"/>
          <w:szCs w:val="21"/>
          <w:u w:val="single" w:color="auto"/>
          <w:color w:val="auto"/>
        </w:rPr>
        <w:t>subsection (c)</w:t>
      </w:r>
      <w:r>
        <w:rPr>
          <w:rFonts w:ascii="Times New Roman" w:cs="Times New Roman" w:eastAsia="Times New Roman" w:hAnsi="Times New Roman"/>
          <w:sz w:val="21"/>
          <w:szCs w:val="21"/>
          <w:color w:val="auto"/>
        </w:rPr>
        <w:t xml:space="preserve"> of this Section shall be paid by the Purchaser solely as follows: (i) at the sole option of the Purchaser, all or any portion of such aggregate Purchase Price may be paid by remittance thereof in immediately available funds to the relevant Seller Account on such Approved Purchase Date in the manner (and subject to the terms) set forth in </w:t>
      </w:r>
      <w:r>
        <w:rPr>
          <w:rFonts w:ascii="Times New Roman" w:cs="Times New Roman" w:eastAsia="Times New Roman" w:hAnsi="Times New Roman"/>
          <w:sz w:val="21"/>
          <w:szCs w:val="21"/>
          <w:u w:val="single" w:color="auto"/>
          <w:color w:val="auto"/>
        </w:rPr>
        <w:t>subsection (d)</w:t>
      </w:r>
      <w:r>
        <w:rPr>
          <w:rFonts w:ascii="Times New Roman" w:cs="Times New Roman" w:eastAsia="Times New Roman" w:hAnsi="Times New Roman"/>
          <w:sz w:val="21"/>
          <w:szCs w:val="21"/>
          <w:color w:val="auto"/>
        </w:rPr>
        <w:t xml:space="preserve"> of this Section and (ii) for all or any portion of such aggregate Purchase Price not paid by the Purchaser in the manner set forth in the foregoing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payment thereof shall be made solely by the Seller netting such amount on such Approved Purchase Date against actual collections on Purchased Receivables (of either Type) that are held by the Seller for the account of the Purchaser at such time. In the event that the Purchaser notifies the Seller that the Seller has netted an incorrect and excessive amount as the aggregate Purchase Price for any such Designated Receivables (of either Type) in accordance with this </w:t>
      </w:r>
      <w:r>
        <w:rPr>
          <w:rFonts w:ascii="Times New Roman" w:cs="Times New Roman" w:eastAsia="Times New Roman" w:hAnsi="Times New Roman"/>
          <w:sz w:val="21"/>
          <w:szCs w:val="21"/>
          <w:u w:val="single" w:color="auto"/>
          <w:color w:val="auto"/>
        </w:rPr>
        <w:t>subsection (e)</w:t>
      </w:r>
      <w:r>
        <w:rPr>
          <w:rFonts w:ascii="Times New Roman" w:cs="Times New Roman" w:eastAsia="Times New Roman" w:hAnsi="Times New Roman"/>
          <w:sz w:val="21"/>
          <w:szCs w:val="21"/>
          <w:color w:val="auto"/>
        </w:rPr>
        <w:t>, the Seller shall return to the Purchaser, on or prior to the next Cut Off Date for such Type, any such excess amounts set forth in such notice absent demonstrable error.</w:t>
      </w:r>
    </w:p>
    <w:p>
      <w:pPr>
        <w:spacing w:after="0" w:line="179" w:lineRule="exact"/>
        <w:rPr>
          <w:rFonts w:ascii="Times New Roman" w:cs="Times New Roman" w:eastAsia="Times New Roman" w:hAnsi="Times New Roman"/>
          <w:sz w:val="21"/>
          <w:szCs w:val="21"/>
          <w:color w:val="auto"/>
        </w:rPr>
      </w:pPr>
    </w:p>
    <w:p>
      <w:pPr>
        <w:ind w:firstLine="8"/>
        <w:spacing w:after="0" w:line="258" w:lineRule="auto"/>
        <w:tabs>
          <w:tab w:leader="none" w:pos="32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2.2 of the Agreement is hereby further amended by adding the following new subsection (h) at the conclusion thereof:</w:t>
      </w:r>
    </w:p>
    <w:p>
      <w:pPr>
        <w:spacing w:after="0" w:line="154" w:lineRule="exact"/>
        <w:rPr>
          <w:rFonts w:ascii="Times New Roman" w:cs="Times New Roman" w:eastAsia="Times New Roman" w:hAnsi="Times New Roman"/>
          <w:sz w:val="22"/>
          <w:szCs w:val="22"/>
          <w:color w:val="auto"/>
        </w:rPr>
      </w:pPr>
    </w:p>
    <w:p>
      <w:pPr>
        <w:jc w:val="both"/>
        <w:ind w:left="660" w:hanging="4"/>
        <w:spacing w:after="0" w:line="246" w:lineRule="auto"/>
        <w:tabs>
          <w:tab w:leader="none" w:pos="103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Regular Monthly Purchases (Non-EPP Receivables Only)</w:t>
      </w:r>
      <w:r>
        <w:rPr>
          <w:rFonts w:ascii="Times New Roman" w:cs="Times New Roman" w:eastAsia="Times New Roman" w:hAnsi="Times New Roman"/>
          <w:sz w:val="22"/>
          <w:szCs w:val="22"/>
          <w:color w:val="auto"/>
        </w:rPr>
        <w:t>. Subject to the terms and conditions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from time to time during the Availability Period, the Seller may offer, and the Purchaser in its sole discretion may purchase, Non-EPP Receivables in accordance with the following procedures:</w:t>
      </w:r>
    </w:p>
    <w:p>
      <w:pPr>
        <w:spacing w:after="0" w:line="171" w:lineRule="exact"/>
        <w:rPr>
          <w:rFonts w:ascii="Times New Roman" w:cs="Times New Roman" w:eastAsia="Times New Roman" w:hAnsi="Times New Roman"/>
          <w:sz w:val="22"/>
          <w:szCs w:val="22"/>
          <w:color w:val="auto"/>
        </w:rPr>
      </w:pPr>
    </w:p>
    <w:p>
      <w:pPr>
        <w:jc w:val="both"/>
        <w:ind w:left="1140" w:hanging="484"/>
        <w:spacing w:after="0" w:line="234" w:lineRule="auto"/>
        <w:tabs>
          <w:tab w:leader="none" w:pos="114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seventh (7</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calendar day of any calendar month during the Availability Period, the Seller may deliver (including via email) to the Purchaser a preliminary indicative file in a form mutually agreed by Kyndryl and Purchaser (each such file, an “</w:t>
      </w:r>
      <w:r>
        <w:rPr>
          <w:rFonts w:ascii="Times New Roman" w:cs="Times New Roman" w:eastAsia="Times New Roman" w:hAnsi="Times New Roman"/>
          <w:sz w:val="22"/>
          <w:szCs w:val="22"/>
          <w:u w:val="single" w:color="auto"/>
          <w:color w:val="auto"/>
        </w:rPr>
        <w:t>Indicative Non-EPP Receivables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File</w:t>
      </w:r>
      <w:r>
        <w:rPr>
          <w:rFonts w:ascii="Times New Roman" w:cs="Times New Roman" w:eastAsia="Times New Roman" w:hAnsi="Times New Roman"/>
          <w:sz w:val="22"/>
          <w:szCs w:val="22"/>
          <w:color w:val="auto"/>
        </w:rPr>
        <w:t>”) setting forth a preliminary list of Obligors and face amount of Non-EPP Receivables owing by each such Obligor to be offered for sale in such calendar month (and such other information as is mutually agreed by the Purchaser and Kyndryl). Within ten (10) calendar days of receipt by the Purchaser of an Indicative Non-EPP Receivables File delivered by Seller on a timely basis pursuant to the preceding sentence, Purchaser shall provide a preliminary indication of interest (the “</w:t>
      </w:r>
      <w:r>
        <w:rPr>
          <w:rFonts w:ascii="Times New Roman" w:cs="Times New Roman" w:eastAsia="Times New Roman" w:hAnsi="Times New Roman"/>
          <w:sz w:val="22"/>
          <w:szCs w:val="22"/>
          <w:u w:val="single" w:color="auto"/>
          <w:color w:val="auto"/>
        </w:rPr>
        <w:t>Indicative Purchaser Response</w:t>
      </w:r>
      <w:r>
        <w:rPr>
          <w:rFonts w:ascii="Times New Roman" w:cs="Times New Roman" w:eastAsia="Times New Roman" w:hAnsi="Times New Roman"/>
          <w:sz w:val="22"/>
          <w:szCs w:val="22"/>
          <w:color w:val="auto"/>
        </w:rPr>
        <w:t>”) to Seller. On or prior to the second (2</w:t>
      </w:r>
      <w:r>
        <w:rPr>
          <w:rFonts w:ascii="Times New Roman" w:cs="Times New Roman" w:eastAsia="Times New Roman" w:hAnsi="Times New Roman"/>
          <w:sz w:val="16"/>
          <w:szCs w:val="16"/>
          <w:color w:val="auto"/>
        </w:rPr>
        <w:t>nd</w:t>
      </w:r>
      <w:r>
        <w:rPr>
          <w:rFonts w:ascii="Times New Roman" w:cs="Times New Roman" w:eastAsia="Times New Roman" w:hAnsi="Times New Roman"/>
          <w:sz w:val="22"/>
          <w:szCs w:val="22"/>
          <w:color w:val="auto"/>
        </w:rPr>
        <w:t>) Business Day after receipt by Seller 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57" w:name="page58"/>
    <w:bookmarkEnd w:id="57"/>
    <w:p>
      <w:pPr>
        <w:jc w:val="both"/>
        <w:ind w:left="680"/>
        <w:spacing w:after="0" w:line="239" w:lineRule="auto"/>
        <w:rPr>
          <w:sz w:val="20"/>
          <w:szCs w:val="20"/>
          <w:color w:val="auto"/>
        </w:rPr>
      </w:pPr>
      <w:r>
        <w:rPr>
          <w:rFonts w:ascii="Times New Roman" w:cs="Times New Roman" w:eastAsia="Times New Roman" w:hAnsi="Times New Roman"/>
          <w:sz w:val="22"/>
          <w:szCs w:val="22"/>
          <w:color w:val="auto"/>
        </w:rPr>
        <w:t>an Indicative Purchaser Response (as extended in the reasonable discretion of the Purchaser for any calendar month, the “</w:t>
      </w:r>
      <w:r>
        <w:rPr>
          <w:rFonts w:ascii="Times New Roman" w:cs="Times New Roman" w:eastAsia="Times New Roman" w:hAnsi="Times New Roman"/>
          <w:sz w:val="22"/>
          <w:szCs w:val="22"/>
          <w:u w:val="single" w:color="auto"/>
          <w:color w:val="auto"/>
        </w:rPr>
        <w:t>Final Notice Date</w:t>
      </w:r>
      <w:r>
        <w:rPr>
          <w:rFonts w:ascii="Times New Roman" w:cs="Times New Roman" w:eastAsia="Times New Roman" w:hAnsi="Times New Roman"/>
          <w:sz w:val="22"/>
          <w:szCs w:val="22"/>
          <w:color w:val="auto"/>
        </w:rPr>
        <w:t>”), the Seller shall deliver (including via email) to the Purchaser an updated Indicative Non-EPP Receivables File or confirmation that there are no changes to the previously delivered Indicative Non-EPP Receivables File for such calendar month.</w:t>
      </w:r>
    </w:p>
    <w:p>
      <w:pPr>
        <w:spacing w:after="0" w:line="180" w:lineRule="exact"/>
        <w:rPr>
          <w:sz w:val="20"/>
          <w:szCs w:val="20"/>
          <w:color w:val="auto"/>
        </w:rPr>
      </w:pPr>
    </w:p>
    <w:p>
      <w:pPr>
        <w:jc w:val="both"/>
        <w:ind w:left="660" w:hanging="464"/>
        <w:spacing w:after="0" w:line="243" w:lineRule="auto"/>
        <w:tabs>
          <w:tab w:leader="none" w:pos="66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the most recent Indicative Non-EPP Receivables File delivered by the Seller on or prior to the Final Notice Date in any calendar month pursuant to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this subsection, the Purchaser will deliver (including via email) to Kyndryl on or prior to the applicable Cut Off Date for such calendar month, notification (for any calendar month, as updated by the Purchaser in its sole discretion for such calendar month, a “</w:t>
      </w:r>
      <w:r>
        <w:rPr>
          <w:rFonts w:ascii="Times New Roman" w:cs="Times New Roman" w:eastAsia="Times New Roman" w:hAnsi="Times New Roman"/>
          <w:sz w:val="21"/>
          <w:szCs w:val="21"/>
          <w:u w:val="single" w:color="auto"/>
          <w:color w:val="auto"/>
        </w:rPr>
        <w:t>Non-EPP Obligor Information Notice</w:t>
      </w:r>
      <w:r>
        <w:rPr>
          <w:rFonts w:ascii="Times New Roman" w:cs="Times New Roman" w:eastAsia="Times New Roman" w:hAnsi="Times New Roman"/>
          <w:sz w:val="21"/>
          <w:szCs w:val="21"/>
          <w:color w:val="auto"/>
        </w:rPr>
        <w:t xml:space="preserve">”) with respect to the following, as determined in the sole discretion of the Purchaser: (A) which (if any) Obligors set forth on such Indicative Non-EPP Receivables File are approved by the Purchaser as an “Eligible Obligor” for such calendar month, (B) the Obligor Non-EPP Purchase Limit for such calendar month for each such Eligible Obligor, (C) the Maximum Tenor of the Non-EPP Receivables for each such Eligible Obligor for such calendar month, (D) the Buffer Period for each such Eligible Obligor for such calendar month, (E) such other information of the type set forth in the Obligor Schedule (with respect to EPP Receivables), as applicable to the Non-EPP Receivables of any such Eligible Obligor for such calendar month, and (F) the applicable Margin;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if the Margin is not included on any Non-EPP Obligor Information Notice, it will be the applicable Margin most recently specified by the Purchaser (and references herein to the Margin set forth on any such Non-EPP Obligor Information Notice will be deemed to refer to such most recently provided Margin). At any time and from time to time, promptly upon the Purchaser determining that there will be a change in any Non-EPP Obligor Information Notice for any calendar month, the Purchaser shall deliver (including via email) to the Seller an updated Non-EPP Obligor Information Notice for such calendar month adding to, deleting from, or otherwise modifying the information set forth therein. Any notices delivered pursuant to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this subsection or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may be delivered via an email from or to (as applicable) any of the persons identified with respect to Purchaser or Kyndryl (on behalf of itself and the other Sellers), as applicable, on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(Addresses for Notices) that apply with respect to changes to the Obligor Schedule or in any other manner permitted hereunder.</w:t>
      </w:r>
    </w:p>
    <w:p>
      <w:pPr>
        <w:spacing w:after="0" w:line="179" w:lineRule="exact"/>
        <w:rPr>
          <w:rFonts w:ascii="Times New Roman" w:cs="Times New Roman" w:eastAsia="Times New Roman" w:hAnsi="Times New Roman"/>
          <w:sz w:val="21"/>
          <w:szCs w:val="21"/>
          <w:color w:val="auto"/>
        </w:rPr>
      </w:pPr>
    </w:p>
    <w:p>
      <w:pPr>
        <w:jc w:val="both"/>
        <w:ind w:left="680" w:hanging="484"/>
        <w:spacing w:after="0" w:line="236" w:lineRule="auto"/>
        <w:tabs>
          <w:tab w:leader="none" w:pos="6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applicable Cut Off Date with respect to Non-EPP Receivables for each calendar month during the Availability Period, the Seller may deliver (including via email) to the Purchaser a file in a form mutually agreed by Kyndryl and Purchaser listing the Designated Non-EPP Receivables owing by an Eligible Obligor for such calendar month (up to the Obligor Non-EPP Purchase Limit for each such Eligible Obligor for such calendar month) that are offered for sale hereunder by Seller for such calendar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5" w:right="999" w:bottom="1440" w:gutter="0" w:footer="0" w:header="0"/>
        </w:sectPr>
      </w:pPr>
    </w:p>
    <w:bookmarkStart w:id="58" w:name="page59"/>
    <w:bookmarkEnd w:id="58"/>
    <w:p>
      <w:pPr>
        <w:jc w:val="both"/>
        <w:ind w:left="680"/>
        <w:spacing w:after="0" w:line="232" w:lineRule="auto"/>
        <w:rPr>
          <w:sz w:val="20"/>
          <w:szCs w:val="20"/>
          <w:color w:val="auto"/>
        </w:rPr>
      </w:pPr>
      <w:r>
        <w:rPr>
          <w:rFonts w:ascii="Times New Roman" w:cs="Times New Roman" w:eastAsia="Times New Roman" w:hAnsi="Times New Roman"/>
          <w:sz w:val="22"/>
          <w:szCs w:val="22"/>
          <w:color w:val="auto"/>
        </w:rPr>
        <w:t>month (each such file, a “</w:t>
      </w:r>
      <w:r>
        <w:rPr>
          <w:rFonts w:ascii="Times New Roman" w:cs="Times New Roman" w:eastAsia="Times New Roman" w:hAnsi="Times New Roman"/>
          <w:sz w:val="22"/>
          <w:szCs w:val="22"/>
          <w:u w:val="single" w:color="auto"/>
          <w:color w:val="auto"/>
        </w:rPr>
        <w:t>Non-EPP Specification</w:t>
      </w:r>
      <w:r>
        <w:rPr>
          <w:rFonts w:ascii="Times New Roman" w:cs="Times New Roman" w:eastAsia="Times New Roman" w:hAnsi="Times New Roman"/>
          <w:sz w:val="22"/>
          <w:szCs w:val="22"/>
          <w:color w:val="auto"/>
        </w:rPr>
        <w:t xml:space="preserve">”), which Non-EPP Specification shall constitute a firm offer for sale of the Designated Non-EPP Receivables listed thereon at a Purchase Price determined based on the Margin set forth in the most recent Non-EPP Obligor Information Notice that has been delivered to the Seller by the Purchaser for such calendar month at such time. The Non-EPP Specification shall include, among other things, identification of the relevant Contract, applicable Eligible Obligor, invoice number, confirmed face amount and Payment Due Date for each such Designated Non-EPP Receivable. The Seller shall not submit any Non-EPP Specification hereunder for any calendar month unless all of the conditions precedent set forth in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will be satisfied on the applicable Purchase Date. If the Purchaser delivers to the Seller a new Non-EPP Obligor Information Notice for any calendar month after receipt of a Non-EPP Specification for such calendar month (or an End of Period Specification for Non-EPP Receivables for such calendar month), the Seller may, by written notice delivered (including by email) to the Purchaser as soon as reasonably practicable (and in any event prior to the Approved Purchase Date for such calendar month) do any of the following: (A) rescind such Non-EPP Specification, (B) affirm such Non-EPP Specification subject to the terms of the new Non-EPP Obligor Information Notice (as long as it is in compliance therewith), or (C) submit a new (replacement) Non-EPP Specification for such calendar month (or, if applicable, End of Period Specification for Non-EPP Receivables for such calendar month) based on such new Non-EPP Obligor Information Notice (in compliance with all requirements set forth in this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and, if applicable, </w:t>
      </w:r>
      <w:r>
        <w:rPr>
          <w:rFonts w:ascii="Times New Roman" w:cs="Times New Roman" w:eastAsia="Times New Roman" w:hAnsi="Times New Roman"/>
          <w:sz w:val="22"/>
          <w:szCs w:val="22"/>
          <w:u w:val="single" w:color="auto"/>
          <w:color w:val="auto"/>
        </w:rPr>
        <w:t>subsection (c)</w:t>
      </w:r>
      <w:r>
        <w:rPr>
          <w:rFonts w:ascii="Times New Roman" w:cs="Times New Roman" w:eastAsia="Times New Roman" w:hAnsi="Times New Roman"/>
          <w:sz w:val="22"/>
          <w:szCs w:val="22"/>
          <w:color w:val="auto"/>
        </w:rPr>
        <w:t xml:space="preserve"> of this Section), which shall constitute a firm offer for the sale of the Designated Non-EPP Receivables listed thereon at a Purchase Price determined based on the Margin set forth in such new Non-EPP Obligor Information Notice.</w:t>
      </w:r>
    </w:p>
    <w:p>
      <w:pPr>
        <w:spacing w:after="0" w:line="182" w:lineRule="exact"/>
        <w:rPr>
          <w:sz w:val="20"/>
          <w:szCs w:val="20"/>
          <w:color w:val="auto"/>
        </w:rPr>
      </w:pPr>
    </w:p>
    <w:p>
      <w:pPr>
        <w:jc w:val="both"/>
        <w:ind w:left="680" w:hanging="484"/>
        <w:spacing w:after="0" w:line="233" w:lineRule="auto"/>
        <w:tabs>
          <w:tab w:leader="none" w:pos="6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Approved Purchase Date for any calendar month, the Purchaser may, in its sole discretion, purchase any, all or none of such Designated Non-EPP Receivables listed on the applicable Non-EPP Specification for such calendar month. Without limiting the Purchaser’s sole discretion in determining whether or not to purchase any Non-EPP Receivables on any Approved Purchase Date (as set forth in the preceding sentence), Purchaser will use commercially reasonable efforts, subject to the conditions precedent set forth in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and the customary internal approvals of Purchaser and other operational and market factors, to specify in the Non-EPP Obligor Information Notice for any calendar month, an Obligor Non-EPP Purchase Limit for each Eligible Obligor for such calendar month in an amount equal to the amount of Non-EPP Receivables owing by such Eligible Obligor that Purchaser intends to purchase on the applicable Approved Purchase Date in such calendar month. The Purchaser will use commercially reasonable efforts to promptly notify the Seller if Purchaser believes it is reasonably likely to make any changes for any calendar month to the Non-EPP Obligor Information Notice previously delivered in such calendar month.</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55" w:right="999" w:bottom="1440" w:gutter="0" w:footer="0" w:header="0"/>
        </w:sectPr>
      </w:pPr>
    </w:p>
    <w:bookmarkStart w:id="59" w:name="page60"/>
    <w:bookmarkEnd w:id="59"/>
    <w:p>
      <w:pPr>
        <w:ind w:firstLine="8"/>
        <w:spacing w:after="0" w:line="258" w:lineRule="auto"/>
        <w:tabs>
          <w:tab w:leader="none" w:pos="32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Section 2.4 of the Agreement (Settlement; Certain Collection Matters; Obligor Notices), subsection (a) is hereby deleted in its entirety and replaced with the following:</w:t>
      </w:r>
    </w:p>
    <w:p>
      <w:pPr>
        <w:spacing w:after="0" w:line="158"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21"/>
          <w:szCs w:val="21"/>
          <w:color w:val="auto"/>
        </w:rPr>
        <w:t xml:space="preserve">(a)(i) On each Seller Perfect Payment Date, so long as no Purchaser Credit Event shall have occurred and be continuing, Seller shall remit to Purchaser an amount equal to the sum of all amounts contractually payable on all Purchased Receivables (other than Purchased Receivables for which the applicable Obligor is subject to an Insolvency Event or, at the discretion of Seller, any other Material Obligor Default that has occurred and is continuing) with an Expected Payment Date occurring during the Seller Perfect Payment Period ending on (and including) such Seller Perfect Payment Date (and, for the avoidance of doubt, for the Seller Perfect Payment Date occurring on January 10, 2023, with an Expected Payment Date occurring on or prior to January 10, 2023), but excluding any such amounts remitted to the Purchaser prior to such Seller Perfect Payment Date. On each Seller Perfect Payment Date, together with the remittance set forth in the preceding sentence, Seller shall provide Purchaser with the invoice identifiers for which such remittance has been made. For administrative convenience, Seller shall make such payment to Purchaser even if Seller has not yet collected from the Obligors all amounts contractually payable on such Purchased Receivables. With respect to (A) all Purchased Receivables if a Purchaser Credit Event shall have occurred and be continuing, (B) all Purchased Receivables for which the applicable Obligor is subject to an Insolvency Event or any other Material Obligor Default, solely if Seller has exercised its discretion to exclude the Purchased Receivables of such Obligor from payment of the amounts contractually payable thereon on any prior Seller Perfect Payment Date pursuant to the first sentence of this </w:t>
      </w:r>
      <w:r>
        <w:rPr>
          <w:rFonts w:ascii="Times New Roman" w:cs="Times New Roman" w:eastAsia="Times New Roman" w:hAnsi="Times New Roman"/>
          <w:sz w:val="21"/>
          <w:szCs w:val="21"/>
          <w:u w:val="single" w:color="auto"/>
          <w:color w:val="auto"/>
        </w:rPr>
        <w:t>clause (a)(i)</w:t>
      </w:r>
      <w:r>
        <w:rPr>
          <w:rFonts w:ascii="Times New Roman" w:cs="Times New Roman" w:eastAsia="Times New Roman" w:hAnsi="Times New Roman"/>
          <w:sz w:val="21"/>
          <w:szCs w:val="21"/>
          <w:color w:val="auto"/>
        </w:rPr>
        <w:t xml:space="preserve"> or Seller will exclude such Purchased Receivables therefrom on the next Seller Perfect Payment Date, and</w:t>
      </w:r>
    </w:p>
    <w:p>
      <w:pPr>
        <w:spacing w:after="0" w:line="15" w:lineRule="exact"/>
        <w:rPr>
          <w:sz w:val="20"/>
          <w:szCs w:val="20"/>
          <w:color w:val="auto"/>
        </w:rPr>
      </w:pPr>
    </w:p>
    <w:p>
      <w:pPr>
        <w:jc w:val="both"/>
        <w:ind w:left="660" w:hanging="4"/>
        <w:spacing w:after="0" w:line="242" w:lineRule="auto"/>
        <w:tabs>
          <w:tab w:leader="none" w:pos="101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Purchased Receivables for which any amount was returned to Seller pursuant to </w:t>
      </w:r>
      <w:r>
        <w:rPr>
          <w:rFonts w:ascii="Times New Roman" w:cs="Times New Roman" w:eastAsia="Times New Roman" w:hAnsi="Times New Roman"/>
          <w:sz w:val="21"/>
          <w:szCs w:val="21"/>
          <w:u w:val="single" w:color="auto"/>
          <w:color w:val="auto"/>
        </w:rPr>
        <w:t>Section 2.4(a)(ii)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2.4(a)(iii)</w:t>
      </w:r>
      <w:r>
        <w:rPr>
          <w:rFonts w:ascii="Times New Roman" w:cs="Times New Roman" w:eastAsia="Times New Roman" w:hAnsi="Times New Roman"/>
          <w:sz w:val="21"/>
          <w:szCs w:val="21"/>
          <w:color w:val="auto"/>
        </w:rPr>
        <w:t xml:space="preserve"> on or prior to such date, Seller shall remit to Purchaser the total amount of Purchased Collections (in each applicable currency) received thereon by or on behalf of Kyndryl, any other Seller or any Affiliate, agent or representative of any of them promptly upon receipt. In addition, with respect to all Early Payments received by or on behalf of Kyndryl, any other Seller or any Affiliate, agent or representative of any of them, Seller shall remit to Purchaser the amount of such Early Payments on the Seller Perfect Payment Date immediately following the Reconciliation Date first occurring after the end of the Seller Perfect Payment Period in which such Early Payments were so received. On or prior to each Reconciliation Date, Seller shall deliver a Reconciliation Report to Purchaser that shall (A) reconcile the Purchased Collections (inclusive of any Early Payments) with those amounts actually paid to Purchaser and (B) solely if requested in advance by Purchaser, the amount of any interest or fees due by an Obligor as a result of a late payment by such Obligor that were reduced or waived by Seller without the prior written consent of Purchaser pursuant to the proviso to </w:t>
      </w:r>
      <w:r>
        <w:rPr>
          <w:rFonts w:ascii="Times New Roman" w:cs="Times New Roman" w:eastAsia="Times New Roman" w:hAnsi="Times New Roman"/>
          <w:sz w:val="21"/>
          <w:szCs w:val="21"/>
          <w:u w:val="single" w:color="auto"/>
          <w:color w:val="auto"/>
        </w:rPr>
        <w:t>Section 8.2(a)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60" w:name="page61"/>
    <w:bookmarkEnd w:id="60"/>
    <w:p>
      <w:pPr>
        <w:jc w:val="both"/>
        <w:ind w:left="200" w:firstLine="64"/>
        <w:spacing w:after="0" w:line="232" w:lineRule="auto"/>
        <w:tabs>
          <w:tab w:leader="none" w:pos="59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Seller shall for any reason have made a payment to Purchaser in anticipation of the receipt by Seller of a payment from the applicable Obligor of such amount with respect to any Purchased Receivable and the payment of such amount has not been received by Seller from such Obligor on or prior to such time or if excess funds are paid by Seller to Purchaser as the result of a miscalculation by Seller or for any other reason (any of the foregoing, collectively, the “</w:t>
      </w:r>
      <w:r>
        <w:rPr>
          <w:rFonts w:ascii="Times New Roman" w:cs="Times New Roman" w:eastAsia="Times New Roman" w:hAnsi="Times New Roman"/>
          <w:sz w:val="22"/>
          <w:szCs w:val="22"/>
          <w:u w:val="single" w:color="auto"/>
          <w:color w:val="auto"/>
        </w:rPr>
        <w:t>Excess Funds</w:t>
      </w:r>
      <w:r>
        <w:rPr>
          <w:rFonts w:ascii="Times New Roman" w:cs="Times New Roman" w:eastAsia="Times New Roman" w:hAnsi="Times New Roman"/>
          <w:sz w:val="22"/>
          <w:szCs w:val="22"/>
          <w:color w:val="auto"/>
        </w:rPr>
        <w:t>”), then upon written demand (including via email) (the “</w:t>
      </w:r>
      <w:r>
        <w:rPr>
          <w:rFonts w:ascii="Times New Roman" w:cs="Times New Roman" w:eastAsia="Times New Roman" w:hAnsi="Times New Roman"/>
          <w:sz w:val="22"/>
          <w:szCs w:val="22"/>
          <w:u w:val="single" w:color="auto"/>
          <w:color w:val="auto"/>
        </w:rPr>
        <w:t>Demand Notice</w:t>
      </w:r>
      <w:r>
        <w:rPr>
          <w:rFonts w:ascii="Times New Roman" w:cs="Times New Roman" w:eastAsia="Times New Roman" w:hAnsi="Times New Roman"/>
          <w:sz w:val="22"/>
          <w:szCs w:val="22"/>
          <w:color w:val="auto"/>
        </w:rPr>
        <w:t>”) by Seller describing the basis of such demand in reasonable detail (with supporting documentation), Purchaser shall return to Seller the Excess Funds specified in such Demand Notice (the “</w:t>
      </w:r>
      <w:r>
        <w:rPr>
          <w:rFonts w:ascii="Times New Roman" w:cs="Times New Roman" w:eastAsia="Times New Roman" w:hAnsi="Times New Roman"/>
          <w:sz w:val="22"/>
          <w:szCs w:val="22"/>
          <w:u w:val="single" w:color="auto"/>
          <w:color w:val="auto"/>
        </w:rPr>
        <w:t>Demand Amount</w:t>
      </w:r>
      <w:r>
        <w:rPr>
          <w:rFonts w:ascii="Times New Roman" w:cs="Times New Roman" w:eastAsia="Times New Roman" w:hAnsi="Times New Roman"/>
          <w:sz w:val="22"/>
          <w:szCs w:val="22"/>
          <w:color w:val="auto"/>
        </w:rPr>
        <w:t>”) within ten (10) Business Days of receipt by Purchaser of such Demand Notice (“</w:t>
      </w:r>
      <w:r>
        <w:rPr>
          <w:rFonts w:ascii="Times New Roman" w:cs="Times New Roman" w:eastAsia="Times New Roman" w:hAnsi="Times New Roman"/>
          <w:sz w:val="22"/>
          <w:szCs w:val="22"/>
          <w:u w:val="single" w:color="auto"/>
          <w:color w:val="auto"/>
        </w:rPr>
        <w:t>Demand Payment Date</w:t>
      </w:r>
      <w:r>
        <w:rPr>
          <w:rFonts w:ascii="Times New Roman" w:cs="Times New Roman" w:eastAsia="Times New Roman" w:hAnsi="Times New Roman"/>
          <w:sz w:val="22"/>
          <w:szCs w:val="22"/>
          <w:color w:val="auto"/>
        </w:rPr>
        <w:t xml:space="preserve">”). If Seller is required at any time to return to any Obligor or to a trustee, receiver, liquidator, custodian or other similar official any portion of the payments made by such Obligor to Seller, or to any other Person, then Purchaser shall, on written demand (including via email) of Seller describing the basis of such demand in reasonable detail (with supporting documentation), as soon as reasonably practicable (but in any event within ten (10) Business Days after receipt of such written demand) return to Seller any such payments that had been theretofore transferred to Purchaser by Seller pursuant to </w:t>
      </w:r>
      <w:r>
        <w:rPr>
          <w:rFonts w:ascii="Times New Roman" w:cs="Times New Roman" w:eastAsia="Times New Roman" w:hAnsi="Times New Roman"/>
          <w:sz w:val="22"/>
          <w:szCs w:val="22"/>
          <w:u w:val="single" w:color="auto"/>
          <w:color w:val="auto"/>
        </w:rPr>
        <w:t>Section 2.4(a)(i)</w:t>
      </w:r>
      <w:r>
        <w:rPr>
          <w:rFonts w:ascii="Times New Roman" w:cs="Times New Roman" w:eastAsia="Times New Roman" w:hAnsi="Times New Roman"/>
          <w:sz w:val="22"/>
          <w:szCs w:val="22"/>
          <w:color w:val="auto"/>
        </w:rPr>
        <w:t>, but without interest or penalty on such payments (unless Seller is required to pay interest on such amounts to the Person recovering such payments, in which case Purchaser shall also pay such interest on such amounts to Seller).</w:t>
      </w:r>
    </w:p>
    <w:p>
      <w:pPr>
        <w:spacing w:after="0" w:line="189" w:lineRule="exact"/>
        <w:rPr>
          <w:rFonts w:ascii="Times New Roman" w:cs="Times New Roman" w:eastAsia="Times New Roman" w:hAnsi="Times New Roman"/>
          <w:sz w:val="22"/>
          <w:szCs w:val="22"/>
          <w:color w:val="auto"/>
        </w:rPr>
      </w:pPr>
    </w:p>
    <w:p>
      <w:pPr>
        <w:jc w:val="both"/>
        <w:ind w:left="200" w:hanging="4"/>
        <w:spacing w:after="0" w:line="236" w:lineRule="auto"/>
        <w:tabs>
          <w:tab w:leader="none" w:pos="605"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Purchaser has received payment with respect to any Purchased Receivable pursuant to the first sentence of </w:t>
      </w:r>
      <w:r>
        <w:rPr>
          <w:rFonts w:ascii="Times New Roman" w:cs="Times New Roman" w:eastAsia="Times New Roman" w:hAnsi="Times New Roman"/>
          <w:sz w:val="22"/>
          <w:szCs w:val="22"/>
          <w:u w:val="single" w:color="auto"/>
          <w:color w:val="auto"/>
        </w:rPr>
        <w:t>Section 2.4(a)(i)</w:t>
      </w:r>
      <w:r>
        <w:rPr>
          <w:rFonts w:ascii="Times New Roman" w:cs="Times New Roman" w:eastAsia="Times New Roman" w:hAnsi="Times New Roman"/>
          <w:sz w:val="22"/>
          <w:szCs w:val="22"/>
          <w:color w:val="auto"/>
        </w:rPr>
        <w:t xml:space="preserve"> and such Purchased Receivable remains unpaid for more than one hundred and twenty (120) days after the applicable Payment Due Date, then Purchaser shall return to Seller the Excess Funds without receiving a Demand Notice pursuant to </w:t>
      </w:r>
      <w:r>
        <w:rPr>
          <w:rFonts w:ascii="Times New Roman" w:cs="Times New Roman" w:eastAsia="Times New Roman" w:hAnsi="Times New Roman"/>
          <w:sz w:val="22"/>
          <w:szCs w:val="22"/>
          <w:u w:val="single" w:color="auto"/>
          <w:color w:val="auto"/>
        </w:rPr>
        <w:t>Section 2.4(a)(ii)</w:t>
      </w:r>
      <w:r>
        <w:rPr>
          <w:rFonts w:ascii="Times New Roman" w:cs="Times New Roman" w:eastAsia="Times New Roman" w:hAnsi="Times New Roman"/>
          <w:sz w:val="22"/>
          <w:szCs w:val="22"/>
          <w:color w:val="auto"/>
        </w:rPr>
        <w:t>, but with accompanying written notice (including via email) containing sufficient details for Seller to apply the Excess Funds to the relevant Purchased Receivable.</w:t>
      </w:r>
    </w:p>
    <w:p>
      <w:pPr>
        <w:spacing w:after="0" w:line="181" w:lineRule="exact"/>
        <w:rPr>
          <w:rFonts w:ascii="Times New Roman" w:cs="Times New Roman" w:eastAsia="Times New Roman" w:hAnsi="Times New Roman"/>
          <w:sz w:val="22"/>
          <w:szCs w:val="22"/>
          <w:color w:val="auto"/>
        </w:rPr>
      </w:pPr>
    </w:p>
    <w:p>
      <w:pPr>
        <w:jc w:val="both"/>
        <w:ind w:left="200" w:hanging="4"/>
        <w:spacing w:after="0" w:line="235" w:lineRule="auto"/>
        <w:tabs>
          <w:tab w:leader="none" w:pos="64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Standard Seller Provisions, Purchaser acknowledges that its sole sources of payments for Purchased Receivables themselves are the Purchased Collections and that Purchaser has no recourse to any Seller for any shortfall resulting from any Obligor’s failure to pay all or any portion of any Purchased Receivable when it is due and payable under the terms applicable thereto to the extent such Purchased Receivable is uncollectable on account of a Credit Risk Event, and any payment made by Seller to Purchaser in anticipation of the receipt of funds from any Obligor shall be for administrative convenience only.</w:t>
      </w:r>
    </w:p>
    <w:p>
      <w:pPr>
        <w:spacing w:after="0" w:line="183" w:lineRule="exact"/>
        <w:rPr>
          <w:rFonts w:ascii="Times New Roman" w:cs="Times New Roman" w:eastAsia="Times New Roman" w:hAnsi="Times New Roman"/>
          <w:sz w:val="22"/>
          <w:szCs w:val="22"/>
          <w:color w:val="auto"/>
        </w:rPr>
      </w:pPr>
    </w:p>
    <w:p>
      <w:pPr>
        <w:jc w:val="both"/>
        <w:ind w:left="200" w:hanging="4"/>
        <w:spacing w:after="0" w:line="239" w:lineRule="auto"/>
        <w:tabs>
          <w:tab w:leader="none" w:pos="55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be entitled to set off any Demand Amount owed by Purchaser to the Seller against any amounts owed by the Seller to Purchaser under this Agreement if such Demand Amount is not paid or otherwise satisfied on or prior to the related Demand Payment Date, upon written notice (including via email) to Purchaser with reasonable details. Purchaser shall be charged and agrees to pay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55" w:right="999" w:bottom="1440" w:gutter="0" w:footer="0" w:header="0"/>
        </w:sectPr>
      </w:pPr>
    </w:p>
    <w:bookmarkStart w:id="61" w:name="page62"/>
    <w:bookmarkEnd w:id="61"/>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 xml:space="preserve">interest on any Demand Amount not paid or otherwise satisfied on or prior to the related Demand Payment Date from and including the day after the Demand Payment Date to and including the date Seller receives payment thereof (or such obligation is otherwise satisfied through setoff) at a rate equal to SOFR as determined under </w:t>
      </w:r>
      <w:r>
        <w:rPr>
          <w:rFonts w:ascii="Times New Roman" w:cs="Times New Roman" w:eastAsia="Times New Roman" w:hAnsi="Times New Roman"/>
          <w:sz w:val="22"/>
          <w:szCs w:val="22"/>
          <w:u w:val="single" w:color="auto"/>
          <w:color w:val="auto"/>
        </w:rPr>
        <w:t>Schedule 4-A</w:t>
      </w:r>
      <w:r>
        <w:rPr>
          <w:rFonts w:ascii="Times New Roman" w:cs="Times New Roman" w:eastAsia="Times New Roman" w:hAnsi="Times New Roman"/>
          <w:sz w:val="22"/>
          <w:szCs w:val="22"/>
          <w:color w:val="auto"/>
        </w:rPr>
        <w:t xml:space="preserve"> (or the replacement benchmark therefor as determined under </w:t>
      </w:r>
      <w:r>
        <w:rPr>
          <w:rFonts w:ascii="Times New Roman" w:cs="Times New Roman" w:eastAsia="Times New Roman" w:hAnsi="Times New Roman"/>
          <w:sz w:val="22"/>
          <w:szCs w:val="22"/>
          <w:u w:val="single" w:color="auto"/>
          <w:color w:val="auto"/>
        </w:rPr>
        <w:t>Schedule 4-A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4-B</w:t>
      </w:r>
      <w:r>
        <w:rPr>
          <w:rFonts w:ascii="Times New Roman" w:cs="Times New Roman" w:eastAsia="Times New Roman" w:hAnsi="Times New Roman"/>
          <w:sz w:val="22"/>
          <w:szCs w:val="22"/>
          <w:color w:val="auto"/>
        </w:rPr>
        <w:t>) as of the Demand Payment Date (for overnight tenor).</w:t>
      </w:r>
    </w:p>
    <w:p>
      <w:pPr>
        <w:spacing w:after="0" w:line="177" w:lineRule="exact"/>
        <w:rPr>
          <w:sz w:val="20"/>
          <w:szCs w:val="20"/>
          <w:color w:val="auto"/>
        </w:rPr>
      </w:pPr>
    </w:p>
    <w:p>
      <w:pPr>
        <w:ind w:right="20" w:firstLine="8"/>
        <w:spacing w:after="0" w:line="258" w:lineRule="auto"/>
        <w:tabs>
          <w:tab w:leader="none" w:pos="32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2.7 of the Agreement is hereby amended by deleting paragraph (h) therefrom and replacing it in its entirety with the following:</w:t>
      </w:r>
    </w:p>
    <w:p>
      <w:pPr>
        <w:spacing w:after="0" w:line="158" w:lineRule="exact"/>
        <w:rPr>
          <w:rFonts w:ascii="Times New Roman" w:cs="Times New Roman" w:eastAsia="Times New Roman" w:hAnsi="Times New Roman"/>
          <w:sz w:val="22"/>
          <w:szCs w:val="22"/>
          <w:color w:val="auto"/>
        </w:rPr>
      </w:pPr>
    </w:p>
    <w:p>
      <w:pPr>
        <w:jc w:val="both"/>
        <w:ind w:left="820" w:hanging="2"/>
        <w:spacing w:after="0" w:line="238" w:lineRule="auto"/>
        <w:tabs>
          <w:tab w:leader="none" w:pos="130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such purchase (and treating all Designated Receivables to be purchased on such Purchase Date as Purchased Receivables), in no event would (A) the Aggregate EPP Balance exceed the Facility Limit, (B) the Outstanding Obligor EPP Balance of any Obligor exceed the Obligor EPP Limit of such Obligor, or (C) the Monthly Purchased Obligor Non-EPP Balance of any Obligor exceed the Obligor Non-EPP Purchase Limit of such Obligor for the applicable calendar month;</w:t>
      </w:r>
    </w:p>
    <w:p>
      <w:pPr>
        <w:spacing w:after="0" w:line="176" w:lineRule="exact"/>
        <w:rPr>
          <w:rFonts w:ascii="Times New Roman" w:cs="Times New Roman" w:eastAsia="Times New Roman" w:hAnsi="Times New Roman"/>
          <w:sz w:val="22"/>
          <w:szCs w:val="22"/>
          <w:color w:val="auto"/>
        </w:rPr>
      </w:pPr>
    </w:p>
    <w:p>
      <w:pPr>
        <w:jc w:val="both"/>
        <w:ind w:firstLine="8"/>
        <w:spacing w:after="0" w:line="244" w:lineRule="auto"/>
        <w:tabs>
          <w:tab w:leader="none" w:pos="32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6.1(a) of the Agreement is hereby amended by deleting clauses (i), (iii), (xix), (xxi), and (xxv) thereof and replacing each such clause in its entirety with the clause set forth below having the same corresponding clause number:</w:t>
      </w:r>
    </w:p>
    <w:p>
      <w:pPr>
        <w:spacing w:after="0" w:line="173" w:lineRule="exact"/>
        <w:rPr>
          <w:rFonts w:ascii="Times New Roman" w:cs="Times New Roman" w:eastAsia="Times New Roman" w:hAnsi="Times New Roman"/>
          <w:sz w:val="22"/>
          <w:szCs w:val="22"/>
          <w:color w:val="auto"/>
        </w:rPr>
      </w:pPr>
    </w:p>
    <w:p>
      <w:pPr>
        <w:jc w:val="both"/>
        <w:ind w:left="740" w:firstLine="78"/>
        <w:spacing w:after="0" w:line="235" w:lineRule="auto"/>
        <w:tabs>
          <w:tab w:leader="none" w:pos="1307"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Confirmed Receivable and either (A) if offered pursuant to an EPP Specification (or any End of Period Specification for EPP Receivables), the Obligor of such Designated Receivable is an Eligible Obligor (as applicable to EPP Receivables in the definition of “Eligible Obligor”) and such Designated Receivable conforms in all respects to the definition of “EPP Receivable” set forth herein, or (B) if offered pursuant to a Non-EPP Specification (or any End of Period Specification for Non-EPP Receivables), the Obligor of which is an Eligible Obligor (as applicable to Non-EPP Receivables in the definition of “Eligible Obligor”);</w:t>
      </w:r>
    </w:p>
    <w:p>
      <w:pPr>
        <w:spacing w:after="0" w:line="183" w:lineRule="exact"/>
        <w:rPr>
          <w:sz w:val="20"/>
          <w:szCs w:val="20"/>
          <w:color w:val="auto"/>
        </w:rPr>
      </w:pPr>
    </w:p>
    <w:p>
      <w:pPr>
        <w:jc w:val="both"/>
        <w:ind w:left="740" w:hanging="7"/>
        <w:spacing w:after="0" w:line="239" w:lineRule="auto"/>
        <w:tabs>
          <w:tab w:leader="none" w:pos="131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arisen under an invoice that has been delivered by the applicable Eligible Seller to the applicable Eligible Obligor in the ordinary course of business pursuant to the terms of the related Contract on a date that is (A) no earlier than 120 days prior to such Purchase Date and (B) no later than the applicable Cut Off Date related to such Purchase Date;</w:t>
      </w:r>
    </w:p>
    <w:p>
      <w:pPr>
        <w:spacing w:after="0" w:line="180" w:lineRule="exact"/>
        <w:rPr>
          <w:sz w:val="20"/>
          <w:szCs w:val="20"/>
          <w:color w:val="auto"/>
        </w:rPr>
      </w:pPr>
    </w:p>
    <w:p>
      <w:pPr>
        <w:jc w:val="both"/>
        <w:ind w:left="740" w:hanging="7"/>
        <w:spacing w:after="0" w:line="238" w:lineRule="auto"/>
        <w:tabs>
          <w:tab w:leader="none" w:pos="125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either (A) an EPP Receivable that is not owing by an Obligor as to which other Purchased Receivables that are EPP Receivables owing by such Obligor are then outstanding more than 60 days past their respective Payment Due Dates (as established at original invoicing) in an aggregate amount that equals or exceeds 10% of the applicable Obligor EPP Limit of such Obligor or (B) a Non-EPP Receivable that is not owing by an Obligor as to which other Purchased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62" w:name="page63"/>
    <w:bookmarkEnd w:id="62"/>
    <w:p>
      <w:pPr>
        <w:jc w:val="both"/>
        <w:ind w:left="740"/>
        <w:spacing w:after="0" w:line="244" w:lineRule="auto"/>
        <w:rPr>
          <w:sz w:val="20"/>
          <w:szCs w:val="20"/>
          <w:color w:val="auto"/>
        </w:rPr>
      </w:pPr>
      <w:r>
        <w:rPr>
          <w:rFonts w:ascii="Times New Roman" w:cs="Times New Roman" w:eastAsia="Times New Roman" w:hAnsi="Times New Roman"/>
          <w:sz w:val="22"/>
          <w:szCs w:val="22"/>
          <w:color w:val="auto"/>
        </w:rPr>
        <w:t>Receivables that are Non-EPP Receivables owing by such Obligor are then outstanding more than 60 days past their respective Payment Due Dates (as established at original invoicing) in an aggregate amount that equals or exceeds 10% of the applicable Obligor Non-EPP Limit of such Obligor;</w:t>
      </w:r>
    </w:p>
    <w:p>
      <w:pPr>
        <w:spacing w:after="0" w:line="173" w:lineRule="exact"/>
        <w:rPr>
          <w:sz w:val="20"/>
          <w:szCs w:val="20"/>
          <w:color w:val="auto"/>
        </w:rPr>
      </w:pPr>
    </w:p>
    <w:p>
      <w:pPr>
        <w:jc w:val="both"/>
        <w:ind w:left="740" w:hanging="7"/>
        <w:spacing w:after="0" w:line="235" w:lineRule="auto"/>
        <w:tabs>
          <w:tab w:leader="none" w:pos="125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Designated Receivable that does not, after giving effect to the purchase of all Designated Receivables to be purchased on such Purchase Date (including the purchase of such Designated Receivable), result in any of the following (as applicable to such Designated Receivable): (A) the Aggregate EPP Balance exceeding the Facility Limit, (B) the Outstanding Obligor EPP Balance of the applicable Obligor thereof exceeding the Obligor EPP Limit of such Obligor, or (C) the Outstanding Obligor Non-EPP Balance of the applicable Obligor thereof exceeding the Obligor Non-EPP Limit of such Obligor on such date;</w:t>
      </w:r>
    </w:p>
    <w:p>
      <w:pPr>
        <w:spacing w:after="0" w:line="183" w:lineRule="exact"/>
        <w:rPr>
          <w:sz w:val="20"/>
          <w:szCs w:val="20"/>
          <w:color w:val="auto"/>
        </w:rPr>
      </w:pPr>
    </w:p>
    <w:p>
      <w:pPr>
        <w:jc w:val="both"/>
        <w:ind w:left="740" w:hanging="7"/>
        <w:spacing w:after="0" w:line="251" w:lineRule="auto"/>
        <w:tabs>
          <w:tab w:leader="none" w:pos="127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with respect to an EPP Receivable of an Obligor (Committed) (for which this paragraph shall not apply), (A) is owing by an Obligor for which the Designated Receivables of the same Type owing by such Obligor (inclusive of such Designated Receivable) being purchased on such Purchase Date have an aggregate face amount (as used in the determination of the Purchase Price) that is at least USD$3,000 (or the currency equivalent thereof) and (B) is not paid by a draw under a letter of credit;.</w:t>
      </w:r>
    </w:p>
    <w:p>
      <w:pPr>
        <w:spacing w:after="0" w:line="168" w:lineRule="exact"/>
        <w:rPr>
          <w:rFonts w:ascii="Times New Roman" w:cs="Times New Roman" w:eastAsia="Times New Roman" w:hAnsi="Times New Roman"/>
          <w:sz w:val="21"/>
          <w:szCs w:val="21"/>
          <w:color w:val="auto"/>
        </w:rPr>
      </w:pPr>
    </w:p>
    <w:p>
      <w:pPr>
        <w:ind w:right="20" w:firstLine="8"/>
        <w:spacing w:after="0" w:line="258" w:lineRule="auto"/>
        <w:tabs>
          <w:tab w:leader="none" w:pos="32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11.2(e) is hereby amended by deleting the term “Obligor Limit” each place it appears therein and replacing it with the term “Obligor EPP Limit”.</w:t>
      </w:r>
    </w:p>
    <w:p>
      <w:pPr>
        <w:spacing w:after="0" w:line="158" w:lineRule="exact"/>
        <w:rPr>
          <w:rFonts w:ascii="Times New Roman" w:cs="Times New Roman" w:eastAsia="Times New Roman" w:hAnsi="Times New Roman"/>
          <w:sz w:val="22"/>
          <w:szCs w:val="22"/>
          <w:color w:val="auto"/>
        </w:rPr>
      </w:pPr>
    </w:p>
    <w:p>
      <w:pPr>
        <w:jc w:val="both"/>
        <w:ind w:firstLine="8"/>
        <w:spacing w:after="0" w:line="238" w:lineRule="auto"/>
        <w:tabs>
          <w:tab w:leader="none" w:pos="32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terms “</w:t>
      </w:r>
      <w:r>
        <w:rPr>
          <w:rFonts w:ascii="Times New Roman" w:cs="Times New Roman" w:eastAsia="Times New Roman" w:hAnsi="Times New Roman"/>
          <w:sz w:val="22"/>
          <w:szCs w:val="22"/>
          <w:u w:val="single" w:color="auto"/>
          <w:color w:val="auto"/>
        </w:rPr>
        <w:t>Accepted Guaranty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Accepted Letter of Credit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Maximum Tenor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Specified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Obligor</w:t>
      </w:r>
      <w:r>
        <w:rPr>
          <w:rFonts w:ascii="Times New Roman" w:cs="Times New Roman" w:eastAsia="Times New Roman" w:hAnsi="Times New Roman"/>
          <w:sz w:val="22"/>
          <w:szCs w:val="22"/>
          <w:color w:val="auto"/>
        </w:rPr>
        <w:t>” set forth 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are each hereby amended to insert immediately after the phrase “on the Obligor Schedule” in each such defined term the phrase “(with respect to any EPP Receivables) or identified with respect to such Obligor in the Non-EPP Obligor Information Notice (with respect to any Non-EPP Receivables)”.</w:t>
      </w:r>
    </w:p>
    <w:p>
      <w:pPr>
        <w:spacing w:after="0" w:line="176" w:lineRule="exact"/>
        <w:rPr>
          <w:rFonts w:ascii="Times New Roman" w:cs="Times New Roman" w:eastAsia="Times New Roman" w:hAnsi="Times New Roman"/>
          <w:sz w:val="22"/>
          <w:szCs w:val="22"/>
          <w:color w:val="auto"/>
        </w:rPr>
      </w:pPr>
    </w:p>
    <w:p>
      <w:pPr>
        <w:jc w:val="both"/>
        <w:ind w:firstLine="8"/>
        <w:spacing w:after="0" w:line="249" w:lineRule="auto"/>
        <w:tabs>
          <w:tab w:leader="none" w:pos="324"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defined term “</w:t>
      </w:r>
      <w:r>
        <w:rPr>
          <w:rFonts w:ascii="Times New Roman" w:cs="Times New Roman" w:eastAsia="Times New Roman" w:hAnsi="Times New Roman"/>
          <w:sz w:val="21"/>
          <w:szCs w:val="21"/>
          <w:u w:val="single" w:color="auto"/>
          <w:color w:val="auto"/>
        </w:rPr>
        <w:t>Buffer Period</w:t>
      </w:r>
      <w:r>
        <w:rPr>
          <w:rFonts w:ascii="Times New Roman" w:cs="Times New Roman" w:eastAsia="Times New Roman" w:hAnsi="Times New Roman"/>
          <w:sz w:val="21"/>
          <w:szCs w:val="21"/>
          <w:color w:val="auto"/>
        </w:rPr>
        <w:t>” set forth in Appendix A to the Agreement (</w:t>
      </w:r>
      <w:r>
        <w:rPr>
          <w:rFonts w:ascii="Times New Roman" w:cs="Times New Roman" w:eastAsia="Times New Roman" w:hAnsi="Times New Roman"/>
          <w:sz w:val="21"/>
          <w:szCs w:val="21"/>
          <w:u w:val="single" w:color="auto"/>
          <w:color w:val="auto"/>
        </w:rPr>
        <w:t>Certain Defined Terms</w:t>
      </w:r>
      <w:r>
        <w:rPr>
          <w:rFonts w:ascii="Times New Roman" w:cs="Times New Roman" w:eastAsia="Times New Roman" w:hAnsi="Times New Roman"/>
          <w:sz w:val="21"/>
          <w:szCs w:val="21"/>
          <w:color w:val="auto"/>
        </w:rPr>
        <w:t>) is hereby amended as follows: (a) after the word “means” in the first sentence thereof, insert the phrase “(a) in the case of any EPP Receivable,”, (b) at the end of the first sentence thereof (prior to the period), insert the following: “and</w:t>
      </w:r>
    </w:p>
    <w:p>
      <w:pPr>
        <w:spacing w:after="0" w:line="1" w:lineRule="exact"/>
        <w:rPr>
          <w:rFonts w:ascii="Times New Roman" w:cs="Times New Roman" w:eastAsia="Times New Roman" w:hAnsi="Times New Roman"/>
          <w:sz w:val="21"/>
          <w:szCs w:val="21"/>
          <w:color w:val="auto"/>
        </w:rPr>
      </w:pPr>
    </w:p>
    <w:p>
      <w:pPr>
        <w:jc w:val="both"/>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in the case of any Non-EPP Receivable with respect to any calendar month, the number of days provided as the Buffer Period for the related Obligor in the Non-EPP Obligor Information Notice delivered by the Purchaser for such calendar month, and (c) at the end of the second sentence thereof (prior to the period), insert the following: “with respect to any EPP Receivable”.</w:t>
      </w:r>
    </w:p>
    <w:p>
      <w:pPr>
        <w:spacing w:after="0" w:line="177" w:lineRule="exact"/>
        <w:rPr>
          <w:rFonts w:ascii="Times New Roman" w:cs="Times New Roman" w:eastAsia="Times New Roman" w:hAnsi="Times New Roman"/>
          <w:sz w:val="21"/>
          <w:szCs w:val="21"/>
          <w:color w:val="auto"/>
        </w:rPr>
      </w:pPr>
    </w:p>
    <w:p>
      <w:pPr>
        <w:jc w:val="both"/>
        <w:ind w:firstLine="8"/>
        <w:spacing w:after="0" w:line="238" w:lineRule="auto"/>
        <w:tabs>
          <w:tab w:leader="none" w:pos="32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w:t>
      </w:r>
      <w:r>
        <w:rPr>
          <w:rFonts w:ascii="Times New Roman" w:cs="Times New Roman" w:eastAsia="Times New Roman" w:hAnsi="Times New Roman"/>
          <w:sz w:val="22"/>
          <w:szCs w:val="22"/>
          <w:u w:val="single" w:color="auto"/>
          <w:color w:val="auto"/>
        </w:rPr>
        <w:t>Confirmed Receivable</w:t>
      </w:r>
      <w:r>
        <w:rPr>
          <w:rFonts w:ascii="Times New Roman" w:cs="Times New Roman" w:eastAsia="Times New Roman" w:hAnsi="Times New Roman"/>
          <w:sz w:val="22"/>
          <w:szCs w:val="22"/>
          <w:color w:val="auto"/>
        </w:rPr>
        <w:t>” set forth 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is hereby amended (a) to delete clause (ii) therefrom in its entirety and replace such clause with the following: “(ii) either (A) if offered pursuant to an EPP Specification or End of Period Specification for EPP Receivables, on or prior to the end of the calendar month in which the invoice evidencing such Receivable has been delivered to the related Obligor, all related goods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63" w:name="page64"/>
    <w:bookmarkEnd w:id="63"/>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and services giving rise thereto will have been delivered or provided to the related Obligor and such Obligor will have accepted such delivery or provision of goods and services by delivering a certificate of acceptance (or other evidence of acceptance) or not objected to (and will have no further right to object to) such delivery or provision of goods and services or (B) if offered pursuant to a Non-EPP Specification or End of Period Specification for Non-EPP Receivables, all related goods and services giving rise thereto will have been delivered or provided to the related Obligor on or prior to such Purchase Date,” and (b) to delete clause (iii) therefrom in its entirety and replace such clause with the following: “(iii) if offered pursuant to an EPP Specification or End of Period Specification for EPP Receivables, </w:t>
      </w:r>
      <w:r>
        <w:rPr>
          <w:rFonts w:ascii="Times New Roman" w:cs="Times New Roman" w:eastAsia="Times New Roman" w:hAnsi="Times New Roman"/>
          <w:sz w:val="22"/>
          <w:szCs w:val="22"/>
          <w:color w:val="010101"/>
        </w:rPr>
        <w:t>on or prior to the end of the calendar month in which the invoice evidencing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10101"/>
        </w:rPr>
        <w:t>such Receivable has been delivered to the related Obligor, will be an unconditional obligation of the related Obligor</w:t>
      </w:r>
      <w:r>
        <w:rPr>
          <w:rFonts w:ascii="Times New Roman" w:cs="Times New Roman" w:eastAsia="Times New Roman" w:hAnsi="Times New Roman"/>
          <w:sz w:val="22"/>
          <w:szCs w:val="22"/>
          <w:color w:val="000000"/>
        </w:rPr>
        <w:t>,”.</w:t>
      </w:r>
    </w:p>
    <w:p>
      <w:pPr>
        <w:spacing w:after="0" w:line="179" w:lineRule="exact"/>
        <w:rPr>
          <w:sz w:val="20"/>
          <w:szCs w:val="20"/>
          <w:color w:val="auto"/>
        </w:rPr>
      </w:pPr>
    </w:p>
    <w:p>
      <w:pPr>
        <w:jc w:val="both"/>
        <w:ind w:firstLine="8"/>
        <w:spacing w:after="0" w:line="235" w:lineRule="auto"/>
        <w:tabs>
          <w:tab w:leader="none" w:pos="3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w:t>
      </w:r>
      <w:r>
        <w:rPr>
          <w:rFonts w:ascii="Times New Roman" w:cs="Times New Roman" w:eastAsia="Times New Roman" w:hAnsi="Times New Roman"/>
          <w:sz w:val="22"/>
          <w:szCs w:val="22"/>
          <w:u w:val="single" w:color="auto"/>
          <w:color w:val="auto"/>
        </w:rPr>
        <w:t>Cut Off Date</w:t>
      </w:r>
      <w:r>
        <w:rPr>
          <w:rFonts w:ascii="Times New Roman" w:cs="Times New Roman" w:eastAsia="Times New Roman" w:hAnsi="Times New Roman"/>
          <w:sz w:val="22"/>
          <w:szCs w:val="22"/>
          <w:color w:val="auto"/>
        </w:rPr>
        <w:t>” set forth 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xml:space="preserve">) is hereby amended to add the following at the conclusion thereof: “For the avoidance of doubt, the ‘Cut Off Date’ for EPP Receivables for any calendar month may be different than the ‘Cut Off Date’ for Non-EPP Receivables for such calendar month and references to the applicable ‘Cut Off Date’ in this Agreement or any other Transaction Document shall be deemed to refer to the applicable ‘Cut-Off Date’ by both receivable Type and currency. Any notice specifying the ‘Cut Off Date’ delivered pursuant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this definition (for any currency) shall also specify whether it applies to EPP Receivables, Non-EPP Receivables or both.”</w:t>
      </w:r>
    </w:p>
    <w:p>
      <w:pPr>
        <w:spacing w:after="0" w:line="183" w:lineRule="exact"/>
        <w:rPr>
          <w:rFonts w:ascii="Times New Roman" w:cs="Times New Roman" w:eastAsia="Times New Roman" w:hAnsi="Times New Roman"/>
          <w:sz w:val="22"/>
          <w:szCs w:val="22"/>
          <w:color w:val="auto"/>
        </w:rPr>
      </w:pPr>
    </w:p>
    <w:p>
      <w:pPr>
        <w:jc w:val="both"/>
        <w:ind w:firstLine="8"/>
        <w:spacing w:after="0" w:line="239" w:lineRule="auto"/>
        <w:tabs>
          <w:tab w:leader="none" w:pos="3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terms “</w:t>
      </w:r>
      <w:r>
        <w:rPr>
          <w:rFonts w:ascii="Times New Roman" w:cs="Times New Roman" w:eastAsia="Times New Roman" w:hAnsi="Times New Roman"/>
          <w:sz w:val="22"/>
          <w:szCs w:val="22"/>
          <w:u w:val="single" w:color="auto"/>
          <w:color w:val="auto"/>
        </w:rPr>
        <w:t>Default Ratio</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Delinquency Ratio</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Initial Performance Trigger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Losses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Liquidation Ratio</w:t>
      </w:r>
      <w:r>
        <w:rPr>
          <w:rFonts w:ascii="Times New Roman" w:cs="Times New Roman" w:eastAsia="Times New Roman" w:hAnsi="Times New Roman"/>
          <w:sz w:val="22"/>
          <w:szCs w:val="22"/>
          <w:color w:val="auto"/>
        </w:rPr>
        <w:t>” set forth 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are each hereby amended to reference only EPP Receivables in each applicable component of the formulas set forth in the respective definitions thereof (including in both the numerator and denominator of any ratio in any such definition).</w:t>
      </w:r>
    </w:p>
    <w:p>
      <w:pPr>
        <w:spacing w:after="0" w:line="180" w:lineRule="exact"/>
        <w:rPr>
          <w:rFonts w:ascii="Times New Roman" w:cs="Times New Roman" w:eastAsia="Times New Roman" w:hAnsi="Times New Roman"/>
          <w:sz w:val="22"/>
          <w:szCs w:val="22"/>
          <w:color w:val="auto"/>
        </w:rPr>
      </w:pPr>
    </w:p>
    <w:p>
      <w:pPr>
        <w:jc w:val="both"/>
        <w:ind w:firstLine="8"/>
        <w:spacing w:after="0" w:line="244" w:lineRule="auto"/>
        <w:tabs>
          <w:tab w:leader="none" w:pos="3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defined term “</w:t>
      </w:r>
      <w:r>
        <w:rPr>
          <w:rFonts w:ascii="Times New Roman" w:cs="Times New Roman" w:eastAsia="Times New Roman" w:hAnsi="Times New Roman"/>
          <w:sz w:val="22"/>
          <w:szCs w:val="22"/>
          <w:u w:val="single" w:color="auto"/>
          <w:color w:val="auto"/>
        </w:rPr>
        <w:t>Obligor Schedule</w:t>
      </w:r>
      <w:r>
        <w:rPr>
          <w:rFonts w:ascii="Times New Roman" w:cs="Times New Roman" w:eastAsia="Times New Roman" w:hAnsi="Times New Roman"/>
          <w:sz w:val="22"/>
          <w:szCs w:val="22"/>
          <w:color w:val="auto"/>
        </w:rPr>
        <w:t>” set forth 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is hereby amended to add the following at the conclusion thereof: “For the avoidance of doubt, the Obligor Schedule applies only to EPP Receivables.”</w:t>
      </w:r>
    </w:p>
    <w:p>
      <w:pPr>
        <w:spacing w:after="0" w:line="173" w:lineRule="exact"/>
        <w:rPr>
          <w:rFonts w:ascii="Times New Roman" w:cs="Times New Roman" w:eastAsia="Times New Roman" w:hAnsi="Times New Roman"/>
          <w:sz w:val="22"/>
          <w:szCs w:val="22"/>
          <w:color w:val="auto"/>
        </w:rPr>
      </w:pPr>
    </w:p>
    <w:p>
      <w:pPr>
        <w:ind w:firstLine="8"/>
        <w:spacing w:after="0" w:line="258" w:lineRule="auto"/>
        <w:tabs>
          <w:tab w:leader="none" w:pos="3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the following defined terms are hereby deleted in their entirety:</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“Applicable Business Days”</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“Discount Period Start Date”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“Expected Reconciliation Date”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“Outstanding Aggregate Balance”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“Outstanding Obligor Balance”</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64" w:name="page65"/>
    <w:bookmarkEnd w:id="64"/>
    <w:p>
      <w:pPr>
        <w:ind w:firstLine="8"/>
        <w:spacing w:after="0" w:line="258" w:lineRule="auto"/>
        <w:tabs>
          <w:tab w:leader="none" w:pos="32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the following defined terms are hereby deleted in their entirety and replaced with the definitions set forth below:</w:t>
      </w:r>
    </w:p>
    <w:p>
      <w:pPr>
        <w:spacing w:after="0" w:line="158" w:lineRule="exact"/>
        <w:rPr>
          <w:sz w:val="20"/>
          <w:szCs w:val="20"/>
          <w:color w:val="auto"/>
        </w:rPr>
      </w:pPr>
    </w:p>
    <w:p>
      <w:pPr>
        <w:jc w:val="both"/>
        <w:ind w:left="740"/>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 Period</w:t>
      </w:r>
      <w:r>
        <w:rPr>
          <w:rFonts w:ascii="Times New Roman" w:cs="Times New Roman" w:eastAsia="Times New Roman" w:hAnsi="Times New Roman"/>
          <w:sz w:val="22"/>
          <w:szCs w:val="22"/>
          <w:color w:val="auto"/>
        </w:rPr>
        <w:t>” means, with respect to any Purchased Receivable, the number of days from and including the Purchase Date for such Purchased Receivable to, but not including, the Seller Perfect Payment Date occurring on the last day of the Seller Perfect Payment Period in which the Expected Payment Date for such Purchased Receivable occurs.</w:t>
      </w:r>
    </w:p>
    <w:p>
      <w:pPr>
        <w:spacing w:after="0" w:line="180" w:lineRule="exact"/>
        <w:rPr>
          <w:sz w:val="20"/>
          <w:szCs w:val="20"/>
          <w:color w:val="auto"/>
        </w:rPr>
      </w:pPr>
    </w:p>
    <w:p>
      <w:pPr>
        <w:jc w:val="both"/>
        <w:ind w:left="740"/>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Obligor</w:t>
      </w:r>
      <w:r>
        <w:rPr>
          <w:rFonts w:ascii="Times New Roman" w:cs="Times New Roman" w:eastAsia="Times New Roman" w:hAnsi="Times New Roman"/>
          <w:sz w:val="22"/>
          <w:szCs w:val="22"/>
          <w:color w:val="auto"/>
        </w:rPr>
        <w:t xml:space="preserve">” means, at any date of determination, either (i) with respect to any EPP Receivable, an Obligor that is listed in the Obligor Schedule (as in effect at such time), whether Part A or Part B or (ii) with respect to any Non-EPP Receivable, for any calendar month, an Obligor that has been approved by the Purchaser and identified as an “Eligible Obligor” on the Non-EPP Obligor Information Notice for such calendar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with respect to EPP Receivables, an Obligor shall cease to be an “Eligible Obligor” during any period that a Material Obligor Default with respect to such Obligor shall have occurred and is continuing except in the case of a Material Obligor Default arising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the definition thereof solely with respect to Purchased Receivables that are Non-EPP Receivables, and (B) with respect to Non-EPP Receivables, an Obligor shall cease to be an “Eligible Obligor” during any period that a Material Obligor Default with respect to such Obligor shall have occurred and is continuing;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for both Types, that a Material Obligor Default with respect to an Obligor that has occurred only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the definition thereof shall no longer be continuing for purposes hereof at any time that no outstanding Purchased Receivables of such Obligor are Defaulted Receivables.</w:t>
      </w:r>
    </w:p>
    <w:p>
      <w:pPr>
        <w:spacing w:after="0" w:line="180" w:lineRule="exact"/>
        <w:rPr>
          <w:sz w:val="20"/>
          <w:szCs w:val="20"/>
          <w:color w:val="auto"/>
        </w:rPr>
      </w:pPr>
    </w:p>
    <w:p>
      <w:pPr>
        <w:jc w:val="both"/>
        <w:ind w:left="740"/>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 Limit</w:t>
      </w:r>
      <w:r>
        <w:rPr>
          <w:rFonts w:ascii="Times New Roman" w:cs="Times New Roman" w:eastAsia="Times New Roman" w:hAnsi="Times New Roman"/>
          <w:sz w:val="22"/>
          <w:szCs w:val="22"/>
          <w:color w:val="auto"/>
        </w:rPr>
        <w:t>” means, with respect to any Obligor, either the Obligor EPP Limit or the Obligor Non-EPP Limit of such Obligor, as applicable (each of which shall constitute a separate limit applicable only to EPP Receivables or only to Non-EPP Receivables, as the case may be). For the avoidance of doubt, if used with reference to an “Obligor (Committed)” or “Obligor (Uncommitted)”, such reference shall be to the Obligor EPP Limit of such Obligor.</w:t>
      </w:r>
    </w:p>
    <w:p>
      <w:pPr>
        <w:spacing w:after="0" w:line="177"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Reconciliation Date</w:t>
      </w:r>
      <w:r>
        <w:rPr>
          <w:rFonts w:ascii="Times New Roman" w:cs="Times New Roman" w:eastAsia="Times New Roman" w:hAnsi="Times New Roman"/>
          <w:sz w:val="22"/>
          <w:szCs w:val="22"/>
          <w:color w:val="auto"/>
        </w:rPr>
        <w:t>” means the 20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calendar day of each month (or if the 20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calendar day is not a Business Day, the next Business Day thereafter).</w:t>
      </w:r>
    </w:p>
    <w:p>
      <w:pPr>
        <w:spacing w:after="0" w:line="158" w:lineRule="exact"/>
        <w:rPr>
          <w:sz w:val="20"/>
          <w:szCs w:val="20"/>
          <w:color w:val="auto"/>
        </w:rPr>
      </w:pPr>
    </w:p>
    <w:p>
      <w:pPr>
        <w:jc w:val="both"/>
        <w:ind w:left="740" w:right="20"/>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Reconciliation Report</w:t>
      </w:r>
      <w:r>
        <w:rPr>
          <w:rFonts w:ascii="Times New Roman" w:cs="Times New Roman" w:eastAsia="Times New Roman" w:hAnsi="Times New Roman"/>
          <w:sz w:val="21"/>
          <w:szCs w:val="21"/>
          <w:color w:val="auto"/>
        </w:rPr>
        <w:t>” means any number of reports in form and substance mutually agreed by Kyndryl and Purchaser with any changes to the form thereafter as mutually agreed by Kyndryl and Purchaser.</w:t>
      </w:r>
    </w:p>
    <w:p>
      <w:pPr>
        <w:spacing w:after="0" w:line="135"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Specification</w:t>
      </w:r>
      <w:r>
        <w:rPr>
          <w:rFonts w:ascii="Times New Roman" w:cs="Times New Roman" w:eastAsia="Times New Roman" w:hAnsi="Times New Roman"/>
          <w:sz w:val="22"/>
          <w:szCs w:val="22"/>
          <w:color w:val="auto"/>
        </w:rPr>
        <w:t>” means, (i) with respect to any EPP Receivables, an EPP Specification or an End of Period Specification for EPP Receivables and (ii) 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65" w:name="page66"/>
    <w:bookmarkEnd w:id="65"/>
    <w:p>
      <w:pPr>
        <w:ind w:left="740"/>
        <w:spacing w:after="0" w:line="258" w:lineRule="auto"/>
        <w:rPr>
          <w:sz w:val="20"/>
          <w:szCs w:val="20"/>
          <w:color w:val="auto"/>
        </w:rPr>
      </w:pPr>
      <w:r>
        <w:rPr>
          <w:rFonts w:ascii="Times New Roman" w:cs="Times New Roman" w:eastAsia="Times New Roman" w:hAnsi="Times New Roman"/>
          <w:sz w:val="22"/>
          <w:szCs w:val="22"/>
          <w:color w:val="auto"/>
        </w:rPr>
        <w:t>respect to any Non-EPP Receivables, a Non-EPP Specification or an End of Period Specification for Non-EPP Receivables.</w:t>
      </w:r>
    </w:p>
    <w:p>
      <w:pPr>
        <w:spacing w:after="0" w:line="158" w:lineRule="exact"/>
        <w:rPr>
          <w:sz w:val="20"/>
          <w:szCs w:val="20"/>
          <w:color w:val="auto"/>
        </w:rPr>
      </w:pPr>
    </w:p>
    <w:p>
      <w:pPr>
        <w:ind w:right="20" w:firstLine="8"/>
        <w:spacing w:after="0" w:line="258" w:lineRule="auto"/>
        <w:tabs>
          <w:tab w:leader="none" w:pos="32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Appendix A to the Agreement (</w:t>
      </w:r>
      <w:r>
        <w:rPr>
          <w:rFonts w:ascii="Times New Roman" w:cs="Times New Roman" w:eastAsia="Times New Roman" w:hAnsi="Times New Roman"/>
          <w:sz w:val="22"/>
          <w:szCs w:val="22"/>
          <w:u w:val="single" w:color="auto"/>
          <w:color w:val="auto"/>
        </w:rPr>
        <w:t>Certain Defined Terms</w:t>
      </w:r>
      <w:r>
        <w:rPr>
          <w:rFonts w:ascii="Times New Roman" w:cs="Times New Roman" w:eastAsia="Times New Roman" w:hAnsi="Times New Roman"/>
          <w:sz w:val="22"/>
          <w:szCs w:val="22"/>
          <w:color w:val="auto"/>
        </w:rPr>
        <w:t>), the following additional defined terms are hereby added (in each of their correct alphabetical locations):</w:t>
      </w:r>
    </w:p>
    <w:p>
      <w:pPr>
        <w:spacing w:after="0" w:line="158" w:lineRule="exact"/>
        <w:rPr>
          <w:sz w:val="20"/>
          <w:szCs w:val="20"/>
          <w:color w:val="auto"/>
        </w:rPr>
      </w:pPr>
    </w:p>
    <w:p>
      <w:pPr>
        <w:jc w:val="both"/>
        <w:ind w:left="740"/>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Accepted Receivable</w:t>
      </w:r>
      <w:r>
        <w:rPr>
          <w:rFonts w:ascii="Times New Roman" w:cs="Times New Roman" w:eastAsia="Times New Roman" w:hAnsi="Times New Roman"/>
          <w:sz w:val="22"/>
          <w:szCs w:val="22"/>
          <w:color w:val="auto"/>
        </w:rPr>
        <w:t xml:space="preserve">” means, with respect to any Purchase Date, (i) any Designated Non-EPP Receivable set forth on a Non-EPP Specification or End of Period Specification for such Purchase Date that the Purchaser has agreed to purchase on such Purchase Date, in the Purchaser’s sole discretion, (ii) any Designated EPP Receivable owing by an Obligor (Uncommitted) set forth on an EPP Specification or End of Period Specification for such Purchase Date that the Purchaser has agreed to purchase on such Purchase Date, in the Purchaser’s sole discretion, and (iii) any Designated EPP Receivable owing by an Obligor (Committed) set forth on an EPP Specification (including any resubmitted EPP Specification) or End of Period Specification for such Purchase Date unless such EPP Specification (or such resubmitted EPP Specification) has been properly rejected by the Purchaser as noncompliant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EPP Balance</w:t>
      </w:r>
      <w:r>
        <w:rPr>
          <w:rFonts w:ascii="Times New Roman" w:cs="Times New Roman" w:eastAsia="Times New Roman" w:hAnsi="Times New Roman"/>
          <w:sz w:val="22"/>
          <w:szCs w:val="22"/>
          <w:color w:val="auto"/>
        </w:rPr>
        <w:t>” means, at any time, the aggregate outstanding balance at such time of all Purchased Receivables that are EPP Receivables.</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2.4(a)(iii)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EPP Receivable</w:t>
      </w:r>
      <w:r>
        <w:rPr>
          <w:rFonts w:ascii="Times New Roman" w:cs="Times New Roman" w:eastAsia="Times New Roman" w:hAnsi="Times New Roman"/>
          <w:sz w:val="22"/>
          <w:szCs w:val="22"/>
          <w:color w:val="auto"/>
        </w:rPr>
        <w:t>” means each Designated Receivable that is described in an EPP Specification.</w:t>
      </w:r>
    </w:p>
    <w:p>
      <w:pPr>
        <w:spacing w:after="0" w:line="158"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Non-EPP Receivable</w:t>
      </w:r>
      <w:r>
        <w:rPr>
          <w:rFonts w:ascii="Times New Roman" w:cs="Times New Roman" w:eastAsia="Times New Roman" w:hAnsi="Times New Roman"/>
          <w:sz w:val="22"/>
          <w:szCs w:val="22"/>
          <w:color w:val="auto"/>
        </w:rPr>
        <w:t>” means each Designated Receivable that is described in a Non-EPP Specification.</w:t>
      </w:r>
    </w:p>
    <w:p>
      <w:pPr>
        <w:spacing w:after="0" w:line="158"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Early Payment</w:t>
      </w:r>
      <w:r>
        <w:rPr>
          <w:rFonts w:ascii="Times New Roman" w:cs="Times New Roman" w:eastAsia="Times New Roman" w:hAnsi="Times New Roman"/>
          <w:sz w:val="21"/>
          <w:szCs w:val="21"/>
          <w:color w:val="auto"/>
        </w:rPr>
        <w:t>” means, with respect to any Purchased Receivable, any payment made by or on behalf of the applicable Obligor of such Purchased Receivable that is received by or on behalf of Kyndryl, any other Seller or any of their respective Affiliates, agents or representatives more than thirty (30) days before the applicable Payment Due Date as payment (in whole or in part) of such Purchased Receivable.</w:t>
      </w:r>
    </w:p>
    <w:p>
      <w:pPr>
        <w:spacing w:after="0" w:line="162" w:lineRule="exact"/>
        <w:rPr>
          <w:sz w:val="20"/>
          <w:szCs w:val="20"/>
          <w:color w:val="auto"/>
        </w:rPr>
      </w:pPr>
    </w:p>
    <w:p>
      <w:pPr>
        <w:jc w:val="both"/>
        <w:ind w:left="740"/>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EPP Receivable</w:t>
      </w:r>
      <w:r>
        <w:rPr>
          <w:rFonts w:ascii="Times New Roman" w:cs="Times New Roman" w:eastAsia="Times New Roman" w:hAnsi="Times New Roman"/>
          <w:sz w:val="21"/>
          <w:szCs w:val="21"/>
          <w:color w:val="auto"/>
        </w:rPr>
        <w:t>” means any Receivable for which, on or prior to the end of the calendar month in which the applicable invoice therefor has been sent to such Obligor, either (i) the Obligor thereof is required to deliver a certificate of acceptance (or other evidence of acceptance) confirming satisfactory receipt of all of the goods and services giving rise thereto with an absolute obligation to pay for such goods and services without objection or Dispute or (ii) the related Contract provides that the Obligor thereof will be deemed to have accepted the goods and services giving rise thereto with an absolute obligation to pay for such goods and services without objection or Dispute if an objection or Dispute has not been raised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66" w:name="page67"/>
    <w:bookmarkEnd w:id="66"/>
    <w:p>
      <w:pPr>
        <w:ind w:left="280"/>
        <w:spacing w:after="0"/>
        <w:rPr>
          <w:sz w:val="20"/>
          <w:szCs w:val="20"/>
          <w:color w:val="auto"/>
        </w:rPr>
      </w:pPr>
      <w:r>
        <w:rPr>
          <w:rFonts w:ascii="Times New Roman" w:cs="Times New Roman" w:eastAsia="Times New Roman" w:hAnsi="Times New Roman"/>
          <w:sz w:val="22"/>
          <w:szCs w:val="22"/>
          <w:color w:val="auto"/>
        </w:rPr>
        <w:t>by such Obligor by such calendar month end.</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EPP Specification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Funds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2.4(a)(iii)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Notice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2.2(h)(i)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Indicative Non-EPP Receivables File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2.2(h)(i)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Indicative Purchaser Response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2.2(h)(i)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80"/>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Purchased Obligor Non-EPP Balance</w:t>
      </w:r>
      <w:r>
        <w:rPr>
          <w:rFonts w:ascii="Times New Roman" w:cs="Times New Roman" w:eastAsia="Times New Roman" w:hAnsi="Times New Roman"/>
          <w:sz w:val="22"/>
          <w:szCs w:val="22"/>
          <w:color w:val="auto"/>
        </w:rPr>
        <w:t>” means, with respect to an Obligor for any calendar month, the aggregate outstanding balance of all Purchased Receivables that are Non-EPP Receivables owing by such Obligor (in aggregate for all Sellers) that are being (or have been) first purchased in such calendar month (after giving effect to all purchases to be made in such calendar month).</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Non-EPP Obligor Information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2.2(h)(ii)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Non-EPP Receivable</w:t>
      </w:r>
      <w:r>
        <w:rPr>
          <w:rFonts w:ascii="Times New Roman" w:cs="Times New Roman" w:eastAsia="Times New Roman" w:hAnsi="Times New Roman"/>
          <w:sz w:val="22"/>
          <w:szCs w:val="22"/>
          <w:color w:val="auto"/>
        </w:rPr>
        <w:t>” means any Receivable that is not an EPP Receivable.</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Non-EPP Specification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2.2(h)(iii)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80"/>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 EPP Limit</w:t>
      </w:r>
      <w:r>
        <w:rPr>
          <w:rFonts w:ascii="Times New Roman" w:cs="Times New Roman" w:eastAsia="Times New Roman" w:hAnsi="Times New Roman"/>
          <w:sz w:val="22"/>
          <w:szCs w:val="22"/>
          <w:color w:val="auto"/>
        </w:rPr>
        <w:t xml:space="preserve">” means, with respect to any Obligor, the maximum aggregate amount of Purchased Receivables that are EPP Receivables owing by such Obligor that may be outstanding under the Facility at any time, as set forth on the Obligor Schedule or as otherwise agreed in writing by Purchaser (in its sole discretion) and the applicable Seller (which may be by exchange of emails between any person listed for Purchaser and any person listed for Seller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notwithstanding anything to the contrary in this Agreement, the Purchaser shall be entitled to reduce or withdraw the Obligor Limit with respect to any Obligor (Uncommitted) in its sole discretion at any time and from time to time without prior notice.</w:t>
      </w:r>
    </w:p>
    <w:p>
      <w:pPr>
        <w:spacing w:after="0" w:line="178" w:lineRule="exact"/>
        <w:rPr>
          <w:sz w:val="20"/>
          <w:szCs w:val="20"/>
          <w:color w:val="auto"/>
        </w:rPr>
      </w:pPr>
    </w:p>
    <w:p>
      <w:pPr>
        <w:jc w:val="both"/>
        <w:ind w:left="280"/>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 Non-EPP Limit</w:t>
      </w:r>
      <w:r>
        <w:rPr>
          <w:rFonts w:ascii="Times New Roman" w:cs="Times New Roman" w:eastAsia="Times New Roman" w:hAnsi="Times New Roman"/>
          <w:sz w:val="22"/>
          <w:szCs w:val="22"/>
          <w:color w:val="auto"/>
        </w:rPr>
        <w:t xml:space="preserve">” means, with respect to any Obligor on any date, the sum of (i) the Obligor Non-EPP Purchase Limit set forth on the most recent Non-EPP Obligor Information Notice delivered by the Purchaser hereunder for any calendar month (whether or not the then-current calendar month) on or prior to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Outstanding Obligor Non-EPP Balance at the close of business on the day immediately preceding the date on which such Non-EPP Obligor Information Notice (as described in the preceding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was delivered hereunder.</w:t>
      </w:r>
    </w:p>
    <w:p>
      <w:pPr>
        <w:spacing w:after="0" w:line="181" w:lineRule="exact"/>
        <w:rPr>
          <w:sz w:val="20"/>
          <w:szCs w:val="20"/>
          <w:color w:val="auto"/>
        </w:rPr>
      </w:pPr>
    </w:p>
    <w:p>
      <w:pPr>
        <w:jc w:val="both"/>
        <w:ind w:left="28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 Non-EPP Purchase Limit</w:t>
      </w:r>
      <w:r>
        <w:rPr>
          <w:rFonts w:ascii="Times New Roman" w:cs="Times New Roman" w:eastAsia="Times New Roman" w:hAnsi="Times New Roman"/>
          <w:sz w:val="22"/>
          <w:szCs w:val="22"/>
          <w:color w:val="auto"/>
        </w:rPr>
        <w:t>” means, with respect to any calendar month for any Eligible Obligor on any date, the amount designated as the “Obligor Non-EPP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55" w:right="999" w:bottom="1440" w:gutter="0" w:footer="0" w:header="0"/>
        </w:sectPr>
      </w:pPr>
    </w:p>
    <w:bookmarkStart w:id="67" w:name="page68"/>
    <w:bookmarkEnd w:id="67"/>
    <w:p>
      <w:pPr>
        <w:jc w:val="both"/>
        <w:ind w:left="740"/>
        <w:spacing w:after="0" w:line="239" w:lineRule="auto"/>
        <w:rPr>
          <w:sz w:val="20"/>
          <w:szCs w:val="20"/>
          <w:color w:val="auto"/>
        </w:rPr>
      </w:pPr>
      <w:r>
        <w:rPr>
          <w:rFonts w:ascii="Times New Roman" w:cs="Times New Roman" w:eastAsia="Times New Roman" w:hAnsi="Times New Roman"/>
          <w:sz w:val="22"/>
          <w:szCs w:val="22"/>
          <w:color w:val="auto"/>
        </w:rPr>
        <w:t>Purchase Limit” for such Obligor in the most recent Non-EPP Obligor Information Notice for such calendar month that has been delivered by the Purchaser hereunder on or prior to such date (up to the face amount requested by the Seller in the most recent Indicative Non-EPP Receivables File delivered by the Seller on or prior to the Final Notice Date for such calendar month).</w:t>
      </w:r>
    </w:p>
    <w:p>
      <w:pPr>
        <w:spacing w:after="0" w:line="180" w:lineRule="exact"/>
        <w:rPr>
          <w:sz w:val="20"/>
          <w:szCs w:val="20"/>
          <w:color w:val="auto"/>
        </w:rPr>
      </w:pPr>
    </w:p>
    <w:p>
      <w:pPr>
        <w:jc w:val="both"/>
        <w:ind w:left="74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Obligor EPP Balance</w:t>
      </w:r>
      <w:r>
        <w:rPr>
          <w:rFonts w:ascii="Times New Roman" w:cs="Times New Roman" w:eastAsia="Times New Roman" w:hAnsi="Times New Roman"/>
          <w:sz w:val="22"/>
          <w:szCs w:val="22"/>
          <w:color w:val="auto"/>
        </w:rPr>
        <w:t>” means, with respect to an Obligor on any date of determination, the aggregate outstanding balance of all Purchased Receivables that are EPP Receivables owing by such Obligor on such date (in aggregate for all Sellers).</w:t>
      </w:r>
    </w:p>
    <w:p>
      <w:pPr>
        <w:spacing w:after="0" w:line="173" w:lineRule="exact"/>
        <w:rPr>
          <w:sz w:val="20"/>
          <w:szCs w:val="20"/>
          <w:color w:val="auto"/>
        </w:rPr>
      </w:pPr>
    </w:p>
    <w:p>
      <w:pPr>
        <w:jc w:val="both"/>
        <w:ind w:left="74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Obligor Non-EPP Balance</w:t>
      </w:r>
      <w:r>
        <w:rPr>
          <w:rFonts w:ascii="Times New Roman" w:cs="Times New Roman" w:eastAsia="Times New Roman" w:hAnsi="Times New Roman"/>
          <w:sz w:val="22"/>
          <w:szCs w:val="22"/>
          <w:color w:val="auto"/>
        </w:rPr>
        <w:t>” means, with respect to an Obligor on any date of determination, the aggregate outstanding balance of all Purchased Receivables that are Non-EPP Receivables owing by such Obligor on such date (in aggregate for all Sellers).</w:t>
      </w:r>
    </w:p>
    <w:p>
      <w:pPr>
        <w:spacing w:after="0" w:line="173"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Perfect Payment Date</w:t>
      </w:r>
      <w:r>
        <w:rPr>
          <w:rFonts w:ascii="Times New Roman" w:cs="Times New Roman" w:eastAsia="Times New Roman" w:hAnsi="Times New Roman"/>
          <w:sz w:val="22"/>
          <w:szCs w:val="22"/>
          <w:color w:val="auto"/>
        </w:rPr>
        <w:t>” means the tenth calendar day of each calendar month, or if such day is not a Business Day, the next Business Day.</w:t>
      </w:r>
    </w:p>
    <w:p>
      <w:pPr>
        <w:spacing w:after="0" w:line="158" w:lineRule="exact"/>
        <w:rPr>
          <w:sz w:val="20"/>
          <w:szCs w:val="20"/>
          <w:color w:val="auto"/>
        </w:rPr>
      </w:pPr>
    </w:p>
    <w:p>
      <w:pPr>
        <w:jc w:val="both"/>
        <w:ind w:left="740"/>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Perfect Payment Period</w:t>
      </w:r>
      <w:r>
        <w:rPr>
          <w:rFonts w:ascii="Times New Roman" w:cs="Times New Roman" w:eastAsia="Times New Roman" w:hAnsi="Times New Roman"/>
          <w:sz w:val="22"/>
          <w:szCs w:val="22"/>
          <w:color w:val="auto"/>
        </w:rPr>
        <w:t>” means, with respect to any particular Seller Perfect Payment Date, the period from but excluding the previous calendar month’s Seller Perfect Payment Date to and including the particular Seller Perfect Payment Date.</w:t>
      </w:r>
    </w:p>
    <w:p>
      <w:pPr>
        <w:spacing w:after="0" w:line="173"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with respect to any Receivable, either an EPP Receivable type or a Non-EPP Receivable type.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Schedule 3 (Applicable Business Days) is hereby deleted in its entirety.</w:t>
      </w:r>
    </w:p>
    <w:p>
      <w:pPr>
        <w:spacing w:after="0" w:line="202" w:lineRule="exact"/>
        <w:rPr>
          <w:sz w:val="20"/>
          <w:szCs w:val="20"/>
          <w:color w:val="auto"/>
        </w:rPr>
      </w:pPr>
    </w:p>
    <w:p>
      <w:pPr>
        <w:ind w:left="660" w:right="20" w:hanging="328"/>
        <w:spacing w:after="0" w:line="262" w:lineRule="auto"/>
        <w:tabs>
          <w:tab w:leader="none" w:pos="660" w:val="left"/>
        </w:tabs>
        <w:numPr>
          <w:ilvl w:val="1"/>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Parent and Kyndryl hereby represents and warrants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Effective Date as follows:</w:t>
      </w:r>
    </w:p>
    <w:p>
      <w:pPr>
        <w:spacing w:after="0" w:line="153" w:lineRule="exact"/>
        <w:rPr>
          <w:rFonts w:ascii="Times New Roman" w:cs="Times New Roman" w:eastAsia="Times New Roman" w:hAnsi="Times New Roman"/>
          <w:sz w:val="22"/>
          <w:szCs w:val="22"/>
          <w:b w:val="1"/>
          <w:bCs w:val="1"/>
          <w:color w:val="auto"/>
        </w:rPr>
      </w:pPr>
    </w:p>
    <w:p>
      <w:pPr>
        <w:jc w:val="both"/>
        <w:ind w:firstLine="8"/>
        <w:spacing w:after="0" w:line="236" w:lineRule="auto"/>
        <w:tabs>
          <w:tab w:leader="none" w:pos="48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immediately before and immediately after giving effect to this Amendment, the representations and warranties set forth in the Agreement and each other Transaction Document (including, without limitation, each Participation Agreement executed on or prior to the date hereof) are true and correct on and as of the date hereof, as though made on the date hereof (except to the extent that such representations and warranties expressly relate solely to an earlier date, in which case such representations and warranties shall be true and correct as of such earlier date).</w:t>
      </w:r>
    </w:p>
    <w:p>
      <w:pPr>
        <w:spacing w:after="0" w:line="181" w:lineRule="exact"/>
        <w:rPr>
          <w:rFonts w:ascii="Times New Roman" w:cs="Times New Roman" w:eastAsia="Times New Roman" w:hAnsi="Times New Roman"/>
          <w:sz w:val="22"/>
          <w:szCs w:val="22"/>
          <w:color w:val="auto"/>
        </w:rPr>
      </w:pPr>
    </w:p>
    <w:p>
      <w:pPr>
        <w:jc w:val="both"/>
        <w:ind w:firstLine="8"/>
        <w:spacing w:after="0" w:line="236" w:lineRule="auto"/>
        <w:tabs>
          <w:tab w:leader="none" w:pos="48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notice to or the consent, acceptance, acknowledgement or approval of any Seller (other than Kyndryl) is required pursuant to the applicable Participation Agreement to which it is party to effectuate any amendment to or modification of the Agreement (or Fee Letter), as incorporated by reference into such Participation Agreement, such Seller has received such notice or provided such consent, acceptance, acknowledgement or approval (collectively, the “</w:t>
      </w: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and Kyndryl is executing this Agreement on behalf of itself and each such other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68" w:name="page69"/>
    <w:bookmarkEnd w:id="68"/>
    <w:p>
      <w:pPr>
        <w:ind w:right="20"/>
        <w:spacing w:after="0" w:line="258" w:lineRule="auto"/>
        <w:rPr>
          <w:sz w:val="20"/>
          <w:szCs w:val="20"/>
          <w:color w:val="auto"/>
        </w:rPr>
      </w:pPr>
      <w:r>
        <w:rPr>
          <w:rFonts w:ascii="Times New Roman" w:cs="Times New Roman" w:eastAsia="Times New Roman" w:hAnsi="Times New Roman"/>
          <w:sz w:val="22"/>
          <w:szCs w:val="22"/>
          <w:color w:val="auto"/>
        </w:rPr>
        <w:t>Kyndryl will provide a copy of this Agreement to each other Seller (whether or not consent hereto is required by any such other Seller).</w:t>
      </w:r>
    </w:p>
    <w:p>
      <w:pPr>
        <w:spacing w:after="0" w:line="158" w:lineRule="exact"/>
        <w:rPr>
          <w:sz w:val="20"/>
          <w:szCs w:val="20"/>
          <w:color w:val="auto"/>
        </w:rPr>
      </w:pPr>
    </w:p>
    <w:p>
      <w:pPr>
        <w:jc w:val="both"/>
        <w:ind w:firstLine="8"/>
        <w:spacing w:after="0" w:line="239" w:lineRule="auto"/>
        <w:tabs>
          <w:tab w:leader="none" w:pos="48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immediately before and immediately after giving effect to this Amendment, the representations and warranties set forth in subsections (b) though (i) of Section 6.1 of the Agreement are true and correct with respect to Parent in connection with its obligations under Section 13.19 of the Agreement, as if each reference in such representations and warranties to “Seller” were a reference to “Parent” for purposes hereof.</w:t>
      </w:r>
    </w:p>
    <w:p>
      <w:pPr>
        <w:spacing w:after="0" w:line="180" w:lineRule="exact"/>
        <w:rPr>
          <w:rFonts w:ascii="Times New Roman" w:cs="Times New Roman" w:eastAsia="Times New Roman" w:hAnsi="Times New Roman"/>
          <w:sz w:val="22"/>
          <w:szCs w:val="22"/>
          <w:color w:val="auto"/>
        </w:rPr>
      </w:pPr>
    </w:p>
    <w:p>
      <w:pPr>
        <w:jc w:val="both"/>
        <w:ind w:firstLine="8"/>
        <w:spacing w:after="0" w:line="234" w:lineRule="auto"/>
        <w:tabs>
          <w:tab w:leader="none" w:pos="48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Parent, Kyndryl and each other Seller has the organizational power and authority to execute (if applicable) and be bound by the terms and provisions of this Amendment (and any applicable Required Consent to which any other Seller is a signatory) and each of them has taken all necessary organizational action to authorize and approve the execution and delivery (to the extent applicable) and performance of this Amendment and the Agreement, as amended hereby (and, in the case of each Seller other than Kyndryl, as the Agreement, as amended hereby, is incorporated into the Participation Agreement to which it is a party), and the foregoing constitutes the legal, valid, and binding obligation of such party, enforceable against such party in accordance with its terms, except as the enforceability thereof may be limited by bankruptcy, insolvency or similar laws affecting creditors’ rights generally and subject to general principles of equity.</w:t>
      </w:r>
    </w:p>
    <w:p>
      <w:pPr>
        <w:spacing w:after="0" w:line="183" w:lineRule="exact"/>
        <w:rPr>
          <w:rFonts w:ascii="Times New Roman" w:cs="Times New Roman" w:eastAsia="Times New Roman" w:hAnsi="Times New Roman"/>
          <w:sz w:val="22"/>
          <w:szCs w:val="22"/>
          <w:color w:val="auto"/>
        </w:rPr>
      </w:pPr>
    </w:p>
    <w:p>
      <w:pPr>
        <w:jc w:val="both"/>
        <w:ind w:firstLine="8"/>
        <w:spacing w:after="0" w:line="244" w:lineRule="auto"/>
        <w:tabs>
          <w:tab w:leader="none" w:pos="48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Triggering Event, Purchaser Termination Event, or event that with the giving of notice, or lapse of time or both would give rise to a Triggering Event or Purchaser Termination Event has occurred, in each such case, both immediately before and immediately after giving effect to this Amendment.</w:t>
      </w:r>
    </w:p>
    <w:p>
      <w:pPr>
        <w:spacing w:after="0" w:line="173" w:lineRule="exact"/>
        <w:rPr>
          <w:rFonts w:ascii="Times New Roman" w:cs="Times New Roman" w:eastAsia="Times New Roman" w:hAnsi="Times New Roman"/>
          <w:sz w:val="22"/>
          <w:szCs w:val="22"/>
          <w:color w:val="auto"/>
        </w:rPr>
      </w:pPr>
    </w:p>
    <w:p>
      <w:pPr>
        <w:ind w:left="340" w:right="2000" w:hanging="332"/>
        <w:spacing w:after="0" w:line="435" w:lineRule="auto"/>
        <w:tabs>
          <w:tab w:leader="none" w:pos="50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Insolvency Event has occurred with respect to Parent, Kyndryl or any other Seller. </w:t>
      </w:r>
      <w:r>
        <w:rPr>
          <w:rFonts w:ascii="Times New Roman" w:cs="Times New Roman" w:eastAsia="Times New Roman" w:hAnsi="Times New Roman"/>
          <w:sz w:val="22"/>
          <w:szCs w:val="22"/>
          <w:b w:val="1"/>
          <w:bCs w:val="1"/>
          <w:color w:val="auto"/>
        </w:rPr>
        <w:t xml:space="preserve">D. </w:t>
      </w:r>
      <w:r>
        <w:rPr>
          <w:rFonts w:ascii="Times New Roman" w:cs="Times New Roman" w:eastAsia="Times New Roman" w:hAnsi="Times New Roman"/>
          <w:sz w:val="22"/>
          <w:szCs w:val="22"/>
          <w:b w:val="1"/>
          <w:bCs w:val="1"/>
          <w:u w:val="single" w:color="auto"/>
          <w:color w:val="auto"/>
        </w:rPr>
        <w:t>Additional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further agree to the following terms.</w:t>
      </w:r>
    </w:p>
    <w:p>
      <w:pPr>
        <w:spacing w:after="0" w:line="1" w:lineRule="exact"/>
        <w:rPr>
          <w:sz w:val="20"/>
          <w:szCs w:val="20"/>
          <w:color w:val="auto"/>
        </w:rPr>
      </w:pPr>
    </w:p>
    <w:p>
      <w:pPr>
        <w:jc w:val="both"/>
        <w:ind w:firstLine="8"/>
        <w:spacing w:after="0" w:line="247" w:lineRule="auto"/>
        <w:tabs>
          <w:tab w:leader="none" w:pos="48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shall be effective solely for the specific purpose for which it is given and shall not create a course of dealing between the parties in any respect. The execution, delivery, and performance of this Amendment shall not operate, except as expressly set forth herein, as a waiver of, consent to, or a modification or amendment of, any right, power, or remedy of Purchaser under the Agreement, any Participation Agreement, or any other Transaction Document. Except for the amendments to the Agreement expressly set forth herein (and as the Agreement, as amended hereby, is incorporated by reference into each Participation Agreement), the Agreement, each Participation Agreement and each other Transaction Document shall remain unchanged and in full force and effect in accordance with their respective terms and are hereby ratified and confirmed in all respects.</w:t>
      </w:r>
    </w:p>
    <w:p>
      <w:pPr>
        <w:spacing w:after="0" w:line="171" w:lineRule="exact"/>
        <w:rPr>
          <w:rFonts w:ascii="Times New Roman" w:cs="Times New Roman" w:eastAsia="Times New Roman" w:hAnsi="Times New Roman"/>
          <w:sz w:val="21"/>
          <w:szCs w:val="21"/>
          <w:color w:val="auto"/>
        </w:rPr>
      </w:pPr>
    </w:p>
    <w:p>
      <w:pPr>
        <w:jc w:val="both"/>
        <w:ind w:firstLine="8"/>
        <w:spacing w:after="0" w:line="239" w:lineRule="auto"/>
        <w:tabs>
          <w:tab w:leader="none" w:pos="48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after the effectiveness of this Amendment, each reference in the Agreement to “this Agreement”, “hereunder”, “herein”, “hereof” or words of like import referring to the Agreement, and each reference in any Participation Agreement or any other Transaction Document to “the Receivables Purchase Agreement”, “the Amended and Restated Receivables Purchase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69" w:name="page70"/>
    <w:bookmarkEnd w:id="69"/>
    <w:p>
      <w:pPr>
        <w:ind w:right="20"/>
        <w:spacing w:after="0" w:line="258" w:lineRule="auto"/>
        <w:rPr>
          <w:sz w:val="20"/>
          <w:szCs w:val="20"/>
          <w:color w:val="auto"/>
        </w:rPr>
      </w:pPr>
      <w:r>
        <w:rPr>
          <w:rFonts w:ascii="Times New Roman" w:cs="Times New Roman" w:eastAsia="Times New Roman" w:hAnsi="Times New Roman"/>
          <w:sz w:val="22"/>
          <w:szCs w:val="22"/>
          <w:color w:val="auto"/>
        </w:rPr>
        <w:t>Agreement”, “thereunder”, “therein”, “thereof” or words of like import referring to the Agreement, shall mean and be a reference to the Agreement as modified and amended hereby.</w:t>
      </w:r>
    </w:p>
    <w:p>
      <w:pPr>
        <w:spacing w:after="0" w:line="158" w:lineRule="exact"/>
        <w:rPr>
          <w:sz w:val="20"/>
          <w:szCs w:val="20"/>
          <w:color w:val="auto"/>
        </w:rPr>
      </w:pPr>
    </w:p>
    <w:p>
      <w:pPr>
        <w:jc w:val="both"/>
        <w:ind w:firstLine="8"/>
        <w:spacing w:after="0" w:line="236" w:lineRule="auto"/>
        <w:tabs>
          <w:tab w:leader="none" w:pos="48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the terms and provisions hereof, the Agreement (as amended hereby) and the other Transaction Documents (after giving effect to this Amendment) constitute the entire understanding and agreement between the parties hereto or thereto with respect to the subject matter hereof and thereof and supersede any and all prior or contemporaneous amendments or understandings with respect to the subject matter hereof, whether express or implied, oral or written. The terms and provisions of this Amendment shall prevail over any conflicting terms of any other Transaction Document.</w:t>
      </w:r>
    </w:p>
    <w:p>
      <w:pPr>
        <w:spacing w:after="0" w:line="181" w:lineRule="exact"/>
        <w:rPr>
          <w:rFonts w:ascii="Times New Roman" w:cs="Times New Roman" w:eastAsia="Times New Roman" w:hAnsi="Times New Roman"/>
          <w:sz w:val="22"/>
          <w:szCs w:val="22"/>
          <w:color w:val="auto"/>
        </w:rPr>
      </w:pPr>
    </w:p>
    <w:p>
      <w:pPr>
        <w:jc w:val="both"/>
        <w:ind w:firstLine="8"/>
        <w:spacing w:after="0" w:line="238" w:lineRule="auto"/>
        <w:tabs>
          <w:tab w:leader="none" w:pos="48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Parent and Kyndryl, on behalf of itself and each other Seller, hereby (i) reaffirms its obligations under each Transaction Document to which it is a party after giving effect to the terms and provisions of this Amendment and (ii) ratifies and reaffirms the validity, enforceability, perfection and first priority ownership interest of the Purchaser in, to and under each Purchased Receivable transferred pursuant to the Agreement or any Participation Agreement, as applicable.</w:t>
      </w:r>
    </w:p>
    <w:p>
      <w:pPr>
        <w:spacing w:after="0" w:line="176" w:lineRule="exact"/>
        <w:rPr>
          <w:rFonts w:ascii="Times New Roman" w:cs="Times New Roman" w:eastAsia="Times New Roman" w:hAnsi="Times New Roman"/>
          <w:sz w:val="22"/>
          <w:szCs w:val="22"/>
          <w:color w:val="auto"/>
        </w:rPr>
      </w:pPr>
    </w:p>
    <w:p>
      <w:pPr>
        <w:jc w:val="both"/>
        <w:ind w:firstLine="8"/>
        <w:spacing w:after="0" w:line="244" w:lineRule="auto"/>
        <w:tabs>
          <w:tab w:leader="none" w:pos="48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73" w:lineRule="exact"/>
        <w:rPr>
          <w:rFonts w:ascii="Times New Roman" w:cs="Times New Roman" w:eastAsia="Times New Roman" w:hAnsi="Times New Roman"/>
          <w:sz w:val="22"/>
          <w:szCs w:val="22"/>
          <w:color w:val="auto"/>
        </w:rPr>
      </w:pPr>
    </w:p>
    <w:p>
      <w:pPr>
        <w:jc w:val="both"/>
        <w:ind w:firstLine="8"/>
        <w:spacing w:after="0" w:line="244" w:lineRule="auto"/>
        <w:tabs>
          <w:tab w:leader="none" w:pos="48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SECTIONS 13.9, 13.10 AND 13.11 OF THE AGREEMENT (GOVERNING LAW, SUBMISSION TO JURISDICTION AND WAIVER OF JURY TRIAL) ARE HEREBY INCORPORATED HEREIN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MUTANDIS </w:t>
      </w:r>
      <w:r>
        <w:rPr>
          <w:rFonts w:ascii="Times New Roman" w:cs="Times New Roman" w:eastAsia="Times New Roman" w:hAnsi="Times New Roman"/>
          <w:sz w:val="22"/>
          <w:szCs w:val="22"/>
          <w:color w:val="auto"/>
        </w:rPr>
        <w:t>AS IF SET FORTH IN FULL HEREIN.</w:t>
      </w:r>
    </w:p>
    <w:p>
      <w:pPr>
        <w:spacing w:after="0" w:line="173" w:lineRule="exact"/>
        <w:rPr>
          <w:rFonts w:ascii="Times New Roman" w:cs="Times New Roman" w:eastAsia="Times New Roman" w:hAnsi="Times New Roman"/>
          <w:sz w:val="22"/>
          <w:szCs w:val="22"/>
          <w:color w:val="auto"/>
        </w:rPr>
      </w:pPr>
    </w:p>
    <w:p>
      <w:pPr>
        <w:jc w:val="both"/>
        <w:ind w:firstLine="8"/>
        <w:spacing w:after="0" w:line="238" w:lineRule="auto"/>
        <w:tabs>
          <w:tab w:leader="none" w:pos="48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and by different parties hereto in separate counterparts, each of which, when executed and delivered, shall be deemed to be an original, and all of which, taken together, shall constitute but one and the same agreement. Delivery of an executed counterpart of this Amendment by facsimile or other electronic method of transmission shall be equally effective as delivery of an original executed counterpart of this Amendment.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70" w:name="page71"/>
    <w:bookmarkEnd w:id="70"/>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and delivered as of the date first above written.</w:t>
      </w:r>
    </w:p>
    <w:p>
      <w:pPr>
        <w:spacing w:after="0" w:line="38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BANCO SANTANDER S.A., as Purchaser</w:t>
      </w:r>
    </w:p>
    <w:p>
      <w:pPr>
        <w:spacing w:after="0" w:line="200" w:lineRule="exact"/>
        <w:rPr>
          <w:sz w:val="20"/>
          <w:szCs w:val="20"/>
          <w:color w:val="auto"/>
        </w:rPr>
      </w:pPr>
    </w:p>
    <w:p>
      <w:pPr>
        <w:spacing w:after="0" w:line="276" w:lineRule="exact"/>
        <w:rPr>
          <w:sz w:val="20"/>
          <w:szCs w:val="20"/>
          <w:color w:val="auto"/>
        </w:rPr>
      </w:pP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Antia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10795</wp:posOffset>
            </wp:positionV>
            <wp:extent cx="27260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Antia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-3810</wp:posOffset>
            </wp:positionV>
            <wp:extent cx="27260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Associate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-3810</wp:posOffset>
            </wp:positionV>
            <wp:extent cx="27260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Ignacio Frutos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10795</wp:posOffset>
            </wp:positionV>
            <wp:extent cx="27260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Ignacio Frutos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-3810</wp:posOffset>
            </wp:positionV>
            <wp:extent cx="27260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980"/>
        <w:spacing w:after="0"/>
        <w:tabs>
          <w:tab w:leader="none" w:pos="56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638810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-3810</wp:posOffset>
            </wp:positionV>
            <wp:extent cx="27260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71" w:name="page72"/>
    <w:bookmarkEnd w:id="71"/>
    <w:p>
      <w:pPr>
        <w:ind w:left="4520"/>
        <w:spacing w:after="0"/>
        <w:rPr>
          <w:sz w:val="20"/>
          <w:szCs w:val="20"/>
          <w:color w:val="auto"/>
        </w:rPr>
      </w:pPr>
      <w:r>
        <w:rPr>
          <w:rFonts w:ascii="Times New Roman" w:cs="Times New Roman" w:eastAsia="Times New Roman" w:hAnsi="Times New Roman"/>
          <w:sz w:val="22"/>
          <w:szCs w:val="22"/>
          <w:color w:val="auto"/>
        </w:rPr>
        <w:t>KYNDRYL, INC., as Seller</w:t>
      </w:r>
    </w:p>
    <w:p>
      <w:pPr>
        <w:spacing w:after="0" w:line="200" w:lineRule="exact"/>
        <w:rPr>
          <w:sz w:val="20"/>
          <w:szCs w:val="20"/>
          <w:color w:val="auto"/>
        </w:rPr>
      </w:pPr>
    </w:p>
    <w:p>
      <w:pPr>
        <w:spacing w:after="0" w:line="276" w:lineRule="exact"/>
        <w:rPr>
          <w:sz w:val="20"/>
          <w:szCs w:val="20"/>
          <w:color w:val="auto"/>
        </w:rPr>
      </w:pPr>
    </w:p>
    <w:p>
      <w:pPr>
        <w:ind w:left="4520"/>
        <w:spacing w:after="0"/>
        <w:tabs>
          <w:tab w:leader="none" w:pos="5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Evan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10795</wp:posOffset>
            </wp:positionV>
            <wp:extent cx="27260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 Evan Barth</w:t>
      </w:r>
    </w:p>
    <w:p>
      <w:pPr>
        <w:spacing w:after="0" w:line="14" w:lineRule="exact"/>
        <w:rPr>
          <w:sz w:val="20"/>
          <w:szCs w:val="20"/>
          <w:color w:val="auto"/>
        </w:rPr>
      </w:pPr>
    </w:p>
    <w:p>
      <w:pPr>
        <w:jc w:val="right"/>
        <w:spacing w:after="0"/>
        <w:tabs>
          <w:tab w:leader="none" w:pos="4280" w:val="left"/>
        </w:tabs>
        <w:rPr>
          <w:sz w:val="20"/>
          <w:szCs w:val="20"/>
          <w:color w:val="auto"/>
        </w:rPr>
      </w:pPr>
      <w:r>
        <w:rPr>
          <w:rFonts w:ascii="Times New Roman" w:cs="Times New Roman" w:eastAsia="Times New Roman" w:hAnsi="Times New Roman"/>
          <w:sz w:val="22"/>
          <w:szCs w:val="22"/>
          <w:color w:val="auto"/>
        </w:rPr>
        <w:t>Title:</w:t>
        <w:tab/>
        <w:t>VP, Associate General Counsel and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-158115</wp:posOffset>
            </wp:positionV>
            <wp:extent cx="27260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22"/>
          <w:szCs w:val="22"/>
          <w:color w:val="auto"/>
        </w:rPr>
        <w:t>Corp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-3810</wp:posOffset>
            </wp:positionV>
            <wp:extent cx="27260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3" w:lineRule="exact"/>
        <w:rPr>
          <w:sz w:val="20"/>
          <w:szCs w:val="20"/>
          <w:color w:val="auto"/>
        </w:rPr>
      </w:pPr>
    </w:p>
    <w:p>
      <w:pPr>
        <w:ind w:left="4520"/>
        <w:spacing w:after="0" w:line="282" w:lineRule="auto"/>
        <w:rPr>
          <w:sz w:val="20"/>
          <w:szCs w:val="20"/>
          <w:color w:val="auto"/>
        </w:rPr>
      </w:pPr>
      <w:r>
        <w:rPr>
          <w:rFonts w:ascii="Times New Roman" w:cs="Times New Roman" w:eastAsia="Times New Roman" w:hAnsi="Times New Roman"/>
          <w:sz w:val="21"/>
          <w:szCs w:val="21"/>
          <w:color w:val="auto"/>
        </w:rPr>
        <w:t>Kyndryl Holdings Inc., solely for purposes of Section 13.19 of the Receivables Purchase Agreement, as Parent</w:t>
      </w:r>
    </w:p>
    <w:p>
      <w:pPr>
        <w:spacing w:after="0" w:line="162" w:lineRule="exact"/>
        <w:rPr>
          <w:sz w:val="20"/>
          <w:szCs w:val="20"/>
          <w:color w:val="auto"/>
        </w:rPr>
      </w:pPr>
    </w:p>
    <w:p>
      <w:pPr>
        <w:ind w:left="4520"/>
        <w:spacing w:after="0"/>
        <w:tabs>
          <w:tab w:leader="none" w:pos="5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Evan Barth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10795</wp:posOffset>
            </wp:positionV>
            <wp:extent cx="27260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 Evan Barth</w:t>
      </w:r>
    </w:p>
    <w:p>
      <w:pPr>
        <w:spacing w:after="0" w:line="14" w:lineRule="exact"/>
        <w:rPr>
          <w:sz w:val="20"/>
          <w:szCs w:val="20"/>
          <w:color w:val="auto"/>
        </w:rPr>
      </w:pPr>
    </w:p>
    <w:p>
      <w:pPr>
        <w:jc w:val="right"/>
        <w:spacing w:after="0"/>
        <w:tabs>
          <w:tab w:leader="none" w:pos="4280" w:val="left"/>
        </w:tabs>
        <w:rPr>
          <w:sz w:val="20"/>
          <w:szCs w:val="20"/>
          <w:color w:val="auto"/>
        </w:rPr>
      </w:pPr>
      <w:r>
        <w:rPr>
          <w:rFonts w:ascii="Times New Roman" w:cs="Times New Roman" w:eastAsia="Times New Roman" w:hAnsi="Times New Roman"/>
          <w:sz w:val="22"/>
          <w:szCs w:val="22"/>
          <w:color w:val="auto"/>
        </w:rPr>
        <w:t>Title:</w:t>
        <w:tab/>
        <w:t>VP, Associate General Counsel and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-158115</wp:posOffset>
            </wp:positionV>
            <wp:extent cx="27260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22"/>
          <w:szCs w:val="22"/>
          <w:color w:val="auto"/>
        </w:rPr>
        <w:t>Corp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-3810</wp:posOffset>
            </wp:positionV>
            <wp:extent cx="27260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1"/>
          <w:szCs w:val="21"/>
          <w:color w:val="auto"/>
        </w:rPr>
        <w:t>Signature Page to Third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356235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69" w:right="99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J. Schroeter, certify that:</w:t>
      </w:r>
    </w:p>
    <w:p>
      <w:pPr>
        <w:spacing w:after="0" w:line="225" w:lineRule="exact"/>
        <w:rPr>
          <w:sz w:val="20"/>
          <w:szCs w:val="20"/>
          <w:color w:val="auto"/>
        </w:rPr>
      </w:pPr>
    </w:p>
    <w:p>
      <w:pPr>
        <w:ind w:left="180" w:hanging="172"/>
        <w:spacing w:after="0"/>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380" w:right="160" w:hanging="2"/>
        <w:spacing w:after="0" w:line="266" w:lineRule="auto"/>
        <w:tabs>
          <w:tab w:leader="none" w:pos="56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7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6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2023</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Wyshner, certify that:</w:t>
      </w:r>
    </w:p>
    <w:p>
      <w:pPr>
        <w:spacing w:after="0" w:line="225" w:lineRule="exact"/>
        <w:rPr>
          <w:sz w:val="20"/>
          <w:szCs w:val="20"/>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380" w:right="160" w:hanging="2"/>
        <w:spacing w:after="0" w:line="266" w:lineRule="auto"/>
        <w:tabs>
          <w:tab w:leader="none" w:pos="56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7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6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1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2023</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December 31, 2022,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2023</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December 31, 2022,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2023</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o"/>
      <w:numFmt w:val="bullet"/>
      <w:start w:val="1"/>
    </w:lvl>
  </w:abstractNum>
  <w:abstractNum w:abstractNumId="22">
    <w:nsid w:val="7A6D8D3C"/>
    <w:multiLevelType w:val="hybridMultilevel"/>
    <w:lvl w:ilvl="0">
      <w:lvlJc w:val="left"/>
      <w:lvlText w:val="%1"/>
      <w:numFmt w:val="decimal"/>
      <w:start w:val="1"/>
    </w:lvl>
    <w:lvl w:ilvl="1">
      <w:lvlJc w:val="left"/>
      <w:lvlText w:val="%2."/>
      <w:numFmt w:val="upperLetter"/>
      <w:start w:val="1"/>
    </w:lvl>
  </w:abstractNum>
  <w:abstractNum w:abstractNumId="23">
    <w:nsid w:val="4B588F54"/>
    <w:multiLevelType w:val="hybridMultilevel"/>
    <w:lvl w:ilvl="0">
      <w:lvlJc w:val="left"/>
      <w:lvlText w:val="%1."/>
      <w:numFmt w:val="decimal"/>
      <w:start w:val="1"/>
    </w:lvl>
    <w:lvl w:ilvl="1">
      <w:lvlJc w:val="left"/>
      <w:lvlText w:val="%2"/>
      <w:numFmt w:val="upperLetter"/>
      <w:start w:val="1"/>
    </w:lvl>
  </w:abstractNum>
  <w:abstractNum w:abstractNumId="24">
    <w:nsid w:val="542289EC"/>
    <w:multiLevelType w:val="hybridMultilevel"/>
    <w:lvl w:ilvl="0">
      <w:lvlJc w:val="left"/>
      <w:lvlText w:val="%1"/>
      <w:numFmt w:val="decimal"/>
      <w:start w:val="1"/>
    </w:lvl>
    <w:lvl w:ilvl="1">
      <w:lvlJc w:val="left"/>
      <w:lvlText w:val="(%2)"/>
      <w:numFmt w:val="upperLetter"/>
      <w:start w:val="1"/>
    </w:lvl>
  </w:abstractNum>
  <w:abstractNum w:abstractNumId="25">
    <w:nsid w:val="6DE91B18"/>
    <w:multiLevelType w:val="hybridMultilevel"/>
    <w:lvl w:ilvl="0">
      <w:lvlJc w:val="left"/>
      <w:lvlText w:val="%1."/>
      <w:numFmt w:val="decimal"/>
      <w:start w:val="3"/>
    </w:lvl>
    <w:lvl w:ilvl="1">
      <w:lvlJc w:val="left"/>
      <w:lvlText w:val="%2"/>
      <w:numFmt w:val="upperLetter"/>
      <w:start w:val="1"/>
    </w:lvl>
  </w:abstractNum>
  <w:abstractNum w:abstractNumId="26">
    <w:nsid w:val="38437FDB"/>
    <w:multiLevelType w:val="hybridMultilevel"/>
    <w:lvl w:ilvl="0">
      <w:lvlJc w:val="left"/>
      <w:lvlText w:val="%1"/>
      <w:numFmt w:val="decimal"/>
      <w:start w:val="1"/>
    </w:lvl>
    <w:lvl w:ilvl="1">
      <w:lvlJc w:val="left"/>
      <w:lvlText w:val="(%2)"/>
      <w:numFmt w:val="lowerRoman"/>
      <w:start w:val="25"/>
    </w:lvl>
  </w:abstractNum>
  <w:abstractNum w:abstractNumId="27">
    <w:nsid w:val="7644A45C"/>
    <w:multiLevelType w:val="hybridMultilevel"/>
    <w:lvl w:ilvl="0">
      <w:lvlJc w:val="left"/>
      <w:lvlText w:val="%1."/>
      <w:numFmt w:val="decimal"/>
      <w:start w:val="4"/>
    </w:lvl>
    <w:lvl w:ilvl="1">
      <w:lvlJc w:val="left"/>
      <w:lvlText w:val="(%2)"/>
      <w:numFmt w:val="lowerRoman"/>
      <w:start w:val="1"/>
    </w:lvl>
  </w:abstractNum>
  <w:abstractNum w:abstractNumId="28">
    <w:nsid w:val="32FFF902"/>
    <w:multiLevelType w:val="hybridMultilevel"/>
    <w:lvl w:ilvl="0">
      <w:lvlJc w:val="left"/>
      <w:lvlText w:val="%1."/>
      <w:numFmt w:val="decimal"/>
      <w:start w:val="5"/>
    </w:lvl>
  </w:abstractNum>
  <w:abstractNum w:abstractNumId="29">
    <w:nsid w:val="684A481A"/>
    <w:multiLevelType w:val="hybridMultilevel"/>
    <w:lvl w:ilvl="0">
      <w:lvlJc w:val="left"/>
      <w:lvlText w:val="%1."/>
      <w:numFmt w:val="decimal"/>
      <w:start w:val="6"/>
    </w:lvl>
  </w:abstractNum>
  <w:abstractNum w:abstractNumId="30">
    <w:nsid w:val="579478FE"/>
    <w:multiLevelType w:val="hybridMultilevel"/>
    <w:lvl w:ilvl="0">
      <w:lvlJc w:val="left"/>
      <w:lvlText w:val="%1."/>
      <w:numFmt w:val="decimal"/>
      <w:start w:val="7"/>
    </w:lvl>
  </w:abstractNum>
  <w:abstractNum w:abstractNumId="31">
    <w:nsid w:val="749ABB43"/>
    <w:multiLevelType w:val="hybridMultilevel"/>
    <w:lvl w:ilvl="0">
      <w:lvlJc w:val="left"/>
      <w:lvlText w:val="%1."/>
      <w:numFmt w:val="decimal"/>
      <w:start w:val="8"/>
    </w:lvl>
  </w:abstractNum>
  <w:abstractNum w:abstractNumId="32">
    <w:nsid w:val="3DC240FB"/>
    <w:multiLevelType w:val="hybridMultilevel"/>
    <w:lvl w:ilvl="0">
      <w:lvlJc w:val="left"/>
      <w:lvlText w:val="%1."/>
      <w:numFmt w:val="decimal"/>
      <w:start w:val="10"/>
    </w:lvl>
    <w:lvl w:ilvl="1">
      <w:lvlJc w:val="left"/>
      <w:lvlText w:val="%2."/>
      <w:numFmt w:val="upperLetter"/>
      <w:start w:val="3"/>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3"/>
    </w:lvl>
  </w:abstractNum>
  <w:abstractNum w:abstractNumId="35">
    <w:nsid w:val="75C6C33A"/>
    <w:multiLevelType w:val="hybridMultilevel"/>
    <w:lvl w:ilvl="0">
      <w:lvlJc w:val="left"/>
      <w:lvlText w:val="%1"/>
      <w:numFmt w:val="decimal"/>
      <w:start w:val="1"/>
    </w:lvl>
    <w:lvl w:ilvl="1">
      <w:lvlJc w:val="left"/>
      <w:lvlText w:val="%2."/>
      <w:numFmt w:val="upperLetter"/>
      <w:start w:val="4"/>
    </w:lvl>
  </w:abstractNum>
  <w:abstractNum w:abstractNumId="36">
    <w:nsid w:val="12E685FB"/>
    <w:multiLevelType w:val="hybridMultilevel"/>
    <w:lvl w:ilvl="0">
      <w:lvlJc w:val="left"/>
      <w:lvlText w:val="%1."/>
      <w:numFmt w:val="decimal"/>
      <w:start w:val="1"/>
    </w:lvl>
    <w:lvl w:ilvl="1">
      <w:lvlJc w:val="left"/>
      <w:lvlText w:val="%2"/>
      <w:numFmt w:val="upperLetter"/>
      <w:start w:val="1"/>
    </w:lvl>
  </w:abstractNum>
  <w:abstractNum w:abstractNumId="37">
    <w:nsid w:val="70C6A529"/>
    <w:multiLevelType w:val="hybridMultilevel"/>
    <w:lvl w:ilvl="0">
      <w:lvlJc w:val="left"/>
      <w:lvlText w:val="%1."/>
      <w:numFmt w:val="decimal"/>
      <w:start w:val="3"/>
    </w:lvl>
  </w:abstractNum>
  <w:abstractNum w:abstractNumId="38">
    <w:nsid w:val="520EEDD1"/>
    <w:multiLevelType w:val="hybridMultilevel"/>
    <w:lvl w:ilvl="0">
      <w:lvlJc w:val="left"/>
      <w:lvlText w:val="%1"/>
      <w:numFmt w:val="decimal"/>
      <w:start w:val="1"/>
    </w:lvl>
    <w:lvl w:ilvl="1">
      <w:lvlJc w:val="left"/>
      <w:lvlText w:val="%2."/>
      <w:numFmt w:val="upperLetter"/>
      <w:start w:val="1"/>
    </w:lvl>
  </w:abstractNum>
  <w:abstractNum w:abstractNumId="39">
    <w:nsid w:val="374A3FE6"/>
    <w:multiLevelType w:val="hybridMultilevel"/>
    <w:lvl w:ilvl="0">
      <w:lvlJc w:val="left"/>
      <w:lvlText w:val="%1."/>
      <w:numFmt w:val="decimal"/>
      <w:start w:val="1"/>
    </w:lvl>
    <w:lvl w:ilvl="1">
      <w:lvlJc w:val="left"/>
      <w:lvlText w:val="%2"/>
      <w:numFmt w:val="upperLetter"/>
      <w:start w:val="1"/>
    </w:lvl>
  </w:abstractNum>
  <w:abstractNum w:abstractNumId="40">
    <w:nsid w:val="4F4EF005"/>
    <w:multiLevelType w:val="hybridMultilevel"/>
    <w:lvl w:ilvl="0">
      <w:lvlJc w:val="left"/>
      <w:lvlText w:val="%1."/>
      <w:numFmt w:val="decimal"/>
      <w:start w:val="2"/>
    </w:lvl>
    <w:lvl w:ilvl="1">
      <w:lvlJc w:val="left"/>
      <w:lvlText w:val="(%2)"/>
      <w:numFmt w:val="lowerLetter"/>
      <w:start w:val="3"/>
    </w:lvl>
  </w:abstractNum>
  <w:abstractNum w:abstractNumId="41">
    <w:nsid w:val="23F9C1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42">
    <w:nsid w:val="649BB77C"/>
    <w:multiLevelType w:val="hybridMultilevel"/>
    <w:lvl w:ilvl="0">
      <w:lvlJc w:val="left"/>
      <w:lvlText w:val="%1."/>
      <w:numFmt w:val="decimal"/>
      <w:start w:val="4"/>
    </w:lvl>
    <w:lvl w:ilvl="1">
      <w:lvlJc w:val="left"/>
      <w:lvlText w:val="(%2)"/>
      <w:numFmt w:val="lowerLetter"/>
      <w:start w:val="8"/>
    </w:lvl>
    <w:lvl w:ilvl="2">
      <w:lvlJc w:val="left"/>
      <w:lvlText w:val="%3"/>
      <w:numFmt w:val="lowerLetter"/>
      <w:start w:val="1"/>
    </w:lvl>
  </w:abstractNum>
  <w:abstractNum w:abstractNumId="43">
    <w:nsid w:val="275AC794"/>
    <w:multiLevelType w:val="hybridMultilevel"/>
    <w:lvl w:ilvl="0">
      <w:lvlJc w:val="left"/>
      <w:lvlText w:val="(%1)"/>
      <w:numFmt w:val="lowerRoman"/>
      <w:start w:val="2"/>
    </w:lvl>
  </w:abstractNum>
  <w:abstractNum w:abstractNumId="44">
    <w:nsid w:val="39386575"/>
    <w:multiLevelType w:val="hybridMultilevel"/>
    <w:lvl w:ilvl="0">
      <w:lvlJc w:val="left"/>
      <w:lvlText w:val="(%1)"/>
      <w:numFmt w:val="lowerRoman"/>
      <w:start w:val="4"/>
    </w:lvl>
  </w:abstractNum>
  <w:abstractNum w:abstractNumId="45">
    <w:nsid w:val="1CF10FD8"/>
    <w:multiLevelType w:val="hybridMultilevel"/>
    <w:lvl w:ilvl="0">
      <w:lvlJc w:val="left"/>
      <w:lvlText w:val="%1."/>
      <w:numFmt w:val="decimal"/>
      <w:start w:val="5"/>
    </w:lvl>
  </w:abstractNum>
  <w:abstractNum w:abstractNumId="46">
    <w:nsid w:val="180115BE"/>
    <w:multiLevelType w:val="hybridMultilevel"/>
    <w:lvl w:ilvl="0">
      <w:lvlJc w:val="left"/>
      <w:lvlText w:val="(%1)"/>
      <w:numFmt w:val="upperLetter"/>
      <w:start w:val="3"/>
    </w:lvl>
  </w:abstractNum>
  <w:abstractNum w:abstractNumId="47">
    <w:nsid w:val="235BA861"/>
    <w:multiLevelType w:val="hybridMultilevel"/>
    <w:lvl w:ilvl="0">
      <w:lvlJc w:val="left"/>
      <w:lvlText w:val="%1"/>
      <w:numFmt w:val="lowerRoman"/>
      <w:start w:val="1"/>
    </w:lvl>
    <w:lvl w:ilvl="1">
      <w:lvlJc w:val="left"/>
      <w:lvlText w:val="(%2)"/>
      <w:numFmt w:val="lowerRoman"/>
      <w:start w:val="2"/>
    </w:lvl>
  </w:abstractNum>
  <w:abstractNum w:abstractNumId="48">
    <w:nsid w:val="47398C89"/>
    <w:multiLevelType w:val="hybridMultilevel"/>
    <w:lvl w:ilvl="0">
      <w:lvlJc w:val="left"/>
      <w:lvlText w:val="(%1)"/>
      <w:numFmt w:val="lowerRoman"/>
      <w:start w:val="4"/>
    </w:lvl>
    <w:lvl w:ilvl="1">
      <w:lvlJc w:val="left"/>
      <w:lvlText w:val="%2"/>
      <w:numFmt w:val="lowerRoman"/>
      <w:start w:val="1"/>
    </w:lvl>
  </w:abstractNum>
  <w:abstractNum w:abstractNumId="49">
    <w:nsid w:val="354FE9F9"/>
    <w:multiLevelType w:val="hybridMultilevel"/>
    <w:lvl w:ilvl="0">
      <w:lvlJc w:val="left"/>
      <w:lvlText w:val="%1."/>
      <w:numFmt w:val="decimal"/>
      <w:start w:val="6"/>
    </w:lvl>
    <w:lvl w:ilvl="1">
      <w:lvlJc w:val="left"/>
      <w:lvlText w:val="(%2)"/>
      <w:numFmt w:val="lowerLetter"/>
      <w:start w:val="8"/>
    </w:lvl>
  </w:abstractNum>
  <w:abstractNum w:abstractNumId="50">
    <w:nsid w:val="15B5AF5C"/>
    <w:multiLevelType w:val="hybridMultilevel"/>
    <w:lvl w:ilvl="0">
      <w:lvlJc w:val="left"/>
      <w:lvlText w:val="%1"/>
      <w:numFmt w:val="decimal"/>
      <w:start w:val="1"/>
    </w:lvl>
    <w:lvl w:ilvl="1">
      <w:lvlJc w:val="left"/>
      <w:lvlText w:val="(%2)"/>
      <w:numFmt w:val="lowerLetter"/>
      <w:start w:val="9"/>
    </w:lvl>
  </w:abstractNum>
  <w:abstractNum w:abstractNumId="51">
    <w:nsid w:val="741226BB"/>
    <w:multiLevelType w:val="hybridMultilevel"/>
    <w:lvl w:ilvl="0">
      <w:lvlJc w:val="left"/>
      <w:lvlText w:val="(%1)"/>
      <w:numFmt w:val="lowerRoman"/>
      <w:start w:val="3"/>
    </w:lvl>
  </w:abstractNum>
  <w:abstractNum w:abstractNumId="52">
    <w:nsid w:val="D34B6A8"/>
    <w:multiLevelType w:val="hybridMultilevel"/>
    <w:lvl w:ilvl="0">
      <w:lvlJc w:val="left"/>
      <w:lvlText w:val="(%1)"/>
      <w:numFmt w:val="lowerRoman"/>
      <w:start w:val="19"/>
    </w:lvl>
  </w:abstractNum>
  <w:abstractNum w:abstractNumId="53">
    <w:nsid w:val="10233C99"/>
    <w:multiLevelType w:val="hybridMultilevel"/>
    <w:lvl w:ilvl="0">
      <w:lvlJc w:val="left"/>
      <w:lvlText w:val="(%1)"/>
      <w:numFmt w:val="lowerRoman"/>
      <w:start w:val="21"/>
    </w:lvl>
  </w:abstractNum>
  <w:abstractNum w:abstractNumId="54">
    <w:nsid w:val="3F6AB60F"/>
    <w:multiLevelType w:val="hybridMultilevel"/>
    <w:lvl w:ilvl="0">
      <w:lvlJc w:val="left"/>
      <w:lvlText w:val="%1"/>
      <w:numFmt w:val="decimal"/>
      <w:start w:val="1"/>
    </w:lvl>
    <w:lvl w:ilvl="1">
      <w:lvlJc w:val="left"/>
      <w:lvlText w:val="(%2)"/>
      <w:numFmt w:val="lowerRoman"/>
      <w:start w:val="25"/>
    </w:lvl>
  </w:abstractNum>
  <w:abstractNum w:abstractNumId="55">
    <w:nsid w:val="61574095"/>
    <w:multiLevelType w:val="hybridMultilevel"/>
    <w:lvl w:ilvl="0">
      <w:lvlJc w:val="left"/>
      <w:lvlText w:val="%1."/>
      <w:numFmt w:val="decimal"/>
      <w:start w:val="8"/>
    </w:lvl>
    <w:lvl w:ilvl="1">
      <w:lvlJc w:val="left"/>
      <w:lvlText w:val="%2"/>
      <w:numFmt w:val="lowerRoman"/>
      <w:start w:val="1"/>
    </w:lvl>
  </w:abstractNum>
  <w:abstractNum w:abstractNumId="56">
    <w:nsid w:val="7E0C57B1"/>
    <w:multiLevelType w:val="hybridMultilevel"/>
    <w:lvl w:ilvl="0">
      <w:lvlJc w:val="left"/>
      <w:lvlText w:val="%1."/>
      <w:numFmt w:val="decimal"/>
      <w:start w:val="12"/>
    </w:lvl>
  </w:abstractNum>
  <w:abstractNum w:abstractNumId="57">
    <w:nsid w:val="77AE35EB"/>
    <w:multiLevelType w:val="hybridMultilevel"/>
    <w:lvl w:ilvl="0">
      <w:lvlJc w:val="left"/>
      <w:lvlText w:val="%1."/>
      <w:numFmt w:val="decimal"/>
      <w:start w:val="16"/>
    </w:lvl>
  </w:abstractNum>
  <w:abstractNum w:abstractNumId="58">
    <w:nsid w:val="579BE4F1"/>
    <w:multiLevelType w:val="hybridMultilevel"/>
    <w:lvl w:ilvl="0">
      <w:lvlJc w:val="left"/>
      <w:lvlText w:val="%1."/>
      <w:numFmt w:val="decimal"/>
      <w:start w:val="17"/>
    </w:lvl>
  </w:abstractNum>
  <w:abstractNum w:abstractNumId="59">
    <w:nsid w:val="310C50B3"/>
    <w:multiLevelType w:val="hybridMultilevel"/>
    <w:lvl w:ilvl="0">
      <w:lvlJc w:val="left"/>
      <w:lvlText w:val="%1"/>
      <w:numFmt w:val="decimal"/>
      <w:start w:val="1"/>
    </w:lvl>
    <w:lvl w:ilvl="1">
      <w:lvlJc w:val="left"/>
      <w:lvlText w:val="%2."/>
      <w:numFmt w:val="upperLetter"/>
      <w:start w:val="3"/>
    </w:lvl>
  </w:abstractNum>
  <w:abstractNum w:abstractNumId="60">
    <w:nsid w:val="5FF87E05"/>
    <w:multiLevelType w:val="hybridMultilevel"/>
    <w:lvl w:ilvl="0">
      <w:lvlJc w:val="left"/>
      <w:lvlText w:val="%1."/>
      <w:numFmt w:val="decimal"/>
      <w:start w:val="1"/>
    </w:lvl>
    <w:lvl w:ilvl="1">
      <w:lvlJc w:val="left"/>
      <w:lvlText w:val="%2"/>
      <w:numFmt w:val="upperLetter"/>
      <w:start w:val="1"/>
    </w:lvl>
  </w:abstractNum>
  <w:abstractNum w:abstractNumId="61">
    <w:nsid w:val="2F305DEF"/>
    <w:multiLevelType w:val="hybridMultilevel"/>
    <w:lvl w:ilvl="0">
      <w:lvlJc w:val="left"/>
      <w:lvlText w:val="%1."/>
      <w:numFmt w:val="decimal"/>
      <w:start w:val="3"/>
    </w:lvl>
    <w:lvl w:ilvl="1">
      <w:lvlJc w:val="left"/>
      <w:lvlText w:val="%2"/>
      <w:numFmt w:val="upperLetter"/>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3"/>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89" Type="http://schemas.openxmlformats.org/officeDocument/2006/relationships/hyperlink" Target="https://www.sec.gov/Archives/edgar/data/1867072/000110465921134456/tm2131654d1_ex2-1.htm" TargetMode="External"/><Relationship Id="rId90" Type="http://schemas.openxmlformats.org/officeDocument/2006/relationships/hyperlink" Target="https://www.sec.gov/Archives/edgar/data/1867072/000110465921134456/tm2131654d1_ex3-1.htm" TargetMode="External"/><Relationship Id="rId91" Type="http://schemas.openxmlformats.org/officeDocument/2006/relationships/hyperlink" Target="https://www.sec.gov/Archives/edgar/data/1867072/000110465921134456/tm2131654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2023-02-09T15:58:39Z</dcterms:created>
  <dcterms:modified xsi:type="dcterms:W3CDTF">2023-02-09T15:58:39Z</dcterms:modified>
</cp:coreProperties>
</file>