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754380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4"/>
          <w:szCs w:val="24"/>
          <w:color w:val="auto"/>
        </w:rPr>
      </w:pPr>
    </w:p>
    <w:p>
      <w:pPr>
        <w:ind w:left="2120" w:hanging="210"/>
        <w:spacing w:after="0"/>
        <w:tabs>
          <w:tab w:leader="none" w:pos="2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15"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00" w:lineRule="exact"/>
        <w:rPr>
          <w:sz w:val="24"/>
          <w:szCs w:val="24"/>
          <w:color w:val="auto"/>
        </w:rPr>
      </w:pPr>
    </w:p>
    <w:p>
      <w:pPr>
        <w:spacing w:after="0" w:line="217" w:lineRule="exact"/>
        <w:rPr>
          <w:sz w:val="24"/>
          <w:szCs w:val="24"/>
          <w:color w:val="auto"/>
        </w:rPr>
      </w:pPr>
    </w:p>
    <w:p>
      <w:pPr>
        <w:ind w:left="2100" w:hanging="195"/>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001-40853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4" w:lineRule="exact"/>
        <w:rPr>
          <w:sz w:val="24"/>
          <w:szCs w:val="24"/>
          <w:color w:val="auto"/>
        </w:rPr>
      </w:pPr>
    </w:p>
    <w:tbl>
      <w:tblPr>
        <w:tblLayout w:type="fixed"/>
        <w:tblInd w:w="300" w:type="dxa"/>
        <w:tblCellMar>
          <w:top w:w="0" w:type="dxa"/>
          <w:left w:w="0" w:type="dxa"/>
          <w:bottom w:w="0" w:type="dxa"/>
          <w:right w:w="0" w:type="dxa"/>
        </w:tblCellMar>
      </w:tblP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rPr>
              <w:t>86-1185492</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416"/>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9"/>
              </w:rPr>
              <w:t>One Vanderbilt Avenue, 15th Floor</w:t>
            </w:r>
          </w:p>
        </w:tc>
        <w:tc>
          <w:tcPr>
            <w:tcW w:w="3140" w:type="dxa"/>
            <w:vAlign w:val="bottom"/>
          </w:tcPr>
          <w:p>
            <w:pPr>
              <w:spacing w:after="0"/>
              <w:rPr>
                <w:sz w:val="24"/>
                <w:szCs w:val="24"/>
                <w:color w:val="auto"/>
              </w:rPr>
            </w:pPr>
          </w:p>
        </w:tc>
      </w:t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40" w:type="dxa"/>
            <w:vAlign w:val="bottom"/>
          </w:tcPr>
          <w:p>
            <w:pPr>
              <w:jc w:val="right"/>
              <w:ind w:right="915"/>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212-896-2098</w:t>
      </w:r>
    </w:p>
    <w:p>
      <w:pPr>
        <w:spacing w:after="0" w:line="3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020" w:type="dxa"/>
            <w:vAlign w:val="bottom"/>
            <w:gridSpan w:val="3"/>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60" w:type="dxa"/>
            <w:vAlign w:val="bottom"/>
          </w:tcPr>
          <w:p>
            <w:pPr>
              <w:spacing w:after="0"/>
              <w:rPr>
                <w:sz w:val="18"/>
                <w:szCs w:val="18"/>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60" w:right="17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6" w:lineRule="exact"/>
        <w:rPr>
          <w:sz w:val="24"/>
          <w:szCs w:val="24"/>
          <w:color w:val="auto"/>
        </w:rPr>
      </w:pPr>
    </w:p>
    <w:p>
      <w:pPr>
        <w:ind w:left="60" w:right="9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232" w:lineRule="exact"/>
        <w:rPr>
          <w:sz w:val="24"/>
          <w:szCs w:val="24"/>
          <w:color w:val="auto"/>
        </w:rPr>
      </w:pPr>
    </w:p>
    <w:p>
      <w:pPr>
        <w:ind w:left="14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63" w:lineRule="exact"/>
        <w:rPr>
          <w:sz w:val="24"/>
          <w:szCs w:val="24"/>
          <w:color w:val="auto"/>
        </w:rPr>
      </w:pPr>
    </w:p>
    <w:p>
      <w:pPr>
        <w:ind w:left="150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319"/>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0"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4" w:lineRule="exact"/>
        <w:rPr>
          <w:sz w:val="24"/>
          <w:szCs w:val="24"/>
          <w:color w:val="auto"/>
        </w:rPr>
      </w:pPr>
    </w:p>
    <w:p>
      <w:pPr>
        <w:sectPr>
          <w:pgSz w:w="11900" w:h="16838" w:orient="portrait"/>
          <w:cols w:equalWidth="0" w:num="2">
            <w:col w:w="5040" w:space="720"/>
            <w:col w:w="3259"/>
          </w:cols>
          <w:pgMar w:left="1440" w:top="661" w:right="1440" w:bottom="1440" w:gutter="0" w:footer="0" w:header="0"/>
          <w:type w:val="continuous"/>
        </w:sectPr>
      </w:pPr>
    </w:p>
    <w:p>
      <w:pPr>
        <w:ind w:left="60" w:right="23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 w:right="1319" w:firstLine="648"/>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60" w:right="639" w:firstLine="648"/>
        <w:spacing w:after="0" w:line="275" w:lineRule="auto"/>
        <w:rPr>
          <w:sz w:val="20"/>
          <w:szCs w:val="20"/>
          <w:color w:val="auto"/>
        </w:rPr>
      </w:pPr>
      <w:r>
        <w:rPr>
          <w:rFonts w:ascii="Times New Roman" w:cs="Times New Roman" w:eastAsia="Times New Roman" w:hAnsi="Times New Roman"/>
          <w:sz w:val="16"/>
          <w:szCs w:val="16"/>
          <w:color w:val="auto"/>
        </w:rPr>
        <w:t>The number of shares of the registrant’s Common Stock, par value $0.01 per share, outstanding at August 4, 2022 was 226,762,796.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46990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89535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36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6220" w:type="dxa"/>
            <w:vAlign w:val="bottom"/>
            <w:gridSpan w:val="13"/>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2360" w:type="dxa"/>
            <w:vAlign w:val="bottom"/>
            <w:tcBorders>
              <w:bottom w:val="single" w:sz="8" w:color="0000EE"/>
            </w:tcBorders>
            <w:gridSpan w:val="9"/>
            <w:vMerge w:val="continue"/>
          </w:tcPr>
          <w:p>
            <w:pPr>
              <w:spacing w:after="0"/>
              <w:rPr>
                <w:sz w:val="13"/>
                <w:szCs w:val="13"/>
                <w:color w:val="auto"/>
              </w:rPr>
            </w:pPr>
          </w:p>
        </w:tc>
        <w:tc>
          <w:tcPr>
            <w:tcW w:w="6220" w:type="dxa"/>
            <w:vAlign w:val="bottom"/>
            <w:gridSpan w:val="1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Item 1. Consolidated Financial Statements (Unaudited):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Income Statement for the three months ended June 30, 2022 and 2021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9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Statement of Comprehensive Income (Loss) for the three months ended June 30, 2022 and 2021</w:t>
            </w:r>
          </w:p>
        </w:tc>
        <w:tc>
          <w:tcPr>
            <w:tcW w:w="3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Balance Sheet at June 30, 2022 and March 31, 2022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Consolidated Statement of Cash Flows for the three months ended June 30, 2022 and 202</w:t>
            </w:r>
            <w:r>
              <w:rPr>
                <w:rFonts w:ascii="Times New Roman" w:cs="Times New Roman" w:eastAsia="Times New Roman" w:hAnsi="Times New Roman"/>
                <w:sz w:val="18"/>
                <w:szCs w:val="18"/>
                <w:color w:val="000000"/>
              </w:rPr>
              <w:t>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6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 of Equity for the three months ended June 30, 2022 and 2021</w:t>
            </w:r>
          </w:p>
        </w:tc>
        <w:tc>
          <w:tcPr>
            <w:tcW w:w="280" w:type="dxa"/>
            <w:vAlign w:val="bottom"/>
            <w:tcBorders>
              <w:top w:val="single" w:sz="8" w:color="0000EE"/>
            </w:tcBorders>
          </w:tcPr>
          <w:p>
            <w:pPr>
              <w:spacing w:after="0"/>
              <w:rPr>
                <w:sz w:val="24"/>
                <w:szCs w:val="24"/>
                <w:color w:val="auto"/>
              </w:rPr>
            </w:pPr>
          </w:p>
        </w:tc>
        <w:tc>
          <w:tcPr>
            <w:tcW w:w="17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08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Item 2. Management’s Discussion and Analysis of Financial Condition and Results of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300" w:type="dxa"/>
            <w:vAlign w:val="bottom"/>
            <w:tcBorders>
              <w:bottom w:val="single" w:sz="8" w:color="0000EE"/>
            </w:tcBorders>
            <w:gridSpan w:val="15"/>
          </w:tcPr>
          <w:p>
            <w:pPr>
              <w:ind w:left="60"/>
              <w:spacing w:after="0"/>
              <w:rPr>
                <w:sz w:val="20"/>
                <w:szCs w:val="20"/>
                <w:color w:val="auto"/>
              </w:rPr>
            </w:pPr>
            <w:r>
              <w:rPr>
                <w:rFonts w:ascii="Times New Roman" w:cs="Times New Roman" w:eastAsia="Times New Roman" w:hAnsi="Times New Roman"/>
                <w:sz w:val="18"/>
                <w:szCs w:val="18"/>
                <w:b w:val="1"/>
                <w:bCs w:val="1"/>
                <w:color w:val="0000EE"/>
                <w:w w:val="99"/>
              </w:rPr>
              <w:t>Item 3. Quantitative and Qualitative Disclosures About Market Risk</w:t>
            </w:r>
          </w:p>
        </w:tc>
        <w:tc>
          <w:tcPr>
            <w:tcW w:w="31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32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6400" w:type="dxa"/>
            <w:vAlign w:val="bottom"/>
            <w:gridSpan w:val="15"/>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Item 1. Legal Proceedings</w:t>
            </w:r>
          </w:p>
        </w:tc>
        <w:tc>
          <w:tcPr>
            <w:tcW w:w="64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8"/>
              </w:rPr>
              <w:t>Item 1A. Risk Factors</w:t>
            </w:r>
          </w:p>
        </w:tc>
        <w:tc>
          <w:tcPr>
            <w:tcW w:w="672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Item 2. Unregistered Sales of Equity Securities and Use of Proceeds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Item 3. Defaults Upon Senior Securities</w:t>
            </w:r>
          </w:p>
        </w:tc>
        <w:tc>
          <w:tcPr>
            <w:tcW w:w="2120" w:type="dxa"/>
            <w:vAlign w:val="bottom"/>
            <w:tcBorders>
              <w:top w:val="single" w:sz="8" w:color="0000EE"/>
            </w:tcBorders>
            <w:gridSpan w:val="4"/>
          </w:tcPr>
          <w:p>
            <w:pPr>
              <w:spacing w:after="0"/>
              <w:rPr>
                <w:sz w:val="24"/>
                <w:szCs w:val="24"/>
                <w:color w:val="auto"/>
              </w:rPr>
            </w:pPr>
          </w:p>
        </w:tc>
        <w:tc>
          <w:tcPr>
            <w:tcW w:w="326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rPr>
              <w:t>Item 4. Mine Safety Disclosures</w:t>
            </w:r>
          </w:p>
        </w:tc>
        <w:tc>
          <w:tcPr>
            <w:tcW w:w="592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Item 5. Other Information</w:t>
            </w:r>
          </w:p>
        </w:tc>
        <w:tc>
          <w:tcPr>
            <w:tcW w:w="638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Item 6. Exhibits</w:t>
            </w:r>
          </w:p>
        </w:tc>
        <w:tc>
          <w:tcPr>
            <w:tcW w:w="718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 **</w:t>
            </w:r>
          </w:p>
        </w:tc>
        <w:tc>
          <w:tcPr>
            <w:tcW w:w="124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24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2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4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4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24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1"/>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240" w:type="dxa"/>
            <w:vAlign w:val="bottom"/>
            <w:gridSpan w:val="2"/>
            <w:shd w:val="clear" w:color="auto" w:fill="CCEEFF"/>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40" w:type="dxa"/>
            <w:vAlign w:val="bottom"/>
            <w:gridSpan w:val="2"/>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24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4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Including related-party revenue of $205 and $146 for the three months ended June 30, 2022 and 2021, respectively</w:t>
      </w:r>
    </w:p>
    <w:p>
      <w:pPr>
        <w:spacing w:after="0" w:line="26" w:lineRule="exact"/>
        <w:rPr>
          <w:sz w:val="20"/>
          <w:szCs w:val="20"/>
          <w:color w:val="auto"/>
        </w:rPr>
      </w:pPr>
    </w:p>
    <w:p>
      <w:pPr>
        <w:ind w:left="260" w:hanging="210"/>
        <w:spacing w:after="0"/>
        <w:tabs>
          <w:tab w:leader="none" w:pos="2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related-party cost of services of $961 and $906 for the three months ended June 30, 2022 and 2021, respectively</w:t>
      </w:r>
    </w:p>
    <w:p>
      <w:pPr>
        <w:spacing w:after="0" w:line="222" w:lineRule="exact"/>
        <w:rPr>
          <w:rFonts w:ascii="Times New Roman" w:cs="Times New Roman" w:eastAsia="Times New Roman" w:hAnsi="Times New Roman"/>
          <w:sz w:val="16"/>
          <w:szCs w:val="16"/>
          <w:color w:val="auto"/>
        </w:rPr>
      </w:pPr>
    </w:p>
    <w:p>
      <w:pPr>
        <w:ind w:left="19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42"/>
        </w:trPr>
        <w:tc>
          <w:tcPr>
            <w:tcW w:w="65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unrealized gains (losses) on cash flow hedges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retirement-related benefit plans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 related to items of other comprehensive income (loss)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20" w:type="dxa"/>
            <w:vAlign w:val="bottom"/>
            <w:gridSpan w:val="2"/>
            <w:shd w:val="clear" w:color="auto" w:fill="CCEEFF"/>
          </w:tcPr>
          <w:p>
            <w:pPr>
              <w:jc w:val="right"/>
              <w:ind w:right="84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1,871</w:t>
            </w:r>
          </w:p>
        </w:tc>
        <w:tc>
          <w:tcPr>
            <w:tcW w:w="4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of $34 at June 30, 2022 and $44 at March 31,</w:t>
            </w: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2022)*</w:t>
            </w: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costs (current portion)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2"/>
                <w:szCs w:val="12"/>
                <w:color w:val="auto"/>
              </w:rPr>
            </w:pPr>
          </w:p>
        </w:tc>
        <w:tc>
          <w:tcPr>
            <w:tcW w:w="960" w:type="dxa"/>
            <w:vAlign w:val="bottom"/>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5,404</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220" w:type="dxa"/>
            <w:vAlign w:val="bottom"/>
            <w:gridSpan w:val="2"/>
          </w:tcPr>
          <w:p>
            <w:pPr>
              <w:jc w:val="right"/>
              <w:ind w:right="84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2,651</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costs (noncurrent portion)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Pension assets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367</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12,304</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13,442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20" w:type="dxa"/>
            <w:vAlign w:val="bottom"/>
            <w:gridSpan w:val="2"/>
          </w:tcPr>
          <w:p>
            <w:pPr>
              <w:jc w:val="right"/>
              <w:ind w:right="84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1,486</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Value-added tax and income tax liabilities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debt</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(current portion)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contract costs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653</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2"/>
                <w:szCs w:val="12"/>
                <w:color w:val="auto"/>
              </w:rPr>
            </w:pPr>
          </w:p>
        </w:tc>
        <w:tc>
          <w:tcPr>
            <w:tcW w:w="960" w:type="dxa"/>
            <w:vAlign w:val="bottom"/>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4,609</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1220" w:type="dxa"/>
            <w:vAlign w:val="bottom"/>
            <w:gridSpan w:val="2"/>
          </w:tcPr>
          <w:p>
            <w:pPr>
              <w:jc w:val="right"/>
              <w:ind w:right="842"/>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3,107</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Retirement and nonpension postretirement benefit obligations</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(noncurrent portion)</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474</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10,093</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par value $0.01 per share, and additional paid-in capital</w:t>
            </w:r>
          </w:p>
        </w:tc>
        <w:tc>
          <w:tcPr>
            <w:tcW w:w="1220" w:type="dxa"/>
            <w:vAlign w:val="bottom"/>
            <w:gridSpan w:val="2"/>
            <w:vMerge w:val="restart"/>
          </w:tcPr>
          <w:p>
            <w:pPr>
              <w:jc w:val="right"/>
              <w:ind w:right="842"/>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4,341</w:t>
            </w:r>
          </w:p>
        </w:tc>
        <w:tc>
          <w:tcPr>
            <w:tcW w:w="48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 authorized: 1,000.0; shares issued: June 30, 2022 – 228.1, March 31, 2022 – 224.5)</w:t>
            </w:r>
          </w:p>
        </w:tc>
        <w:tc>
          <w:tcPr>
            <w:tcW w:w="122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stock, at cost (shares: June 30, 2022 – 1.3, March 31, 2022 – 0.2)</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(1,353)</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stockholders’ equity before non-controlling interests</w:t>
            </w:r>
          </w:p>
        </w:tc>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2,117</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2,211</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12,304</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0" w:right="2359" w:hanging="10"/>
        <w:spacing w:after="0" w:line="316" w:lineRule="auto"/>
        <w:tabs>
          <w:tab w:leader="none" w:pos="344"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Including related-party accounts receivable of $228 at June 30, 2022 and $343 at March 31, 2022 ** Including related-party accounts payable of $660 at June 30, 2022 and $806 at March 31, 2022</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transition costs and prepaid software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capitalized contract costs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taxes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(gain) loss on asset sales and other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costs (excluding amortization)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Right-of-use assets and liabilities (excluding depreciation)</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Workforce rebalancing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Receivables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(including items settled with former Parent in prior-year period)</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other liabilities</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Payments for property and equipment and capitalized software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disposition of property and equipment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Debt repayments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Proceeds from issuance of debt, net of debt issuance costs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transfers from Parent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Common stock repurchases for tax withholdings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April 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June 30</w:t>
            </w:r>
          </w:p>
        </w:tc>
        <w:tc>
          <w:tcPr>
            <w:tcW w:w="2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data</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paid, net of refunds received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 on debt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ind w:left="4120"/>
        <w:spacing w:after="0" w:line="224"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7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0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920" w:type="dxa"/>
            <w:vAlign w:val="bottom"/>
            <w:gridSpan w:val="5"/>
            <w:vMerge w:val="continue"/>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12"/>
                <w:szCs w:val="12"/>
                <w:color w:val="auto"/>
              </w:rPr>
            </w:pPr>
          </w:p>
        </w:tc>
        <w:tc>
          <w:tcPr>
            <w:tcW w:w="106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2022</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224.5</w:t>
            </w: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gridSpan w:val="2"/>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(605)</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(264)</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6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6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bottom w:val="single" w:sz="8" w:color="CCEEFF"/>
            </w:tcBorders>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Borders>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June 30, 2022</w:t>
            </w:r>
          </w:p>
        </w:tc>
        <w:tc>
          <w:tcPr>
            <w:tcW w:w="8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226.7</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gridSpan w:val="2"/>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4,341</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(1,353)</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(855)</w:t>
            </w: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7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92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20" w:type="dxa"/>
            <w:vAlign w:val="bottom"/>
          </w:tcPr>
          <w:p>
            <w:pPr>
              <w:spacing w:after="0"/>
              <w:rPr>
                <w:sz w:val="12"/>
                <w:szCs w:val="12"/>
                <w:color w:val="auto"/>
              </w:rPr>
            </w:pPr>
          </w:p>
        </w:tc>
        <w:tc>
          <w:tcPr>
            <w:tcW w:w="10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9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0" w:type="dxa"/>
            <w:vAlign w:val="bottom"/>
            <w:vMerge w:val="restart"/>
          </w:tcPr>
          <w:p>
            <w:pPr>
              <w:spacing w:after="0"/>
              <w:rPr>
                <w:sz w:val="2"/>
                <w:szCs w:val="2"/>
                <w:color w:val="auto"/>
              </w:rPr>
            </w:pPr>
          </w:p>
        </w:tc>
        <w:tc>
          <w:tcPr>
            <w:tcW w:w="7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0" w:type="dxa"/>
            <w:vAlign w:val="bottom"/>
          </w:tcPr>
          <w:p>
            <w:pPr>
              <w:spacing w:after="0"/>
              <w:rPr>
                <w:sz w:val="2"/>
                <w:szCs w:val="2"/>
                <w:color w:val="auto"/>
              </w:rPr>
            </w:pPr>
          </w:p>
        </w:tc>
        <w:tc>
          <w:tcPr>
            <w:tcW w:w="10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6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continue"/>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2021</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6,027</w:t>
            </w: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(1,182)</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gridSpan w:val="2"/>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gridSpan w:val="2"/>
            <w:shd w:val="clear" w:color="auto" w:fill="CCEEFF"/>
          </w:tcPr>
          <w:p>
            <w:pPr>
              <w:ind w:left="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4,902</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4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transfers from Parent</w:t>
            </w: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June 30, 2021</w:t>
            </w:r>
          </w:p>
        </w:tc>
        <w:tc>
          <w:tcPr>
            <w:tcW w:w="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6,040</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(1,161)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gridSpan w:val="2"/>
          </w:tcPr>
          <w:p>
            <w:pPr>
              <w:ind w:left="3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tcPr>
          <w:p>
            <w:pPr>
              <w:ind w:left="5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4,932</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0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Kyndryl Holdings, Inc. (“we”, “the Company” or “Kyndryl”) is a leading technology services company and the largest infrastructure services provider in the world, serving as a partner to more than 4,000 customers whose operations span over 100 countries. Prior to November 3, 2021, the Company was wholly owned by International Business Machines Corporation (“IBM”, “Parent” or “former Parent”).</w:t>
      </w:r>
    </w:p>
    <w:p>
      <w:pPr>
        <w:spacing w:after="0" w:line="13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In October 2021, the Board of Directors of IBM approved the spin-off (the “Separation” or the “Spin-off”) of the infrastructure services unit (the “Kyndryl Businesses”) of its Global Technology Services (“GTS”) segment through the distribution of shares of Kyndryl’s common stock to IBM stockholders. In conjunction with the Separation, Kyndryl underwent an internal reorganization following which it became the holder, directly or through its subsidiaries, of the Kyndryl Businesses. On November 3, 2021, the Separation was achieved through the Parent’s pro rata distribution of</w:t>
      </w:r>
    </w:p>
    <w:p>
      <w:pPr>
        <w:spacing w:after="0" w:line="3"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80.1% of the shares of common stock of Kyndryl to holders of the Parent’s common stock as of the close of business on the record date of October 25, 2021. The Parent retained 19.9% of the shares of the Company’s common stock upon the Spin-off. The Parent’s stockholders of record received one share of the Company’s common stock for every five shares of the Parent’s common stock. On May 19, 2022, IBM disposed of 22.3 million shares of Kyndryl common stock, reducing IBM’s beneficial ownership of the Company’s common stock from 19.9% to 9.9%.</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Prior to the Separation on November 3, 2021 (the “pre-Separation periods”), our historical financial statements were prepared on a combined basis and were derived from the consolidated financial statements of IBM. For the period subsequent to November 3, 2021, the financial statements are presented on a consolidated basis as the Company became a standalone public company. Management believes the accompanying financial statements include all adjustments necessary to present fairly the Company’s financial position and its results of operations for all the periods presented. The financial statements should be read in conjunction with the consolidated financial statements and notes thereto included in the report on Form 8-K/A we filed with the U.S. Securities and Exchange Commission (“SEC”) on May 27, 2022 (the “8-K/A”) and our quarterly report for the three months ended March 31, 2022 filed on Form 10-QT.</w:t>
      </w:r>
    </w:p>
    <w:p>
      <w:pPr>
        <w:spacing w:after="0" w:line="15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02"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For the pre-Separation periods, the accompanying financial statements were derived from the consolidated financial statements and accounting records of the Parent as if the Company operated on a standalone basis during the periods presented and were prepared in accordance with Generally Accepted Accounting Principles in the United States (“U.S. GAAP”) and pursuant to the rules and regulations of the SEC.</w:t>
      </w:r>
    </w:p>
    <w:p>
      <w:pPr>
        <w:spacing w:after="0" w:line="139"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All significant intercompany transactions during the pre-Separation periods between Kyndryl and IBM have been included in the consolidated financial statements. Intercompany transactions between Kyndryl and IBM were considered to be effectively settled in the consolidated financial statements at the time the transaction was recorded. The total net effect of the settlement of these intercompany transactions is reflected as Net transfers from Parent in the financing activities section in the Consolidated Statement of Cash Flows and in the Consolidated Balance Sheet within Net Parent investment.</w:t>
      </w:r>
    </w:p>
    <w:p>
      <w:pPr>
        <w:spacing w:after="0" w:line="12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After the Separation on November 3, 2021, the Company’s consolidated financial statements are based on our reported results as a standalone company. All significant transactions and intercompany accounts between Kyndryl entities were eliminated.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deferred transition costs and other matters. Estimates were also used in determining the allocation of costs and expenses from IBM for the pre-Separation periods. These estimates are based on management’s knowledge of current events, historical experience and actions that the Company may undertake in the future and on various other assumptions that are believed to be reasonable under the circumstances. Actual results may be different from these estimates.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Transition Period</w:t>
      </w:r>
    </w:p>
    <w:p>
      <w:pPr>
        <w:spacing w:after="0" w:line="18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On January 27, 2022, the Board of Directors of Kyndryl approved a change to the fiscal year-end of the Company from December 31 to March 31. The Company’s 2023 fiscal year began on April 1, 2022 and will end on March 31, 2023. The Company filed a Transition Report on Form 10-QT for the period of January 1 to March 31, 2022 with the SEC on May 13,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CHANGES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Standards Implemented</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October 2021, the Financial Accounting Standards Board (“FASB”) issued guidance (“Revenue Contracts with Customers Acquired in a Business Combination”) which requires that an acquirer recognize and measure contract assets and liabilities acquired in a business combination as if the acquirer had originated the contracts,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Deferred revenue acquired in a business combination is no longer required to be measured at its fair value, which had historically resulted in a deferred revenue impairment at the date of acquisition. The guidance is effective January 1, 2023, and early adoption is permitted. The Company has early adopted the guidance as of January 1, 2022. Our adoption did not materially affect our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views its segment results to be the best view of disaggregated revenue. Refer to Note 4 – Segments.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Additionally, as a practical expedient, the Company does not include contracts that have an original duration of one year or less. RPO estimates are subject to change and are affected by several factors, including terminations, changes in the scope of contracts, periodic revalidations, adjustments for revenue that has not materialized and adjustments for currency.</w:t>
      </w:r>
    </w:p>
    <w:p>
      <w:pPr>
        <w:spacing w:after="0" w:line="192" w:lineRule="exact"/>
        <w:rPr>
          <w:sz w:val="20"/>
          <w:szCs w:val="20"/>
          <w:color w:val="auto"/>
        </w:rPr>
      </w:pPr>
    </w:p>
    <w:p>
      <w:pPr>
        <w:jc w:val="both"/>
        <w:ind w:left="60" w:right="479" w:firstLine="648"/>
        <w:spacing w:after="0" w:line="289" w:lineRule="auto"/>
        <w:rPr>
          <w:sz w:val="20"/>
          <w:szCs w:val="20"/>
          <w:color w:val="auto"/>
        </w:rPr>
      </w:pPr>
      <w:r>
        <w:rPr>
          <w:rFonts w:ascii="Times New Roman" w:cs="Times New Roman" w:eastAsia="Times New Roman" w:hAnsi="Times New Roman"/>
          <w:sz w:val="17"/>
          <w:szCs w:val="17"/>
          <w:color w:val="auto"/>
        </w:rPr>
        <w:t>At June 30, 2022, the aggregate amount of RPO related to customer contracts that are unsatisfied or partially unsatisfied was $43.6 billion. Approximately 57 percent of the amount is expected to be recognized as revenue in the subsequent two years, approximately 35 percent in the subsequent three through five years, and the balance thereafter.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2022, revenue was increased by $1 million for performance obligations satisfied (or partially satisfied) in previous periods, mainly due to changes in estimates on contracts with cost-to-cost measures of progress.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deferred income balances: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1"/>
        </w:trPr>
        <w:tc>
          <w:tcPr>
            <w:tcW w:w="5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allowances of $34 at June 30, 2022 and $44 at</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2022) *</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(current)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(noncurrent)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0" w:right="2419" w:hanging="10"/>
        <w:spacing w:after="0" w:line="261" w:lineRule="auto"/>
        <w:tabs>
          <w:tab w:leader="none" w:pos="38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unbilled receivable balances of $446 million at June 30, 2022 and $473 million at March 31, 2022. ** Included within prepaid expenses and other current assets in the Consolidated Balance Sheet.</w:t>
      </w:r>
    </w:p>
    <w:p>
      <w:pPr>
        <w:spacing w:after="0" w:line="167"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three months ended June 30, 2022 that was included within the deferred income balance at March 31, 2022 was $246 million.</w:t>
      </w:r>
    </w:p>
    <w:p>
      <w:pPr>
        <w:spacing w:after="0" w:line="16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roll-forwards of the accounts receivable allowance for expected credit losses for the three months ended June 30, 2022 and March 31, 2022:</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7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78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60" w:type="dxa"/>
            <w:vAlign w:val="bottom"/>
          </w:tcPr>
          <w:p>
            <w:pPr>
              <w:spacing w:after="0"/>
              <w:rPr>
                <w:sz w:val="15"/>
                <w:szCs w:val="15"/>
                <w:color w:val="auto"/>
              </w:rPr>
            </w:pPr>
          </w:p>
        </w:tc>
        <w:tc>
          <w:tcPr>
            <w:tcW w:w="12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(releases)</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w:t>
            </w:r>
          </w:p>
        </w:tc>
        <w:tc>
          <w:tcPr>
            <w:tcW w:w="20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currency translation adjustments</w:t>
      </w:r>
      <w:r>
        <w:rPr>
          <w:rFonts w:ascii="Times New Roman" w:cs="Times New Roman" w:eastAsia="Times New Roman" w:hAnsi="Times New Roman"/>
          <w:sz w:val="12"/>
          <w:szCs w:val="12"/>
          <w:color w:val="auto"/>
        </w:rPr>
        <w:t>.</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contract assets allowance for expected credit losses was not material in any of the periods presented.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Clients</w:t>
      </w:r>
    </w:p>
    <w:p>
      <w:pPr>
        <w:spacing w:after="0" w:line="229" w:lineRule="exact"/>
        <w:rPr>
          <w:sz w:val="20"/>
          <w:szCs w:val="20"/>
          <w:color w:val="auto"/>
        </w:rPr>
      </w:pPr>
    </w:p>
    <w:p>
      <w:pPr>
        <w:ind w:left="60" w:right="299" w:firstLine="480"/>
        <w:spacing w:after="0" w:line="261" w:lineRule="auto"/>
        <w:rPr>
          <w:sz w:val="20"/>
          <w:szCs w:val="20"/>
          <w:color w:val="auto"/>
        </w:rPr>
      </w:pPr>
      <w:r>
        <w:rPr>
          <w:rFonts w:ascii="Times New Roman" w:cs="Times New Roman" w:eastAsia="Times New Roman" w:hAnsi="Times New Roman"/>
          <w:sz w:val="18"/>
          <w:szCs w:val="18"/>
          <w:color w:val="auto"/>
        </w:rPr>
        <w:t>No single client represented more than 10 percent of the Company’s total revenue during the three months ended June 30, 2022 and 2021. Other than the former Parent (see Note 13 – Related-Party Transactions), no single client represented more than 10 percent of the Company’s total accounts receivable balance as of June 30, 2022 and March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three to six years. For contracts with an estimated amortization period of less than one year, we elected the practical expedient to expense incremental costs immediately.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419"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amounts of capitalized costs to acquire and fulfill customer contracts at June 30, 2022 and March 31, 2022:</w:t>
      </w:r>
    </w:p>
    <w:tbl>
      <w:tblPr>
        <w:tblLayout w:type="fixed"/>
        <w:tblInd w:w="40" w:type="dxa"/>
        <w:tblCellMar>
          <w:top w:w="0" w:type="dxa"/>
          <w:left w:w="0" w:type="dxa"/>
          <w:bottom w:w="0" w:type="dxa"/>
          <w:right w:w="0" w:type="dxa"/>
        </w:tblCellMar>
      </w:tblPr>
      <w:tr>
        <w:trPr>
          <w:trHeight w:val="149"/>
        </w:trPr>
        <w:tc>
          <w:tcPr>
            <w:tcW w:w="5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ind w:right="375"/>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transition costs</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costs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to fulfill contracts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costs to obtain contracts</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costs *</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399" w:hanging="330"/>
        <w:spacing w:after="0" w:line="26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deferred costs, $1,092 million was current and $1,158 million was noncurrent at June 30, 2022, and $1,143 million was current and $1,244 million was noncurrent at March 31, 2022.</w:t>
      </w:r>
    </w:p>
    <w:p>
      <w:pPr>
        <w:spacing w:after="0" w:line="167"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amount of total deferred costs amortized for the three months ended June 30, 2022, was $405 million, composed of $87 million of amortization of deferred transition costs, $206 million of amortization of prepaid software and $111 million of amortization of capitalized contract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SEGMENTS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reportable segments correspond to how the chief operating decision maker (“CODM”) reviews performance and allocates resources. Our four reportable segments consist of the following:</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This reportable segment is comprised of Kyndryl’s operations in Japan.</w:t>
      </w:r>
    </w:p>
    <w:p>
      <w:pPr>
        <w:spacing w:after="0" w:line="225" w:lineRule="exact"/>
        <w:rPr>
          <w:sz w:val="20"/>
          <w:szCs w:val="20"/>
          <w:color w:val="auto"/>
        </w:rPr>
      </w:pPr>
    </w:p>
    <w:p>
      <w:pPr>
        <w:ind w:left="60" w:right="4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Markets: </w:t>
      </w:r>
      <w:r>
        <w:rPr>
          <w:rFonts w:ascii="Times New Roman" w:cs="Times New Roman" w:eastAsia="Times New Roman" w:hAnsi="Times New Roman"/>
          <w:sz w:val="18"/>
          <w:szCs w:val="18"/>
          <w:color w:val="auto"/>
        </w:rPr>
        <w:t>This reportable segment represents the aggregation of our operations in Australia /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Zealand, Canada, France, Germany, India, Italy, Spain / Portugal, and the United Kingdom / Ireland.</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Strategic Markets: </w:t>
      </w:r>
      <w:r>
        <w:rPr>
          <w:rFonts w:ascii="Times New Roman" w:cs="Times New Roman" w:eastAsia="Times New Roman" w:hAnsi="Times New Roman"/>
          <w:sz w:val="18"/>
          <w:szCs w:val="18"/>
          <w:color w:val="auto"/>
        </w:rPr>
        <w:t>This reportable segment is comprised of our operations in all other countries in which we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operate.</w:t>
      </w:r>
    </w:p>
    <w:p>
      <w:pPr>
        <w:spacing w:after="0" w:line="207" w:lineRule="exact"/>
        <w:rPr>
          <w:sz w:val="20"/>
          <w:szCs w:val="20"/>
          <w:color w:val="auto"/>
        </w:rPr>
      </w:pPr>
    </w:p>
    <w:p>
      <w:pPr>
        <w:ind w:left="60" w:right="259" w:firstLine="648"/>
        <w:spacing w:after="0" w:line="253" w:lineRule="auto"/>
        <w:rPr>
          <w:sz w:val="20"/>
          <w:szCs w:val="20"/>
          <w:color w:val="auto"/>
        </w:rPr>
      </w:pPr>
      <w:r>
        <w:rPr>
          <w:rFonts w:ascii="Times New Roman" w:cs="Times New Roman" w:eastAsia="Times New Roman" w:hAnsi="Times New Roman"/>
          <w:sz w:val="18"/>
          <w:szCs w:val="18"/>
          <w:color w:val="auto"/>
        </w:rPr>
        <w:t>The measure of segment operating performance used by Kyndryl’s CODM is adjusted EBITDA. Adjusted EBITDA is defined as net income (loss) excluding net interest expense, depreciation and amortization (excluding depreciation of right-of-use assets and amortization of capitalized contract costs), transaction-related costs, pension costs other than pension servicing costs and multi-employer plan costs, stock-based compensation expense, workforce rebalancing charges, impairment expense, significant litigation costs, and foreign currency impacts of highly inflationary countries. The use of revenue and adjusted EBITDA aligns with how the CODM assesses performance and allocates resources for the Company’s segments. The Company has recast the prior-period results to reflect the change in segment structure that became effective in the fourth quarter of 2021. In addition, during the three months ended March 31, 2022, the Company updated certain allocation methodologies related to its measure of segment adjusted EBITDA and has accordingly recast the prior-period information to reflect these updates, which did not change the aggregate amount of segment adjusted EBITDA.</w:t>
      </w:r>
    </w:p>
    <w:p>
      <w:pPr>
        <w:spacing w:after="0" w:line="192" w:lineRule="exact"/>
        <w:rPr>
          <w:sz w:val="20"/>
          <w:szCs w:val="20"/>
          <w:color w:val="auto"/>
        </w:rPr>
      </w:pPr>
    </w:p>
    <w:p>
      <w:pPr>
        <w:ind w:left="60" w:right="439" w:firstLine="648"/>
        <w:spacing w:after="0" w:line="261" w:lineRule="auto"/>
        <w:rPr>
          <w:sz w:val="20"/>
          <w:szCs w:val="20"/>
          <w:color w:val="auto"/>
        </w:rPr>
      </w:pPr>
      <w:r>
        <w:rPr>
          <w:rFonts w:ascii="Times New Roman" w:cs="Times New Roman" w:eastAsia="Times New Roman" w:hAnsi="Times New Roman"/>
          <w:sz w:val="18"/>
          <w:szCs w:val="18"/>
          <w:color w:val="auto"/>
        </w:rPr>
        <w:t>Our geographic markets frequently work together to sell and implement certain contracts.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results of the Company’s segments: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196"/>
        </w:trPr>
        <w:tc>
          <w:tcPr>
            <w:tcW w:w="5820" w:type="dxa"/>
            <w:vAlign w:val="bottom"/>
            <w:gridSpan w:val="3"/>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0"/>
        </w:trPr>
        <w:tc>
          <w:tcPr>
            <w:tcW w:w="5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reconciles consolidated pretax income (loss) to segment adjusted EBITDA: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8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5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expense not allocated to the segments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 *</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251"/>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costs other than pension servicing costs and multi-employer plan costs.</w:t>
      </w: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TAXES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2022, the Company’s effective tax rate was (22.1%), compared to (24.3%) for the three months ended June 30, 2021. The Company’s negative effective tax rates in 2022 and 2021 reflect a tax expense on a pretax book loss in both periods. For the period ended June 30, 2022, income taxes are computed using the estimated annual effective tax rate applicable to the fiscal year ending March 31, 2023. For the period ended June 30, 2021, income taxes have been calculated as if Kyndryl had filed income tax returns on a standalone basis, as our operations were historically included in certain tax returns filed by IBM.</w:t>
      </w:r>
    </w:p>
    <w:p>
      <w:pPr>
        <w:spacing w:after="0" w:line="18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30, 2022, was lower than the Company’s statutory tax rate primarily due to taxes on foreign operations and the increase in valuation allowances in certain jurisdictions against deferred tax assets that are not more likely than not to be realized. For the period ended June 30, 2022, the additions to valuation allowance primarily relate to a partial valuation allowance established against certain deferred tax assets in the United States.</w:t>
      </w:r>
    </w:p>
    <w:p>
      <w:pPr>
        <w:spacing w:after="0" w:line="183" w:lineRule="exact"/>
        <w:rPr>
          <w:sz w:val="20"/>
          <w:szCs w:val="20"/>
          <w:color w:val="auto"/>
        </w:rPr>
      </w:pPr>
    </w:p>
    <w:p>
      <w:pPr>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The Company’s effective tax rate for the three months ended June 30, 2021, was lower than the Company’s statutory tax rate primarily due to the geographic mix of pretax income and changes in valuation allowances.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NET LOSS PER SHARE</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We did not declare any stock dividends in the periods presented. The following tables provide the computation of basic and diluted earnings per share of common stock for the three months ended June 30, 2022 and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20" w:type="dxa"/>
            <w:vAlign w:val="bottom"/>
          </w:tcPr>
          <w:p>
            <w:pPr>
              <w:spacing w:after="0"/>
              <w:rPr>
                <w:sz w:val="15"/>
                <w:szCs w:val="15"/>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on which basic and diluted earnings per share is calculated</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on which basic and diluted earnings per share is calculated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Prior to the Separation, the Company did not have any publicly-traded common stock or equivalents issued and outstanding. Accordingly, the net loss per share for the three months ended June 30, 2021, is calculated based on the 224.1 million shares distributed on the Separation Date.</w:t>
      </w:r>
    </w:p>
    <w:p>
      <w:pPr>
        <w:spacing w:after="0" w:line="17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the Company’s basic and diluted weighted-average shares outstanding were the same. The following securities were not included in the computation of diluted net loss per share because they would have been anti-dilutive:</w:t>
      </w:r>
    </w:p>
    <w:p>
      <w:pPr>
        <w:sectPr>
          <w:pgSz w:w="11900" w:h="16838" w:orient="portrait"/>
          <w:cols w:equalWidth="0" w:num="1">
            <w:col w:w="9019"/>
          </w:cols>
          <w:pgMar w:left="1440" w:top="513" w:right="1440" w:bottom="1440" w:gutter="0" w:footer="0" w:header="0"/>
        </w:sectPr>
      </w:pP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Nonvested restricted stock units issued and outstanding</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Market-conditioned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4896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 options issued and outstanding</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NOTE 7. FINANCIAL ASSETS AND LIABILITIES</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7.1</w:t>
      </w:r>
    </w:p>
    <w:p>
      <w:pPr>
        <w:spacing w:after="0" w:line="27"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1.8</w:t>
      </w:r>
    </w:p>
    <w:p>
      <w:pPr>
        <w:spacing w:after="0" w:line="9" w:lineRule="exact"/>
        <w:rPr>
          <w:sz w:val="20"/>
          <w:szCs w:val="20"/>
          <w:color w:val="auto"/>
        </w:rPr>
      </w:pPr>
    </w:p>
    <w:p>
      <w:pPr>
        <w:jc w:val="right"/>
        <w:ind w:right="139"/>
        <w:spacing w:after="0"/>
        <w:rPr>
          <w:sz w:val="20"/>
          <w:szCs w:val="20"/>
          <w:color w:val="auto"/>
        </w:rPr>
      </w:pPr>
      <w:r>
        <w:rPr>
          <w:rFonts w:ascii="Times New Roman" w:cs="Times New Roman" w:eastAsia="Times New Roman" w:hAnsi="Times New Roman"/>
          <w:sz w:val="18"/>
          <w:szCs w:val="18"/>
          <w:color w:val="auto"/>
        </w:rPr>
        <w:t>3.8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-929005</wp:posOffset>
            </wp:positionH>
            <wp:positionV relativeFrom="paragraph">
              <wp:posOffset>17145</wp:posOffset>
            </wp:positionV>
            <wp:extent cx="1174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74750"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34290</wp:posOffset>
            </wp:positionV>
            <wp:extent cx="1174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750"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-127635</wp:posOffset>
            </wp:positionV>
            <wp:extent cx="11747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2">
            <w:col w:w="7840" w:space="720"/>
            <w:col w:w="459"/>
          </w:cols>
          <w:pgMar w:left="1440" w:top="513" w:right="1440" w:bottom="1440" w:gutter="0" w:footer="0" w:header="0"/>
          <w:type w:val="continuous"/>
        </w:sectPr>
      </w:pPr>
    </w:p>
    <w:p>
      <w:pPr>
        <w:spacing w:after="0" w:line="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76" w:lineRule="exact"/>
        <w:rPr>
          <w:sz w:val="20"/>
          <w:szCs w:val="20"/>
          <w:color w:val="auto"/>
        </w:rPr>
      </w:pPr>
    </w:p>
    <w:p>
      <w:pPr>
        <w:ind w:left="1040" w:right="239" w:hanging="315"/>
        <w:spacing w:after="0" w:line="283"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Quoted prices (unadjusted) in active markets for identical assets or liabilities that can be accessed at the measurement date.</w:t>
      </w:r>
    </w:p>
    <w:p>
      <w:pPr>
        <w:spacing w:after="0" w:line="158" w:lineRule="exact"/>
        <w:rPr>
          <w:rFonts w:ascii="Times New Roman" w:cs="Times New Roman" w:eastAsia="Times New Roman" w:hAnsi="Times New Roman"/>
          <w:sz w:val="18"/>
          <w:szCs w:val="18"/>
          <w:color w:val="auto"/>
        </w:rPr>
      </w:pPr>
    </w:p>
    <w:p>
      <w:pPr>
        <w:ind w:left="1040" w:right="119" w:hanging="315"/>
        <w:spacing w:after="0" w:line="283"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Inputs other than quoted prices included within Level 1 that are observable for the asset or liability, either directly or indirectly.</w:t>
      </w:r>
    </w:p>
    <w:p>
      <w:pPr>
        <w:spacing w:after="0" w:line="15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3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Unobservable inputs for the asset or liability.</w:t>
      </w:r>
    </w:p>
    <w:p>
      <w:pPr>
        <w:spacing w:after="0" w:line="226"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The level of an asset or liability within the fair value hierarchy is determined based on the lowest level of any input that is significant to the fair value measurement.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certain financial instruments, the Company considers certain market valuation adjustments to the “base valuations” using the methodologies described below for several parameters that market participants would consider in determining fair value:</w:t>
      </w:r>
    </w:p>
    <w:p>
      <w:pPr>
        <w:spacing w:after="0" w:line="176" w:lineRule="exact"/>
        <w:rPr>
          <w:sz w:val="20"/>
          <w:szCs w:val="20"/>
          <w:color w:val="auto"/>
        </w:rPr>
      </w:pPr>
    </w:p>
    <w:p>
      <w:pPr>
        <w:ind w:left="1040" w:right="359" w:hanging="315"/>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 adjustments are applied to certain financial instruments, taking into account the actual credit risk of a counterparty as observed in the credit default swap market to determine the true fair value of such an instrument.</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adjustments are applied to reflect the Company’s own credit risk when valuing certain liabilities measured at fair value. The methodology is consistent with that applied in developing counterparty credit risk adjustments, but incorporates the Company’s credit risk as observed in the credit default swap market.</w:t>
      </w:r>
    </w:p>
    <w:p>
      <w:pPr>
        <w:spacing w:after="0" w:line="17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Certain non-financial assets such as property, plant and equipment, operating right-of-use assets, land, goodwill and intangible assets are recorded at fair value or at cost, as appropriate, in the period they are initially recognized, and such fair value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w:t>
      </w:r>
    </w:p>
    <w:p>
      <w:pPr>
        <w:spacing w:after="0" w:line="18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perform a qualitative assessment of asset impairments on a periodic basis and recognize an impairment if there are sufficient indicators that the fair value is less than carrying value. There were no impairments of non-financial assets recognized for the three months ended June 30, 2022 and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w:t>
      </w:r>
    </w:p>
    <w:p>
      <w:pPr>
        <w:spacing w:after="0" w:line="22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gross balances of derivative assets contained within prepaid expenses and other current assets in the Consolidated Balance Sheet was $29 million at June 30, 2022 and $9 million at March 31, 2022. The gross balances of derivative liabilities contained within other accrued expenses and liabilities, and other liabilities in the Consolidated Balance Sheet at June 30, 2022 and March 31, 2022 were $19 million and $2 million, respectively. The fair value of derivatives is the difference between the contractual forward price and the current available forward price for the residual maturity of the contract using observable market rates and is categorized as Level 2 in the fair value hierarchy.</w:t>
      </w:r>
    </w:p>
    <w:p>
      <w:pPr>
        <w:spacing w:after="0" w:line="187"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Company may enter into master netting agreements with certain counterparties that allow for netting of exposures in the event of default or breach. However, in the Consolidated Balance Sheet, the Company does not offset derivative assets against liabilities with counterparties in master netting arrangements by counterparty, and there was no derivative instruments activity impacted by master netting agreements at June 30, 2022 and March 31,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 of these time deposits with maturities of 90 days or less contained within cash and cash equivalents in the Consolidated Balance Sheet at June 30, 2022 and March 31, 2022 was $599 million and $972 million, respectively. If measured at fair value in the consolidated financial statements, time deposits with maturities of 90 days or less would be categorized as Level 2 in the fair value hierarchy.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fair value of our outstanding debt (excluding finance lease obligations) is based on various methodologies, including quoted prices in active markets for identical debt instruments, which is a Level 1 measurement, and calculated fair value using an expected present value technique that uses rates currently available to the Company for debt in active markets with similar terms and remaining maturities, which is a Level 2 measurement. Our outstanding debt (excluding finance lease obligations) had a carrying value of $3.0 billion as of each of June 30, 2022 and March 31, 2022, and an estimated fair value of $2.5 billion and $2.7 billion as of June 30, 2022 and March 31, 2022, respectively, which consisted of quoted prices for identical debt instruments (Level 1) and expected present value calculated using observable inputs (Level 2).</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arrangements with third-party financial institutions to sell certain financial assets (primarily trade receivables) without recourse. The Company determined these are true sales, derecognized the carrying value of the financial asset transferred and recognized a net gain or loss on the sale. The proceeds from these arrangements are reflected as cash provided by operating activities in the Consolidated Statement of Cash Flows. Proceeds from receivables sold to third parties under this program were $613 million for the three months ended June 30, 2022. Prior to the Separation, the gross amount of the Company’s receivables sold to third parties and the financing division of our former Parent was $721 million for the three months ended June 30, 2021. The fees and the net gains and losses associated with the transfers of receivables were $8 million for the three months ended June 30, 2022 and immaterial for the three months ended June 30, 2021.</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Anticipated Cost Transactions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has foreign exchange derivative financial instruments designated as cash flow hedges to manage foreign currency risk. Changes in fair value of derivatives designated as cash flow hedges are recorded, net of applicable taxes, in other comprehensive income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 Through the pre-Separation periods, derivatives designated as cash flow hedges were deemed to be associated with the Company’s operations and were allocated to the Company’s Consolidated Income Statement based on its pro rata share of the underlying items hedged, where applicable, with the remainder allocated on a pro rata basis of revenue.</w:t>
      </w:r>
    </w:p>
    <w:p>
      <w:pPr>
        <w:spacing w:after="0" w:line="192"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At June 30, 2022 and March 31, 2022, the total notional amount of forward contracts designated as cash flow hedges of forecasted foreign currency cost transactions was $278 million and $216 million, respectively. The notional amounts of derivative instruments do not necessarily represent the amounts exchanged by the Company with third parties and are not necessarily a direct measure of the financial exposure. The maximum remaining length of time over which the Company hedged its exposure is approximately one year. At June 30, 2022 and March 31, 2022, the weighted-average remaining maturity of these instruments was approximately 0.5 years.</w:t>
      </w:r>
    </w:p>
    <w:p>
      <w:pPr>
        <w:spacing w:after="0" w:line="187"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At June 30, 2022, in connection with cash flow hedges of foreign currency cost transactions, the Company recorded net deferred losses of $3 million (before taxes) in accumulated other comprehensive income (“AOCI”). At March 31, 2022, in connection with cash flow hedges of foreign currency cost transactions, the Company recorded net deferred gains of $3 million (before taxes) in AOCI. The Company estimates that $3 million (before taxes) of deferred net losses on derivatives in AOCI at June 30, 2022 will be reclassified to net income within the next twelve months, providing an offsetting economic impact against the underlying anticipated transactions.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Subsidiary Cash and Foreign Currency Asset / Liability Management</w:t>
      </w:r>
    </w:p>
    <w:p>
      <w:pPr>
        <w:spacing w:after="0" w:line="22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The Company uses global treasury centers to manage the cash of its subsidiaries. These centers principally use currency swaps to convert cash flows in a cost-effective manner. Changes in fair value of derivatives not designated as hedges are reported in earnings in other (income) and expense. Cash flows from derivatives not designated as hedges are reported in cash flows from investing activities in the Consolidated Statement of Cash Flows. The terms of these swap contracts are generally less than one year. The changes in the fair values of these contracts and of the underlying hedged exposures are generally offsetting and are recorded in other (income) and expense in the Consolidated Income Statement. At June 30, 2022 and March 31, 2022, the total notional amount of derivative instruments in economic hedges of foreign currency exposure was $1.3 billion and $945 million,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in the Consolidated Income Statement</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total amounts of income and expense line items presented in the Consolidated Income Statement in which the effects of cash flow hedges and derivatives not designated as hedging instruments are recorded, and the total effect of hedge activity on these income and expense line items are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11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Gains (Losses) from</w:t>
            </w:r>
          </w:p>
        </w:tc>
        <w:tc>
          <w:tcPr>
            <w:tcW w:w="0" w:type="dxa"/>
            <w:vAlign w:val="bottom"/>
          </w:tcPr>
          <w:p>
            <w:pPr>
              <w:spacing w:after="0"/>
              <w:rPr>
                <w:sz w:val="1"/>
                <w:szCs w:val="1"/>
                <w:color w:val="auto"/>
              </w:rPr>
            </w:pPr>
          </w:p>
        </w:tc>
      </w:tr>
      <w:tr>
        <w:trPr>
          <w:trHeight w:val="148"/>
        </w:trPr>
        <w:tc>
          <w:tcPr>
            <w:tcW w:w="4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4"/>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Hedge Activity</w:t>
            </w:r>
          </w:p>
        </w:tc>
        <w:tc>
          <w:tcPr>
            <w:tcW w:w="0" w:type="dxa"/>
            <w:vAlign w:val="bottom"/>
          </w:tcPr>
          <w:p>
            <w:pPr>
              <w:spacing w:after="0"/>
              <w:rPr>
                <w:sz w:val="1"/>
                <w:szCs w:val="1"/>
                <w:color w:val="auto"/>
              </w:rPr>
            </w:pPr>
          </w:p>
        </w:tc>
      </w:tr>
      <w:tr>
        <w:trPr>
          <w:trHeight w:val="25"/>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14"/>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gridSpan w:val="3"/>
          </w:tcPr>
          <w:p>
            <w:pPr>
              <w:jc w:val="center"/>
              <w:ind w:right="299"/>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3"/>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Recognized on</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80" w:type="dxa"/>
            <w:vAlign w:val="bottom"/>
            <w:gridSpan w:val="6"/>
          </w:tcPr>
          <w:p>
            <w:pPr>
              <w:jc w:val="center"/>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Attributable to Risk</w:t>
            </w:r>
          </w:p>
        </w:tc>
        <w:tc>
          <w:tcPr>
            <w:tcW w:w="0" w:type="dxa"/>
            <w:vAlign w:val="bottom"/>
          </w:tcPr>
          <w:p>
            <w:pPr>
              <w:spacing w:after="0"/>
              <w:rPr>
                <w:sz w:val="1"/>
                <w:szCs w:val="1"/>
                <w:color w:val="auto"/>
              </w:rPr>
            </w:pPr>
          </w:p>
        </w:tc>
      </w:tr>
      <w:tr>
        <w:trPr>
          <w:trHeight w:val="148"/>
        </w:trPr>
        <w:tc>
          <w:tcPr>
            <w:tcW w:w="2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2"/>
                <w:szCs w:val="12"/>
                <w:color w:val="auto"/>
              </w:rPr>
            </w:pPr>
          </w:p>
        </w:tc>
        <w:tc>
          <w:tcPr>
            <w:tcW w:w="1800" w:type="dxa"/>
            <w:vAlign w:val="bottom"/>
            <w:gridSpan w:val="4"/>
          </w:tcPr>
          <w:p>
            <w:pPr>
              <w:jc w:val="center"/>
              <w:ind w:left="142"/>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5"/>
          </w:tcPr>
          <w:p>
            <w:pPr>
              <w:jc w:val="center"/>
              <w:ind w:left="382"/>
              <w:spacing w:after="0" w:line="149" w:lineRule="exact"/>
              <w:rPr>
                <w:sz w:val="20"/>
                <w:szCs w:val="20"/>
                <w:color w:val="auto"/>
              </w:rPr>
            </w:pPr>
            <w:r>
              <w:rPr>
                <w:rFonts w:ascii="Times New Roman" w:cs="Times New Roman" w:eastAsia="Times New Roman" w:hAnsi="Times New Roman"/>
                <w:sz w:val="14"/>
                <w:szCs w:val="14"/>
                <w:b w:val="1"/>
                <w:bCs w:val="1"/>
                <w:color w:val="auto"/>
              </w:rPr>
              <w:t>Being Hedged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gridSpan w:val="3"/>
            <w:vMerge w:val="restart"/>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38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 not designated as hedging instruments: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8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Other expense (income)</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jc w:val="center"/>
              <w:ind w:right="5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5"/>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5"/>
              </w:rPr>
              <w:t>(2)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center"/>
              <w:ind w:right="55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jc w:val="center"/>
              <w:ind w:left="40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1"/>
          </w:tcPr>
          <w:p>
            <w:pPr>
              <w:ind w:left="420"/>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 and Other Comprehensive Income</w:t>
            </w:r>
          </w:p>
        </w:tc>
        <w:tc>
          <w:tcPr>
            <w:tcW w:w="0" w:type="dxa"/>
            <w:vAlign w:val="bottom"/>
          </w:tcPr>
          <w:p>
            <w:pPr>
              <w:spacing w:after="0"/>
              <w:rPr>
                <w:sz w:val="1"/>
                <w:szCs w:val="1"/>
                <w:color w:val="auto"/>
              </w:rPr>
            </w:pPr>
          </w:p>
        </w:tc>
      </w:tr>
      <w:tr>
        <w:trPr>
          <w:trHeight w:val="117"/>
        </w:trPr>
        <w:tc>
          <w:tcPr>
            <w:tcW w:w="2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gridSpan w:val="3"/>
          </w:tcPr>
          <w:p>
            <w:pPr>
              <w:jc w:val="center"/>
              <w:ind w:right="299"/>
              <w:spacing w:after="0" w:line="118" w:lineRule="exact"/>
              <w:rPr>
                <w:sz w:val="20"/>
                <w:szCs w:val="20"/>
                <w:color w:val="auto"/>
              </w:rPr>
            </w:pPr>
            <w:r>
              <w:rPr>
                <w:rFonts w:ascii="Times New Roman" w:cs="Times New Roman" w:eastAsia="Times New Roman" w:hAnsi="Times New Roman"/>
                <w:sz w:val="13"/>
                <w:szCs w:val="13"/>
                <w:b w:val="1"/>
                <w:bCs w:val="1"/>
                <w:color w:val="auto"/>
              </w:rPr>
              <w:t>Recognized</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3"/>
          </w:tcPr>
          <w:p>
            <w:pPr>
              <w:ind w:left="600"/>
              <w:spacing w:after="0" w:line="118"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5"/>
          </w:tcPr>
          <w:p>
            <w:pPr>
              <w:jc w:val="center"/>
              <w:ind w:left="342"/>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3"/>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in OCI</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5"/>
          </w:tcPr>
          <w:p>
            <w:pPr>
              <w:jc w:val="center"/>
              <w:ind w:left="342"/>
              <w:spacing w:after="0" w:line="149" w:lineRule="exact"/>
              <w:rPr>
                <w:sz w:val="20"/>
                <w:szCs w:val="20"/>
                <w:color w:val="auto"/>
              </w:rPr>
            </w:pPr>
            <w:r>
              <w:rPr>
                <w:rFonts w:ascii="Times New Roman" w:cs="Times New Roman" w:eastAsia="Times New Roman" w:hAnsi="Times New Roman"/>
                <w:sz w:val="14"/>
                <w:szCs w:val="14"/>
                <w:b w:val="1"/>
                <w:bCs w:val="1"/>
                <w:color w:val="auto"/>
              </w:rPr>
              <w:t>from AOCI</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gridSpan w:val="3"/>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160" w:type="dxa"/>
            <w:vAlign w:val="bottom"/>
            <w:tcBorders>
              <w:bottom w:val="single" w:sz="8" w:color="auto"/>
            </w:tcBorders>
            <w:vMerge w:val="continue"/>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 in cash flow hedges: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80" w:type="dxa"/>
            <w:vAlign w:val="bottom"/>
            <w:gridSpan w:val="2"/>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6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502"/>
              <w:spacing w:after="0"/>
              <w:rPr>
                <w:sz w:val="20"/>
                <w:szCs w:val="20"/>
                <w:color w:val="auto"/>
              </w:rPr>
            </w:pPr>
            <w:r>
              <w:rPr>
                <w:rFonts w:ascii="Times New Roman" w:cs="Times New Roman" w:eastAsia="Times New Roman" w:hAnsi="Times New Roman"/>
                <w:sz w:val="18"/>
                <w:szCs w:val="18"/>
                <w:color w:val="auto"/>
                <w:w w:val="88"/>
              </w:rPr>
              <w:t>1</w:t>
            </w:r>
          </w:p>
        </w:tc>
        <w:tc>
          <w:tcPr>
            <w:tcW w:w="40" w:type="dxa"/>
            <w:vAlign w:val="bottom"/>
          </w:tcPr>
          <w:p>
            <w:pPr>
              <w:spacing w:after="0"/>
              <w:rPr>
                <w:sz w:val="18"/>
                <w:szCs w:val="18"/>
                <w:color w:val="auto"/>
              </w:rPr>
            </w:pPr>
          </w:p>
        </w:tc>
        <w:tc>
          <w:tcPr>
            <w:tcW w:w="5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center"/>
              <w:ind w:left="502"/>
              <w:spacing w:after="0"/>
              <w:rPr>
                <w:sz w:val="20"/>
                <w:szCs w:val="20"/>
                <w:color w:val="auto"/>
              </w:rPr>
            </w:pPr>
            <w:r>
              <w:rPr>
                <w:rFonts w:ascii="Times New Roman" w:cs="Times New Roman" w:eastAsia="Times New Roman" w:hAnsi="Times New Roman"/>
                <w:sz w:val="18"/>
                <w:szCs w:val="18"/>
                <w:color w:val="auto"/>
                <w:w w:val="88"/>
              </w:rPr>
              <w:t>1</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208"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and 2021, there were no gains or losses excluded from the assessment of hedge effectiveness for cash flow hedges, or associated with an underlying exposure that did not or was not expected to occur, nor are there any anticipated in the normal course of business.</w:t>
      </w:r>
    </w:p>
    <w:p>
      <w:pPr>
        <w:spacing w:after="0" w:line="176" w:lineRule="exact"/>
        <w:rPr>
          <w:sz w:val="20"/>
          <w:szCs w:val="20"/>
          <w:color w:val="auto"/>
        </w:rPr>
      </w:pPr>
    </w:p>
    <w:p>
      <w:pPr>
        <w:ind w:left="60" w:right="259" w:firstLine="648"/>
        <w:spacing w:after="0" w:line="312" w:lineRule="auto"/>
        <w:rPr>
          <w:sz w:val="20"/>
          <w:szCs w:val="20"/>
          <w:color w:val="auto"/>
        </w:rPr>
      </w:pPr>
      <w:r>
        <w:rPr>
          <w:rFonts w:ascii="Times New Roman" w:cs="Times New Roman" w:eastAsia="Times New Roman" w:hAnsi="Times New Roman"/>
          <w:sz w:val="17"/>
          <w:szCs w:val="17"/>
          <w:color w:val="auto"/>
        </w:rPr>
        <w:t>Prior to the third quarter of 2021, Kyndryl did not independently execute derivative financial instruments to manage its foreign currency risk and instead participated in a centralized foreign currency hedging program administered</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by IBM. The hedging activity allocated to Kyndryl was for the former Parent’s forecasted currency exposures. In the third quarter of 2021, we began to execute trades to hedge the Company’s foreign exchange exposures.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INTANGIBLE ASSETS INCLUDING GOODWILL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On February 1, 2022, the Company completed two business combinations, consisting of an immaterial acquisition in our Strategic Markets segment and a transfer of a majority interest (51%) of a managed infrastructure services joint venture in Japan (the “Exa transaction”) from our former Parent that could not be completed prior to the Separation due to local regulatory approvals. The non-controlling interest acquired in the Exa transaction represents the fair value of the joint venture prorated by the non-controlling shareholder’s percentage of ownership (49%). The Company closed the Exa transaction for consideration of $48 million, net of cash acquired of $59 million. Acquisition costs associated with these two acquisitions were immaterial and expensed as incurred. The Exa transaction enabled us to seamlessly continue our relationships with certain key customers in Japan. The purchase price allocation for the business combinations is preliminary, and there may be changes in the allocation of consideration to assets acquired and liabilities assumed, including intangible assets and goodwill, for up to twelve months from the acquisition closing dates.</w:t>
      </w:r>
    </w:p>
    <w:p>
      <w:pPr>
        <w:spacing w:after="0" w:line="194"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consideration transferred, fair value of net assets acquired, net liabilities assumed and goodwill for the Exa transaction:</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3"/>
                <w:szCs w:val="13"/>
                <w:color w:val="auto"/>
              </w:rPr>
            </w:pPr>
          </w:p>
        </w:tc>
        <w:tc>
          <w:tcPr>
            <w:tcW w:w="12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enterprise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acquired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liabilities assumed, excluding cash</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arising from acquired intangibles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2"/>
        </w:trPr>
        <w:tc>
          <w:tcPr>
            <w:tcW w:w="7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 allocation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wp:posOffset>
            </wp:positionV>
            <wp:extent cx="14141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1"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Intangible assets acquired consists of $16 million of patents and trademarks and $91 million of customer relationships.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the Company’s intangible asset balances by major asset class.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At June 30, 2022</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2022</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0"/>
                <w:szCs w:val="10"/>
                <w:color w:val="auto"/>
              </w:rPr>
            </w:pPr>
          </w:p>
        </w:tc>
        <w:tc>
          <w:tcPr>
            <w:tcW w:w="9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10"/>
                <w:szCs w:val="10"/>
                <w:color w:val="auto"/>
              </w:rPr>
            </w:pPr>
          </w:p>
        </w:tc>
        <w:tc>
          <w:tcPr>
            <w:tcW w:w="104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0"/>
                <w:szCs w:val="10"/>
                <w:color w:val="auto"/>
              </w:rPr>
            </w:pPr>
          </w:p>
        </w:tc>
        <w:tc>
          <w:tcPr>
            <w:tcW w:w="9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0"/>
                <w:szCs w:val="10"/>
                <w:color w:val="auto"/>
              </w:rPr>
            </w:pP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10"/>
                <w:szCs w:val="10"/>
                <w:color w:val="auto"/>
              </w:rPr>
            </w:pPr>
          </w:p>
        </w:tc>
        <w:tc>
          <w:tcPr>
            <w:tcW w:w="108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right"/>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99" w:firstLine="648"/>
        <w:spacing w:after="0" w:line="312" w:lineRule="auto"/>
        <w:rPr>
          <w:sz w:val="20"/>
          <w:szCs w:val="20"/>
          <w:color w:val="auto"/>
        </w:rPr>
      </w:pPr>
      <w:r>
        <w:rPr>
          <w:rFonts w:ascii="Times New Roman" w:cs="Times New Roman" w:eastAsia="Times New Roman" w:hAnsi="Times New Roman"/>
          <w:sz w:val="17"/>
          <w:szCs w:val="17"/>
          <w:color w:val="auto"/>
        </w:rPr>
        <w:t>The net carrying amount of intangible assets increased by $9 million during the three months ended June 30, 2022, primarily due to additions in capitalized software, partially offset by previously acquired intangible assets. The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aggregate intangible asset amortization expense was $14 million and $9 million for the three months ended June 30, 2022 and 2021, respectively.</w:t>
      </w:r>
    </w:p>
    <w:p>
      <w:pPr>
        <w:spacing w:after="0" w:line="162"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future amortization expense relating to intangible assets currently recorded in the Consolidated Balance Sheet was estimated to be the following at June 30, 2022:</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5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134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changes in the goodwill balances by segment for the three months ended June 30, 2022 were as follows: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7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3"/>
                <w:szCs w:val="13"/>
                <w:color w:val="auto"/>
              </w:rPr>
            </w:pPr>
          </w:p>
        </w:tc>
        <w:tc>
          <w:tcPr>
            <w:tcW w:w="17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Additions and</w:t>
            </w:r>
          </w:p>
        </w:tc>
        <w:tc>
          <w:tcPr>
            <w:tcW w:w="240" w:type="dxa"/>
            <w:vAlign w:val="bottom"/>
          </w:tcPr>
          <w:p>
            <w:pPr>
              <w:spacing w:after="0"/>
              <w:rPr>
                <w:sz w:val="13"/>
                <w:szCs w:val="13"/>
                <w:color w:val="auto"/>
              </w:rPr>
            </w:pPr>
          </w:p>
        </w:tc>
        <w:tc>
          <w:tcPr>
            <w:tcW w:w="14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20" w:type="dxa"/>
            <w:vAlign w:val="bottom"/>
          </w:tcPr>
          <w:p>
            <w:pPr>
              <w:spacing w:after="0"/>
              <w:rPr>
                <w:sz w:val="15"/>
                <w:szCs w:val="15"/>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17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4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There were no goodwill impairment losses recorded for the three months ended June 30, 2022 and 2021. We review goodwill for impairment annually during the fourth quarter of the fiscal year and whenever events or changes in circumstances indicate the carrying value of goodwill may not be recoverable by first assessing qualitative factors to determine if it is more likely than not that fair value is less than carrying value. Cumulatively, the Company has recorded $469 million in goodwill impairment charges within its former EMEA ($293 million) and current United States ($176 million) reporting units.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BORROWINGS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our debt: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9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3820" w:type="dxa"/>
            <w:vAlign w:val="bottom"/>
            <w:gridSpan w:val="3"/>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36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floating-rate term loan</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2024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 loan agreement</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2026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2026</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2028</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2028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2031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2041</w:t>
            </w:r>
          </w:p>
        </w:tc>
        <w:tc>
          <w:tcPr>
            <w:tcW w:w="1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2041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 **</w:t>
            </w: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2022-2027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60" w:right="2439" w:hanging="10"/>
        <w:spacing w:after="0" w:line="261" w:lineRule="auto"/>
        <w:tabs>
          <w:tab w:leader="none" w:pos="27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Floating rate calculated as of June 30, 2022, using a rate equal to one-month U.S. dollar LIBOR plus 1.125%. ** Finance lease obligations presented using the weighted-average interest rate and calendar-year maturity dates.</w:t>
      </w:r>
    </w:p>
    <w:p>
      <w:pPr>
        <w:spacing w:after="0" w:line="167"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of long-term debt outstanding at June 30, 2022, exclusive of finance lease obligations,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2023 (remaining nine months)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Contractual obligations approximate scheduled repayments.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Revolving Credit Agreement</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for our future liquidity needs.</w:t>
      </w:r>
    </w:p>
    <w:p>
      <w:pPr>
        <w:spacing w:after="0" w:line="162" w:lineRule="exact"/>
        <w:rPr>
          <w:sz w:val="20"/>
          <w:szCs w:val="20"/>
          <w:color w:val="auto"/>
        </w:rPr>
      </w:pPr>
    </w:p>
    <w:p>
      <w:pPr>
        <w:jc w:val="both"/>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The Revolving Credit Agreement expires, unless extended, in October 2026. Interest rates on borrowings under the Revolving Credit Agreements are based on prevailing market interest rates, plus a margin, as further described in the Revolving Credit Agreement. The total expense recorded by the Company for the Revolving Credit Agreement was not material in any of the periods presented.</w:t>
      </w:r>
    </w:p>
    <w:p>
      <w:pPr>
        <w:spacing w:after="0" w:line="180"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We may voluntarily prepay borrowings under the Revolving Credit Agreement without premium or penalty, subject to customary “breakage” costs. The Revolving Credit Agreement includes certain customary mandatory prepayment provisions.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on Debt</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Interest expense for the three months ended June 30, 2022 and 2021 was $20 million and $15 million, respectively. Most of the interest for the pre-Separation period presented in the historical Consolidated Income Statement reflects the allocation of interest expense associated with debt issued by IBM for which a portion of the proceeds benefited Kyndryl.</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guarantees certain loans and financial commitments. The maximum potential future payment under these financial guarantees and the fair value of these guarantees recognized in the Consolidated Balance Sheet at June 30, 2022 and March 31, 2022 were not material. Additionally, the Company has contractual commitments that are noncancellable with certain software and cloud partners to provide services to its customers. During the three months ended June 30, 2022, there were no significant changes to such contractual commitments as presented in our Annual Report on Form 10-K for the fiscal year ended December 31, 2021 (the “2021 Annual Report”), as revised and updated by the 8-K/A.</w:t>
      </w:r>
    </w:p>
    <w:p>
      <w:pPr>
        <w:spacing w:after="0" w:line="18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company with approximately 90,000 employees and with clients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96"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 including the experience of other companies in the industry, and investor, customer and employee relations considerations.</w:t>
      </w:r>
    </w:p>
    <w:p>
      <w:pPr>
        <w:spacing w:after="0" w:line="187"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business, financial condition, results of operations or cash flows could be affected in any particular period by the resolution of one or more of these matters.</w:t>
      </w:r>
    </w:p>
    <w:p>
      <w:pPr>
        <w:spacing w:after="0" w:line="162"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IBM has filed a motion to amend the judgment and has publicly stated that it plans to appeal the judgment and intends to seek a complete reversal on appeal. IBM may seek an indemnity from the Company in connection with this matter. Until there is a final and conclusive judgment in the case after all appeals and proceedings are concluded, until the amount of any applicable insurance is determined, and until a definitive assessment of Kyndryl’s indemnity obligations (if any) occurs, which in the aggregate will likely take several years, the amount of indemnity obligation (if any) that the Company may owe to IBM is indeterminate.</w:t>
      </w:r>
    </w:p>
    <w:p>
      <w:pPr>
        <w:spacing w:after="0" w:line="19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Separately, certain contractual disputes have arisen between Kyndryl and IBM. IBM has commenced arbitration proceedings related to certain of these matters, and Kyndryl has notified IBM of items that Kyndryl disputes. Kyndryl intends to vigorously pursue its interests and defenses in these matters, including asserting its own claims in arbitration if necessary.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EQUITY</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reclassifications and taxes related to items of other comprehensive income (loss) for the three months ended June 30, 2022 and 2021:</w:t>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0" w:type="dxa"/>
            <w:vAlign w:val="bottom"/>
          </w:tcPr>
          <w:p>
            <w:pPr>
              <w:spacing w:after="0"/>
              <w:rPr>
                <w:sz w:val="1"/>
                <w:szCs w:val="1"/>
                <w:color w:val="auto"/>
              </w:rPr>
            </w:pPr>
          </w:p>
        </w:tc>
      </w:tr>
      <w:tr>
        <w:trPr>
          <w:trHeight w:val="173"/>
        </w:trPr>
        <w:tc>
          <w:tcPr>
            <w:tcW w:w="4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16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21"/>
                <w:szCs w:val="21"/>
                <w:color w:val="auto"/>
              </w:rPr>
            </w:pPr>
          </w:p>
        </w:tc>
        <w:tc>
          <w:tcPr>
            <w:tcW w:w="9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(263)</w:t>
            </w:r>
          </w:p>
        </w:tc>
        <w:tc>
          <w:tcPr>
            <w:tcW w:w="2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(losses) gains arising during the period</w:t>
            </w:r>
          </w:p>
        </w:tc>
        <w:tc>
          <w:tcPr>
            <w:tcW w:w="116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ind w:left="380" w:right="119" w:hanging="330"/>
        <w:spacing w:after="0" w:line="261"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12 – Retirement-Related Benefits for additional information.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accumulated other comprehensive income (loss), net of taxes:</w:t>
      </w: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27"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translation adjustments are presented gross.</w:t>
      </w:r>
    </w:p>
    <w:p>
      <w:pPr>
        <w:spacing w:after="0" w:line="4"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amounts were reclassified from accumulated other comprehensive income.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RETIREMENT-RELATED BENEFITS</w:t>
      </w:r>
    </w:p>
    <w:p>
      <w:pPr>
        <w:spacing w:after="0" w:line="202"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components of net periodic benefit cost for the retirement-related benefit plans recognized in the Consolidated Income Statement, excluding defined contribution plans, for the three months ended June 30, 2022 and 2021.</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Nonpension Postretirement Benefit Plans</w:t>
            </w:r>
          </w:p>
        </w:tc>
      </w:tr>
      <w:tr>
        <w:trPr>
          <w:trHeight w:val="142"/>
        </w:trPr>
        <w:tc>
          <w:tcPr>
            <w:tcW w:w="33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820" w:type="dxa"/>
            <w:vAlign w:val="bottom"/>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Interest cost</w:t>
            </w:r>
            <w:r>
              <w:rPr>
                <w:rFonts w:ascii="Times New Roman" w:cs="Times New Roman" w:eastAsia="Times New Roman" w:hAnsi="Times New Roman"/>
                <w:sz w:val="25"/>
                <w:szCs w:val="25"/>
                <w:color w:val="auto"/>
                <w:vertAlign w:val="superscript"/>
              </w:rPr>
              <w:t>(1)</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Expected return on plan assets</w:t>
            </w:r>
            <w:r>
              <w:rPr>
                <w:rFonts w:ascii="Times New Roman" w:cs="Times New Roman" w:eastAsia="Times New Roman" w:hAnsi="Times New Roman"/>
                <w:sz w:val="25"/>
                <w:szCs w:val="25"/>
                <w:color w:val="auto"/>
                <w:vertAlign w:val="superscript"/>
              </w:rPr>
              <w:t>(1)</w:t>
            </w:r>
          </w:p>
        </w:tc>
        <w:tc>
          <w:tcPr>
            <w:tcW w:w="8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Recognized actuarial losses (gains)</w:t>
            </w:r>
            <w:r>
              <w:rPr>
                <w:rFonts w:ascii="Times New Roman" w:cs="Times New Roman" w:eastAsia="Times New Roman" w:hAnsi="Times New Roman"/>
                <w:sz w:val="25"/>
                <w:szCs w:val="25"/>
                <w:color w:val="auto"/>
                <w:vertAlign w:val="superscript"/>
              </w:rPr>
              <w:t>(1)</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Multi-employer plans and other costs</w:t>
            </w:r>
            <w:r>
              <w:rPr>
                <w:rFonts w:ascii="Times New Roman" w:cs="Times New Roman" w:eastAsia="Times New Roman" w:hAnsi="Times New Roman"/>
                <w:sz w:val="25"/>
                <w:szCs w:val="25"/>
                <w:color w:val="auto"/>
                <w:vertAlign w:val="superscript"/>
              </w:rPr>
              <w:t>(2)</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2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72" w:lineRule="exact"/>
        <w:rPr>
          <w:sz w:val="20"/>
          <w:szCs w:val="20"/>
          <w:color w:val="auto"/>
        </w:rPr>
      </w:pPr>
    </w:p>
    <w:p>
      <w:pPr>
        <w:ind w:left="380" w:hanging="330"/>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of net periodic benefit cost are included in other expense (income) in the Consolidated Income Statement.</w:t>
      </w:r>
    </w:p>
    <w:p>
      <w:pPr>
        <w:spacing w:after="0" w:line="3" w:lineRule="exact"/>
        <w:rPr>
          <w:rFonts w:ascii="Times New Roman" w:cs="Times New Roman" w:eastAsia="Times New Roman" w:hAnsi="Times New Roman"/>
          <w:sz w:val="14"/>
          <w:szCs w:val="14"/>
          <w:color w:val="auto"/>
        </w:rPr>
      </w:pPr>
    </w:p>
    <w:p>
      <w:pPr>
        <w:ind w:left="380" w:right="219" w:hanging="330"/>
        <w:spacing w:after="0" w:line="239"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Multi-employer plan costs represent required contributions for the period to multi-employer plans, which are plans sponsored by third parties. The Company recognizes expense in connection with multi-employer plans as operating costs as contributions are funded.</w:t>
      </w:r>
    </w:p>
    <w:p>
      <w:pPr>
        <w:spacing w:after="0" w:line="181"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The Company estimates contributions to its defined benefit pension plans, multi-employer plans and nonpension postretirement benefit plans for fiscal year 2023 to be approximately $27 million. These amounts generally represent legally mandated minimum contributions. During the three months ended June 30, 2022, Company contributions paid to the defined benefit pension plans, multi-employer plans and nonpension postretirement benefit plans were $3 million.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RELATED-PARTY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Related-Party Revenue and Purchases</w:t>
      </w:r>
    </w:p>
    <w:p>
      <w:pPr>
        <w:spacing w:after="0" w:line="229" w:lineRule="exact"/>
        <w:rPr>
          <w:sz w:val="20"/>
          <w:szCs w:val="20"/>
          <w:color w:val="auto"/>
        </w:rPr>
      </w:pPr>
    </w:p>
    <w:p>
      <w:pPr>
        <w:jc w:val="both"/>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Kyndryl provides various services to IBM, including those related to hosting data centers and servicing IBM’s information technology infrastructure, which are reported as revenue in the Company’s Consolidated Income Statement. Revenue generated from these services was $205 million and $146 million for the three months ended June 30, 2022 and 2021,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Kyndryl utilizes various IBM products and services, recognized as costs of services, in the fulfillment of services contracts. Total cost of services recognized from these related-party transactions in the Company’s Consolidated Income Statement was $961 million and $906 million for the three months ended June 30, 2022 and 2021, respectively. Related-party cost of $961 million for the current quarter includes outsourcing goods and services provided by the former Parent to Kyndryl’s customers post-Separation. Related-party cost of $906 million for the quarter ended June 30, 2021, were related to pre-Separation services, including costs incurred by Kyndryl to provide services to the former Parent for networking and IT services of $116 million; costs for the usage of IBM-branded software allocated to Kyndryl by the former Parent of $681 million; and depreciation charges related to IBM hardware allocated to Kyndryl of $109 million.</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 expenditures for purchases of IBM hardware were reflected as payments for property and equipment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within the investing section of the Company’s Consolidated Statement of Cash Flows in the amounts of $61 million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$131 million for the three months ended June 30, 2022 and 2021, respectively. Additionally, as part of the Separation, IBM</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has committed to provide Kyndryl, at no cost, approximately $265 million of upgraded hardware over a two-year period.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amounts committed by IBM are reflected within other assets (noncurrent) within the Consolidated Balance Sheet 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2022. The expected average useful life of the upgraded hardware is approximately five years, and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intends to recognize total depreciation approximating $265 million over the useful life, consistent with our depreciation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policy.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Related Party Agreements</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November 2, 2021, in connection with the Separation, the Company entered into several agreements with IBM that govern the relationship of the parties following the Separation. Such agreements were described in our 2021 Annual Report.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Allocation of Corporate Expenses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Post-Separation, general corporate expenses from IBM were no longer allocated to Kyndryl; therefore, no related amounts were reflected on the Company’s financial statements for the three months ended June 30, 2022.</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Prior to the Separation, IBM allocated certain general corporate expenses that would have been incurred by Kyndryl had it been a separate, standalone company. These allocated general corporate expenses from IBM were recorded in the historical Consolidated Income Statement, Consolidated Statement of Comprehensive Income (Loss) and Consolidated Statement of Cash Flows. Allocations for management costs and corporate support services provided to Kyndryl for the three months ended June 30, 2021 totaled $331 million, consisting of $2 million of allocated other (income) and expense, $15 million of allocated interest expense and $313 million of allocated selling, general and administrative expense, which primarily represents expenses for corporate functions including, but not limited to, senior management, legal, human resources, finance and accounting, treasury, information technology and other shared services. All such amounts have been deemed to have been incurred and settled by Kyndryl through Net Parent investment in the period in which the costs were recorded. These costs were allocated based on direct usage as applicable, with the remainder allocated on a pro-rata basis of gross profit, headcount, assets or other measures.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Parent Investment</w:t>
      </w:r>
    </w:p>
    <w:p>
      <w:pPr>
        <w:spacing w:after="0" w:line="229"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Separation, Net Parent investment in the Consolidated Balance Sheet and Consolidated Statement of Equity was fully settled on November 3, 2021. As such, there was no balance in Net Parent investment at March 31, 2022, and there was no activity within the account during the three months ended June 30, 2022.</w:t>
      </w:r>
    </w:p>
    <w:p>
      <w:pPr>
        <w:spacing w:after="0" w:line="17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Prior to the Separation, Net Parent investment in the historical Balance Sheet and Statement of Equity represented IBM’s historical investment in Kyndryl, the net effect of transactions with and allocations from IBM, and Kyndryl’s accumulated earnings. The Net Parent investment balance at June 30, 2021 was $6 billion. The amount of transfer activities from Parent recorded within Net Parent investment during the three months ended June 30, 2021 was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$402 million, which included cash pooling and general financing activities, allocation of IBM’s corporate expenses, related party sales and purchases, related party intangible asset fees and income taxes. During the three months ended June 30, 2021, there were $159 million of non-cash transfers from Parent, including income taxes, allocation of Parent’s stock-based compensation, depreciation and other non-cash items. This resulted in a net transfer from Parent of $243 million on the historical Statement of Cash Flows.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Beneficial Ownership</w:t>
      </w:r>
    </w:p>
    <w:p>
      <w:pPr>
        <w:spacing w:after="0" w:line="189" w:lineRule="exact"/>
        <w:rPr>
          <w:sz w:val="20"/>
          <w:szCs w:val="20"/>
          <w:color w:val="auto"/>
        </w:rPr>
      </w:pPr>
    </w:p>
    <w:p>
      <w:pPr>
        <w:ind w:left="60" w:right="759" w:firstLine="648"/>
        <w:spacing w:after="0" w:line="282" w:lineRule="auto"/>
        <w:rPr>
          <w:sz w:val="20"/>
          <w:szCs w:val="20"/>
          <w:color w:val="auto"/>
        </w:rPr>
      </w:pPr>
      <w:r>
        <w:rPr>
          <w:rFonts w:ascii="Times New Roman" w:cs="Times New Roman" w:eastAsia="Times New Roman" w:hAnsi="Times New Roman"/>
          <w:sz w:val="18"/>
          <w:szCs w:val="18"/>
          <w:color w:val="auto"/>
        </w:rPr>
        <w:t>In May 2022, IBM disposed of 22.3 million shares of Kyndryl common stock, reducing IBM’s beneficial ownership of the Company’s common stock from 19.9% to 9.9%.</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Guarantees</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Kyndryl has 64 lease agreements with third parties with an estimated aggregate lease liability of $142 million that are guaranteed by IBM as of June 30,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REVISION OF PRIOR-PERIOD FINANCIAL STATEMENTS</w:t>
      </w:r>
    </w:p>
    <w:p>
      <w:pPr>
        <w:spacing w:after="0" w:line="202" w:lineRule="exact"/>
        <w:rPr>
          <w:sz w:val="20"/>
          <w:szCs w:val="20"/>
          <w:color w:val="auto"/>
        </w:rPr>
      </w:pPr>
    </w:p>
    <w:p>
      <w:pPr>
        <w:ind w:left="60" w:right="339" w:firstLine="648"/>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the Company identified and corrected an $87 million over-accrual in its accrued contract costs balance that related to a majority-owned, consolidated joint venture in our Principal Markets segment. This over-accrual was predominantly built up over the pre-Separation periods of January 1, 2012, to November 3, 2021, resulting in overstatements of cost of services and accrued contract costs, and corresponding understatements of pretax and net income. The Company concluded that such impacts were not material to any prior annual or interim period. The Company further determined that the correction of the over-accrual within the transition period ended March 31, 2022 would be significant to the three-month results. As a result, we recorded an immaterial revision to portions of our 2021 Annual Report (see the Form 8-K/A) and are recording immaterial revisions to prior interim periods in this Quarterly Report as well as our subsequent Quarterly Reports on Form 10-Q.</w:t>
      </w:r>
    </w:p>
    <w:p>
      <w:pPr>
        <w:spacing w:after="0" w:line="18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 summary of the impact of the revision to the accompanying prior-period consolidated financial statements is presented in the tables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Income Statement (Dollars in millions)</w:t>
            </w:r>
          </w:p>
        </w:tc>
        <w:tc>
          <w:tcPr>
            <w:tcW w:w="6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6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00" w:type="dxa"/>
            <w:vAlign w:val="bottom"/>
          </w:tcPr>
          <w:p>
            <w:pPr>
              <w:spacing w:after="0"/>
              <w:rPr>
                <w:sz w:val="12"/>
                <w:szCs w:val="12"/>
                <w:color w:val="auto"/>
              </w:rPr>
            </w:pPr>
          </w:p>
        </w:tc>
        <w:tc>
          <w:tcPr>
            <w:tcW w:w="13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2"/>
                <w:szCs w:val="12"/>
                <w:color w:val="auto"/>
              </w:rPr>
            </w:pPr>
          </w:p>
        </w:tc>
        <w:tc>
          <w:tcPr>
            <w:tcW w:w="11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Comprehensive Income (Loss) (Dollars in</w:t>
            </w:r>
          </w:p>
        </w:tc>
        <w:tc>
          <w:tcPr>
            <w:tcW w:w="6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320" w:type="dxa"/>
            <w:vAlign w:val="bottom"/>
            <w:gridSpan w:val="2"/>
            <w:vMerge w:val="continue"/>
          </w:tcPr>
          <w:p>
            <w:pPr>
              <w:spacing w:after="0"/>
              <w:rPr>
                <w:sz w:val="9"/>
                <w:szCs w:val="9"/>
                <w:color w:val="auto"/>
              </w:rPr>
            </w:pPr>
          </w:p>
        </w:tc>
        <w:tc>
          <w:tcPr>
            <w:tcW w:w="1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200" w:type="dxa"/>
            <w:vAlign w:val="bottom"/>
          </w:tcPr>
          <w:p>
            <w:pPr>
              <w:spacing w:after="0"/>
              <w:rPr>
                <w:sz w:val="9"/>
                <w:szCs w:val="9"/>
                <w:color w:val="auto"/>
              </w:rPr>
            </w:pPr>
          </w:p>
        </w:tc>
        <w:tc>
          <w:tcPr>
            <w:tcW w:w="13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9"/>
                <w:szCs w:val="9"/>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7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4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24</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 (Dollars in millions)</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At June 30, 2021</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6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20" w:type="dxa"/>
            <w:vAlign w:val="bottom"/>
          </w:tcPr>
          <w:p>
            <w:pPr>
              <w:spacing w:after="0"/>
              <w:rPr>
                <w:sz w:val="12"/>
                <w:szCs w:val="12"/>
                <w:color w:val="auto"/>
              </w:rPr>
            </w:pPr>
          </w:p>
        </w:tc>
        <w:tc>
          <w:tcPr>
            <w:tcW w:w="144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2"/>
                <w:szCs w:val="12"/>
                <w:color w:val="auto"/>
              </w:rPr>
            </w:pPr>
          </w:p>
        </w:tc>
        <w:tc>
          <w:tcPr>
            <w:tcW w:w="11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contract costs</w:t>
            </w: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5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Parent investment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6"/>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Cash Flows (Dollars in millions)</w:t>
            </w:r>
          </w:p>
        </w:tc>
        <w:tc>
          <w:tcPr>
            <w:tcW w:w="5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6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20" w:type="dxa"/>
            <w:vAlign w:val="bottom"/>
          </w:tcPr>
          <w:p>
            <w:pPr>
              <w:spacing w:after="0"/>
              <w:rPr>
                <w:sz w:val="12"/>
                <w:szCs w:val="12"/>
                <w:color w:val="auto"/>
              </w:rPr>
            </w:pPr>
          </w:p>
        </w:tc>
        <w:tc>
          <w:tcPr>
            <w:tcW w:w="144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2"/>
                <w:szCs w:val="12"/>
                <w:color w:val="auto"/>
              </w:rPr>
            </w:pPr>
          </w:p>
        </w:tc>
        <w:tc>
          <w:tcPr>
            <w:tcW w:w="11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2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cash</w:t>
            </w: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5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Taxes (including items settled with Parent)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 of Equity (Dollars in millions)</w:t>
            </w: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At June 30, 2021</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16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20" w:type="dxa"/>
            <w:vAlign w:val="bottom"/>
          </w:tcPr>
          <w:p>
            <w:pPr>
              <w:spacing w:after="0"/>
              <w:rPr>
                <w:sz w:val="12"/>
                <w:szCs w:val="12"/>
                <w:color w:val="auto"/>
              </w:rPr>
            </w:pPr>
          </w:p>
        </w:tc>
        <w:tc>
          <w:tcPr>
            <w:tcW w:w="144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2"/>
                <w:szCs w:val="12"/>
                <w:color w:val="auto"/>
              </w:rPr>
            </w:pPr>
          </w:p>
        </w:tc>
        <w:tc>
          <w:tcPr>
            <w:tcW w:w="110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As Revised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5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Parent investment</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jc w:val="center"/>
        <w:ind w:left="1500" w:right="1840"/>
        <w:spacing w:after="0" w:line="268"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FOR THE THREE MONTHS ENDED JUNE 30, 2022</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5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5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4,288</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4,751</w:t>
            </w:r>
          </w:p>
        </w:tc>
        <w:tc>
          <w:tcPr>
            <w:tcW w:w="0" w:type="dxa"/>
            <w:vAlign w:val="bottom"/>
          </w:tcPr>
          <w:p>
            <w:pPr>
              <w:spacing w:after="0"/>
              <w:rPr>
                <w:sz w:val="1"/>
                <w:szCs w:val="1"/>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growth (GAAP)</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Revenue growth in constant currency</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00" w:hanging="350"/>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For definitions of these metrics and a reconciliation</w:t>
      </w:r>
    </w:p>
    <w:p>
      <w:pPr>
        <w:spacing w:after="0" w:line="55" w:lineRule="exact"/>
        <w:rPr>
          <w:sz w:val="20"/>
          <w:szCs w:val="20"/>
          <w:color w:val="auto"/>
        </w:rPr>
      </w:pPr>
    </w:p>
    <w:p>
      <w:pPr>
        <w:ind w:left="380" w:right="159"/>
        <w:spacing w:after="0" w:line="282" w:lineRule="auto"/>
        <w:rPr>
          <w:sz w:val="20"/>
          <w:szCs w:val="20"/>
          <w:color w:val="auto"/>
        </w:rPr>
      </w:pPr>
      <w:r>
        <w:rPr>
          <w:rFonts w:ascii="Times New Roman" w:cs="Times New Roman" w:eastAsia="Times New Roman" w:hAnsi="Times New Roman"/>
          <w:sz w:val="14"/>
          <w:szCs w:val="14"/>
          <w:color w:val="auto"/>
        </w:rPr>
        <w:t>of adjusted EBITDA to the most directly comparable financial measure calculated and presented in accordance with U.S. GAAP, see “ Segment Results.”</w:t>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3"/>
                <w:szCs w:val="13"/>
                <w:color w:val="auto"/>
              </w:rPr>
            </w:pPr>
          </w:p>
        </w:tc>
        <w:tc>
          <w:tcPr>
            <w:tcW w:w="1040" w:type="dxa"/>
            <w:vAlign w:val="bottom"/>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12,304</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13,442</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10,093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 of Information</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Kyndryl Holdings, Inc. was formed as a wholly-owned subsidiary of IBM in September 2021 to hold the operations of the managed infrastructure services unit of IBM’s Global Technology Services segment. On November 3, 2021, IBM distributed shares representing 80.1% of Kyndryl’s outstanding common stock to holders of record of IBM’s common stock as of the close of business on October 25, 2021, in a spin-off that is tax-free for U.S. federal tax purposes. Following the distribution, Kyndryl became an independent, publicly-traded company and is the world’s leading managed infrastructure services provider.</w:t>
      </w:r>
    </w:p>
    <w:p>
      <w:pPr>
        <w:spacing w:after="0" w:line="187"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Kyndryl utilized allocations and carve-out methodologies through November 3, 2021 to prepare historical financial statements. The consolidated financial statements for the pre-Separation periods herein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For additional information, see “Basis of Presentation” in Note 1 – Significant Accounting Policies in the accompanying Consolidated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 Dynamics</w:t>
      </w:r>
    </w:p>
    <w:p>
      <w:pPr>
        <w:spacing w:after="0" w:line="229" w:lineRule="exact"/>
        <w:rPr>
          <w:sz w:val="20"/>
          <w:szCs w:val="20"/>
          <w:color w:val="auto"/>
        </w:rPr>
      </w:pPr>
    </w:p>
    <w:p>
      <w:pPr>
        <w:ind w:left="60" w:right="219" w:firstLine="648"/>
        <w:spacing w:after="0" w:line="255" w:lineRule="auto"/>
        <w:rPr>
          <w:sz w:val="20"/>
          <w:szCs w:val="20"/>
          <w:color w:val="auto"/>
        </w:rPr>
      </w:pPr>
      <w:r>
        <w:rPr>
          <w:rFonts w:ascii="Times New Roman" w:cs="Times New Roman" w:eastAsia="Times New Roman" w:hAnsi="Times New Roman"/>
          <w:sz w:val="18"/>
          <w:szCs w:val="18"/>
          <w:color w:val="auto"/>
        </w:rPr>
        <w:t>In 2021, we saw a broad-based macroeconomic recovery in most regions of the world. Demand for technology services rebounded, as large organizations again demonstrated a need for assistance in designing, building, managing and modernizing their technology systems. Thus far in 2022, we have seen continued global economic growth and continuing demand for information technology services, despite increased geopolitical tensions, lingering effects of the COVID-19 pandemic, inflationary pressures and belated government efforts to stem inflation. Most economists, including the International Monetary Fund, expect global macroeconomic growth to continue in 2022, although risks of economic slowdowns in certain geographies have recently increased.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Quarterly Financial Performance</w:t>
      </w:r>
    </w:p>
    <w:p>
      <w:pPr>
        <w:spacing w:after="0" w:line="229" w:lineRule="exact"/>
        <w:rPr>
          <w:sz w:val="20"/>
          <w:szCs w:val="20"/>
          <w:color w:val="auto"/>
        </w:rPr>
      </w:pPr>
    </w:p>
    <w:p>
      <w:pPr>
        <w:ind w:left="60" w:right="45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2022, we reported $4.3 billion in revenue, a decline of 10 percent when compared to the prior-year period, primarily driven by a 7-point negative impact from currency. United States revenue declined 3 percent, Japan revenue declined 15 percent, Principal Markets revenue declined 18 percent and Strategic Markets revenue increased 2 percent compared to the three months ended June 30, 2021. Net loss of $250 million improved by $139 million versus the prior year, primarily driven by lower transaction-related costs and lower cost of services as a percentage of revenue.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the fourth quarter of 2021, the Company implemented a new operating model and reporting structure resulting in four reportable segments: United States, Japan, Principal Markets and Strategic Markets. Principal Markets consists of our operations in Australia/New Zealand, Canada, France, Germany, Italy, India, Spain/Portugal and United Kingdom/Ireland. Strategic Markets consists of our operations in all other countries in which we operate. In addition to this change, the measures of segment operating performance changed to revenue and adjusted EBITDA. The Company has recast the prior-period results to reflect this change in segment structure. During the three months ended March 31, 2022, the Company updated certain allocation methodologies among segments related to its measure of adjusted EBITDA and has accordingly recast the prior-period information to reflect these updates, which did not change the aggregate amount of adjusted EBITDA. See Note 14 – Revision of Prior-period Financial Statements regarding immaterial revisions we made to the historical periods.</w:t>
      </w:r>
    </w:p>
    <w:p>
      <w:pPr>
        <w:spacing w:after="0" w:line="19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reportable segments’ revenue and adjusted EBITDA for the three months ended June 30, 2022 and 2021 and has incorporated the aforementioned updates in the historical period presented. Segment revenue and revenue growth in constant currency exclude any transactions between the segments.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3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Pr>
          <w:p>
            <w:pPr>
              <w:spacing w:after="0"/>
              <w:rPr>
                <w:sz w:val="16"/>
                <w:szCs w:val="16"/>
                <w:color w:val="auto"/>
              </w:rPr>
            </w:pPr>
          </w:p>
        </w:tc>
        <w:tc>
          <w:tcPr>
            <w:tcW w:w="33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3700" w:type="dxa"/>
            <w:vAlign w:val="bottom"/>
            <w:gridSpan w:val="3"/>
            <w:vMerge w:val="continue"/>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150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1,168</w:t>
            </w:r>
          </w:p>
        </w:tc>
        <w:tc>
          <w:tcPr>
            <w:tcW w:w="2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1,210</w:t>
            </w:r>
          </w:p>
        </w:tc>
        <w:tc>
          <w:tcPr>
            <w:tcW w:w="280" w:type="dxa"/>
            <w:vAlign w:val="bottom"/>
          </w:tcPr>
          <w:p>
            <w:pPr>
              <w:spacing w:after="0"/>
              <w:rPr>
                <w:sz w:val="18"/>
                <w:szCs w:val="18"/>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634</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747</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380" w:type="dxa"/>
            <w:vAlign w:val="bottom"/>
          </w:tcPr>
          <w:p>
            <w:pPr>
              <w:spacing w:after="0"/>
              <w:rPr>
                <w:sz w:val="18"/>
                <w:szCs w:val="18"/>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1,516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1,842</w:t>
            </w:r>
          </w:p>
        </w:tc>
        <w:tc>
          <w:tcPr>
            <w:tcW w:w="280" w:type="dxa"/>
            <w:vAlign w:val="bottom"/>
          </w:tcPr>
          <w:p>
            <w:pPr>
              <w:spacing w:after="0"/>
              <w:rPr>
                <w:sz w:val="18"/>
                <w:szCs w:val="18"/>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970</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953</w:t>
            </w:r>
          </w:p>
        </w:tc>
        <w:tc>
          <w:tcPr>
            <w:tcW w:w="2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4,288</w:t>
            </w:r>
          </w:p>
        </w:tc>
        <w:tc>
          <w:tcPr>
            <w:tcW w:w="2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4,751</w:t>
            </w:r>
          </w:p>
        </w:tc>
        <w:tc>
          <w:tcPr>
            <w:tcW w:w="2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7"/>
        </w:trPr>
        <w:tc>
          <w:tcPr>
            <w:tcW w:w="3700" w:type="dxa"/>
            <w:vAlign w:val="bottom"/>
            <w:gridSpan w:val="3"/>
            <w:shd w:val="clear" w:color="auto" w:fill="CCEEFF"/>
          </w:tcPr>
          <w:p>
            <w:pPr>
              <w:ind w:left="220"/>
              <w:spacing w:after="0" w:line="197" w:lineRule="exact"/>
              <w:rPr>
                <w:sz w:val="20"/>
                <w:szCs w:val="20"/>
                <w:color w:val="auto"/>
              </w:rPr>
            </w:pPr>
            <w:r>
              <w:rPr>
                <w:rFonts w:ascii="Times New Roman" w:cs="Times New Roman" w:eastAsia="Times New Roman" w:hAnsi="Times New Roman"/>
                <w:sz w:val="16"/>
                <w:szCs w:val="16"/>
                <w:b w:val="1"/>
                <w:bCs w:val="1"/>
                <w:color w:val="auto"/>
              </w:rPr>
              <w:t>Revenue growth in constant currency</w:t>
            </w:r>
            <w:r>
              <w:rPr>
                <w:rFonts w:ascii="Times New Roman" w:cs="Times New Roman" w:eastAsia="Times New Roman" w:hAnsi="Times New Roman"/>
                <w:sz w:val="22"/>
                <w:szCs w:val="22"/>
                <w:b w:val="1"/>
                <w:bCs w:val="1"/>
                <w:color w:val="auto"/>
                <w:vertAlign w:val="superscript"/>
              </w:rPr>
              <w:t>(1)</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70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380" w:type="dxa"/>
            <w:vAlign w:val="bottom"/>
          </w:tcPr>
          <w:p>
            <w:pPr>
              <w:spacing w:after="0"/>
              <w:rPr>
                <w:sz w:val="18"/>
                <w:szCs w:val="18"/>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Pr>
          <w:p>
            <w:pPr>
              <w:spacing w:after="0"/>
              <w:rPr>
                <w:sz w:val="18"/>
                <w:szCs w:val="18"/>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6"/>
        </w:trPr>
        <w:tc>
          <w:tcPr>
            <w:tcW w:w="3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380" w:type="dxa"/>
            <w:vAlign w:val="bottom"/>
          </w:tcPr>
          <w:p>
            <w:pPr>
              <w:spacing w:after="0"/>
              <w:rPr>
                <w:sz w:val="18"/>
                <w:szCs w:val="18"/>
                <w:color w:val="auto"/>
              </w:rPr>
            </w:pPr>
          </w:p>
        </w:tc>
        <w:tc>
          <w:tcPr>
            <w:tcW w:w="12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8"/>
                <w:szCs w:val="18"/>
                <w:color w:val="auto"/>
              </w:rPr>
            </w:pP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5"/>
                <w:szCs w:val="25"/>
                <w:color w:val="auto"/>
                <w:vertAlign w:val="superscript"/>
              </w:rPr>
              <w:t>(2)</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0"/>
        </w:trPr>
        <w:tc>
          <w:tcPr>
            <w:tcW w:w="3700" w:type="dxa"/>
            <w:vAlign w:val="bottom"/>
            <w:gridSpan w:val="3"/>
          </w:tcPr>
          <w:p>
            <w:pPr>
              <w:ind w:left="220"/>
              <w:spacing w:after="0" w:line="210" w:lineRule="exact"/>
              <w:rPr>
                <w:sz w:val="20"/>
                <w:szCs w:val="20"/>
                <w:color w:val="auto"/>
              </w:rPr>
            </w:pPr>
            <w:r>
              <w:rPr>
                <w:rFonts w:ascii="Times New Roman" w:cs="Times New Roman" w:eastAsia="Times New Roman" w:hAnsi="Times New Roman"/>
                <w:sz w:val="17"/>
                <w:szCs w:val="17"/>
                <w:b w:val="1"/>
                <w:bCs w:val="1"/>
                <w:color w:val="auto"/>
              </w:rPr>
              <w:t>Total adjusted EBITDA</w:t>
            </w:r>
            <w:r>
              <w:rPr>
                <w:rFonts w:ascii="Times New Roman" w:cs="Times New Roman" w:eastAsia="Times New Roman" w:hAnsi="Times New Roman"/>
                <w:sz w:val="24"/>
                <w:szCs w:val="24"/>
                <w:b w:val="1"/>
                <w:bCs w:val="1"/>
                <w:color w:val="auto"/>
                <w:vertAlign w:val="superscript"/>
              </w:rPr>
              <w:t>(1)</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tcPr>
          <w:p>
            <w:pPr>
              <w:spacing w:after="0"/>
              <w:rPr>
                <w:sz w:val="18"/>
                <w:szCs w:val="18"/>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 w:lineRule="exact"/>
        <w:rPr>
          <w:sz w:val="20"/>
          <w:szCs w:val="20"/>
          <w:color w:val="auto"/>
        </w:rPr>
      </w:pPr>
    </w:p>
    <w:p>
      <w:pPr>
        <w:ind w:left="380" w:right="339" w:hanging="330"/>
        <w:spacing w:after="0" w:line="221" w:lineRule="auto"/>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See the information below for definitions of these metrics and a reconciliation of adjusted EBITDA to net income (loss).</w:t>
      </w: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amounts not allocated to segments</w:t>
      </w:r>
    </w:p>
    <w:p>
      <w:pPr>
        <w:spacing w:after="0" w:line="192" w:lineRule="exact"/>
        <w:rPr>
          <w:sz w:val="20"/>
          <w:szCs w:val="20"/>
          <w:color w:val="auto"/>
        </w:rPr>
      </w:pPr>
    </w:p>
    <w:p>
      <w:pPr>
        <w:ind w:left="60" w:right="479" w:firstLine="648"/>
        <w:spacing w:after="0" w:line="312" w:lineRule="auto"/>
        <w:rPr>
          <w:sz w:val="20"/>
          <w:szCs w:val="20"/>
          <w:color w:val="auto"/>
        </w:rPr>
      </w:pPr>
      <w:r>
        <w:rPr>
          <w:rFonts w:ascii="Times New Roman" w:cs="Times New Roman" w:eastAsia="Times New Roman" w:hAnsi="Times New Roman"/>
          <w:sz w:val="17"/>
          <w:szCs w:val="17"/>
          <w:color w:val="auto"/>
        </w:rPr>
        <w:t>We report our financial results in accordance with U.S. GAAP. We also present certain non-GAAP financial measures to provide useful supplemental information to investors. We provide these non-GAAP financial measures as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we believe it improves visibility to underlying results and the impact of management decisions on operational performance and enables better comparison to peer companies.</w:t>
      </w:r>
    </w:p>
    <w:p>
      <w:pPr>
        <w:spacing w:after="0" w:line="162"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8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Additionally, management uses adjusted EBITDA to evaluate our performance. Adjusted EBITDA is a non-GAAP measure and defined as net income (loss) excluding net interest expense, depreciation and amortization (excluding depreciation of right-of-use assets and amortization of capitalized contract costs), pension costs other than pension servicing costs and multi-employer plan costs, early extinguishment of debt charges, workforce rebalancing and restructuring charges, transaction-related and integration-related items, goodwill and long-lived asset impairment charges, foreign currency impacts of highly inflationary countries, significant litigation costs, stock-based compensation expense and income taxes. We believe that adjusted EBITDA is a helpful supplemental measure to assist investors in evaluating our operating results as it excludes certain items whose fluctuation from period to period does not necessarily correspond to changes in the operations of our business. We provide this non-GAAP financial measure as we believe it improves visibility to underlying results and the impact of management decisions on operational performance, enables better comparison to peer companies and allows us to provide a long-term strategic view of the business.</w:t>
      </w:r>
    </w:p>
    <w:p>
      <w:pPr>
        <w:spacing w:after="0" w:line="192"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this measure for comparative purposes.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U.S. GAAP net income (loss) to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7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 *</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3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 other than pension servicing costs and multi-employer plan costs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Year-over-Year</w:t>
            </w:r>
          </w:p>
        </w:tc>
        <w:tc>
          <w:tcPr>
            <w:tcW w:w="0" w:type="dxa"/>
            <w:vAlign w:val="bottom"/>
          </w:tcPr>
          <w:p>
            <w:pPr>
              <w:spacing w:after="0"/>
              <w:rPr>
                <w:sz w:val="1"/>
                <w:szCs w:val="1"/>
                <w:color w:val="auto"/>
              </w:rPr>
            </w:pPr>
          </w:p>
        </w:tc>
      </w:tr>
      <w:tr>
        <w:trPr>
          <w:trHeight w:val="25"/>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Pr>
          <w:p>
            <w:pPr>
              <w:spacing w:after="0"/>
              <w:rPr>
                <w:sz w:val="21"/>
                <w:szCs w:val="21"/>
                <w:color w:val="auto"/>
              </w:rPr>
            </w:pP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275</w:t>
            </w:r>
          </w:p>
        </w:tc>
        <w:tc>
          <w:tcPr>
            <w:tcW w:w="24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United States revenue of $1.2 billion decreased 3 percent compared to the prior-year quarter, primarily driven by reduced signings in the prior year. Adjusted EBITDA decreased $75 million from the prior-year quarter, primarily driven by lower revenues and certain software agreements moving from prepaid and amortized agreements to monthly subscription agreements. The prior-year quarter also included a $27 million benefit from a customer collection.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40" w:type="dxa"/>
            <w:vAlign w:val="bottom"/>
            <w:gridSpan w:val="5"/>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Year-over-Year</w:t>
            </w:r>
          </w:p>
        </w:tc>
        <w:tc>
          <w:tcPr>
            <w:tcW w:w="0" w:type="dxa"/>
            <w:vAlign w:val="bottom"/>
          </w:tcPr>
          <w:p>
            <w:pPr>
              <w:spacing w:after="0"/>
              <w:rPr>
                <w:sz w:val="1"/>
                <w:szCs w:val="1"/>
                <w:color w:val="auto"/>
              </w:rPr>
            </w:pPr>
          </w:p>
        </w:tc>
      </w:tr>
      <w:tr>
        <w:trPr>
          <w:trHeight w:val="25"/>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2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Japan revenue of $634 million decreased 15 percent compared to the prior-year quarter. Revenue decreased due to an unfavorable currency exchange rate impact of 16 points. Adjusted EBITDA decreased $25 million from the prior-year quarter, primarily driven by unfavorable currency impacts.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Markets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Year-over-Year</w:t>
            </w:r>
          </w:p>
        </w:tc>
        <w:tc>
          <w:tcPr>
            <w:tcW w:w="0" w:type="dxa"/>
            <w:vAlign w:val="bottom"/>
          </w:tcPr>
          <w:p>
            <w:pPr>
              <w:spacing w:after="0"/>
              <w:rPr>
                <w:sz w:val="1"/>
                <w:szCs w:val="1"/>
                <w:color w:val="auto"/>
              </w:rPr>
            </w:pPr>
          </w:p>
        </w:tc>
      </w:tr>
      <w:tr>
        <w:trPr>
          <w:trHeight w:val="25"/>
        </w:trPr>
        <w:tc>
          <w:tcPr>
            <w:tcW w:w="4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1,516</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1,842</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2022, Principal Markets revenue of $1.5 billion decreased 18 percent compared to the prior-year quarter. Revenue decreased due to certain joint ventures not transferring to us in connection with the Separation as well as an unfavorable currency exchange rate impact of nine points, primarily driven by the strengthening of the U.S. dollar against the euro and British pound. Adjusted EBITDA increased $29 million from the prior year, primarily due to the benefit from structural actions taken in prior periods as well as lower costs from our post-Separation commercial agreements with IBM.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Markets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Year-over-Year</w:t>
            </w:r>
          </w:p>
        </w:tc>
        <w:tc>
          <w:tcPr>
            <w:tcW w:w="0" w:type="dxa"/>
            <w:vAlign w:val="bottom"/>
          </w:tcPr>
          <w:p>
            <w:pPr>
              <w:spacing w:after="0"/>
              <w:rPr>
                <w:sz w:val="1"/>
                <w:szCs w:val="1"/>
                <w:color w:val="auto"/>
              </w:rPr>
            </w:pPr>
          </w:p>
        </w:tc>
      </w:tr>
      <w:tr>
        <w:trPr>
          <w:trHeight w:val="25"/>
        </w:trPr>
        <w:tc>
          <w:tcPr>
            <w:tcW w:w="4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953</w:t>
            </w:r>
          </w:p>
        </w:tc>
        <w:tc>
          <w:tcPr>
            <w:tcW w:w="2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60" w:type="dxa"/>
            <w:vAlign w:val="bottom"/>
            <w:gridSpan w:val="3"/>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133</w:t>
            </w: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39" w:firstLine="648"/>
        <w:spacing w:after="0" w:line="289" w:lineRule="auto"/>
        <w:rPr>
          <w:sz w:val="20"/>
          <w:szCs w:val="20"/>
          <w:color w:val="auto"/>
        </w:rPr>
      </w:pPr>
      <w:r>
        <w:rPr>
          <w:rFonts w:ascii="Times New Roman" w:cs="Times New Roman" w:eastAsia="Times New Roman" w:hAnsi="Times New Roman"/>
          <w:sz w:val="17"/>
          <w:szCs w:val="17"/>
          <w:color w:val="auto"/>
        </w:rPr>
        <w:t>For the three months ended June 30, 2022, Strategic Markets revenue of $970 million increased 2 percent compared to the prior-year quarter driven by strong revenue generation from recent signings of incremental business, partially offset by a six-point headwind from currency exchange rates, primarily the Euro. Adjusted EBITDA decreased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639"/>
        <w:spacing w:after="0" w:line="282" w:lineRule="auto"/>
        <w:rPr>
          <w:sz w:val="20"/>
          <w:szCs w:val="20"/>
          <w:color w:val="auto"/>
        </w:rPr>
      </w:pPr>
      <w:r>
        <w:rPr>
          <w:rFonts w:ascii="Times New Roman" w:cs="Times New Roman" w:eastAsia="Times New Roman" w:hAnsi="Times New Roman"/>
          <w:sz w:val="18"/>
          <w:szCs w:val="18"/>
          <w:color w:val="auto"/>
        </w:rPr>
        <w:t>$37 million from the prior-year quarter, since the majority of Strategic Markets countries were not charged for IBM software pre-Separation and software cost allocations began post-Separation.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Corporate and other had an adjusted EBITDA loss of $20 million in the three months ended June 30, 2022, compared to a loss of $49 million in the three months ended June 30,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5"/>
                <w:szCs w:val="15"/>
                <w:color w:val="auto"/>
              </w:rPr>
            </w:pPr>
          </w:p>
        </w:tc>
        <w:tc>
          <w:tcPr>
            <w:tcW w:w="21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72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50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09"/>
        </w:trPr>
        <w:tc>
          <w:tcPr>
            <w:tcW w:w="3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 (benefits)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7"/>
          <w:szCs w:val="17"/>
          <w:color w:val="auto"/>
        </w:rPr>
        <w:t>Cost of services were 85.8% of revenue in the three months ended June 30, 2022, compared to 87.6% in the three months ended June 30, 2021, primarily driven by benefits realized from structural actions taken in prior periods as well as lower costs from our post-Separation commercial agreements with IBM. Selling, general and administrative expenses were 16.2% of revenue in 2022 compared to 15.0% in 2021, driven by costs associated with operating as an independent public company, partially offset by currency. Workforce rebalancing charges arise from structural actions to enhance productivity and cost-competitiveness and to rebalance skills that result in payments to employees terminated in the ongoing course of business. Workforce rebalancing charges (benefits) were 0.1% of revenue in 2022 and were (0.2)% of revenue in 2021. Transaction-related costs were 2.4% of revenue in 2022 compared to 3.6% in 2021, primarily driven by higher employee-retention expense and pre-spin consultancy expense incurred in the prior year. Interest expense was 0.5% of revenue in 2022 compared to 0.3% in 2021, and includes interest expense associated with the indebtedness we incurred in connection with our Separation in the fourth quarter of 2021. Other expense (income) was (0.1)% of revenue in 2022 compared to 0.2% in 2021, driven by hedging activity to partially offset the unfavorable impacts of currency movements of the U.S.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dollar against other major currencies.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Charges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 classifies certain expenses related to the Separation, acquisitions and divestitures (if any) as “transaction-related costs” in the Consolidated Income Statement. Transaction-related costs include expenditures incurred to prepare for and execute the Separation and establish Kyndryl as a standalone business. These costs include employee retention expenses, information technology costs, marketing expenses to establish the Kyndryl brand, legal, accounting, consulting and other professional service costs required to prepare for and execute the Separation, and other costs related to contract and supplier novation and integration. Transaction-related charges totaled $103 million and $173 million for the three months ended June 30, 2022 and 2021, respectively. Included in the current period were charges associated with the Company’s inability to fully utilize certain third-party purchase commitments inherited from its former Parent. The Company regularly reviews its ability to utilize these multi-year commitments and, similar to the current quarter, provides for shortfalls when appropriate.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provision for income taxes for the three months ended June 30, 2022, was $45 million of expense, compared to $76 million of expense for the three months ended June 30, 2021. Our income tax expense for the three months ended June 30, 2022, was primarily related to taxes on foreign operations and the increase in valuation allowances, primarily in the United States, against deferred tax assets that are not more likely than not to be realized. Our income tax expense for the three months ended June 30, 2021, was primarily driven by the geographic mix of pretax income and changes in our valuation allowances.</w:t>
      </w:r>
    </w:p>
    <w:p>
      <w:pPr>
        <w:spacing w:after="0" w:line="18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Dynamics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Cash and cash equivalents at June 30, 2022 were $1.9 billion, compared to $2.1 billion at March 31, 2022. Total assets of $12.3 billion decreased by $1.1 billion (and decreased by $554 million adjusted for currency) from March 31, 2022, primarily driven by: a decrease of $369 million in accounts receivable due to collections and sales of accounts receivables outpacing additions to our receivables balance and currency impacts; a decrease in cash and cash equivalents of $263 million mainly due to a $111 million reduction in cash balances due to currency exchange rates, as well as use of cash to reduce accrued liabilities; a decrease in property and equipment of $184 million due to depreciation outpacing capital expenditures and currency impacts; a decrease in operating right-of-use assets of $139 million; and a decrease in deferred costs of $136 million due to amortization outpacing additions in the current quarter and higher vendor billings for prepaid software that typically occurred in the first calendar quarter. Total liabilities of $10.1 billion decreased by $638 million (and decreased by $249 million adjusted for currency) from March 31, 2022, primarily as a result of: a decrease in accrued contract costs of $200 million due to timing of vendors billing Kyndryl for the first time as an independent company in the prior-quarter period; a decrease in deferred income of $148 million mainly due to the Company’s advanced billing with certain customers in the prior-quarter period and currency impacts; and a decrease in operating lease liabilities of $134 million due to payments and currency impacts. Total equity of $2.2 billion decreased $500 million from March 31, 2022, principally due to our comprehensive loss in the period.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Working capital decreased $240 million from March 31, 2022. Current assets decreased $689 million (and decreased $441 million adjusted for currency) primarily driven by: a decrease of $369 million in accounts receivable due to collections and sales of accounts receivables outpacing additions and currency impacts; and a decrease of $263 million in cash and cash equivalents mainly due to a $111 million reduction in cash balances due to currency exchange rates, as well as use of cash to reduce accrued liabilities. Current liabilities decreased $449 million (and decreased $191 million adjusted for currency) as a result of a decrease in current accrued contract costs of $200 million due to timing of vendors billing Kyndryl for the first time as an independent company in the prior quarter and currency impacts, and a decrease in deferred income (current) of $108 million due to advanced billing with certain customers in the prior quarter and currency impacts.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and Liabilities</w:t>
      </w:r>
    </w:p>
    <w:p>
      <w:pPr>
        <w:spacing w:after="0" w:line="229" w:lineRule="exact"/>
        <w:rPr>
          <w:sz w:val="20"/>
          <w:szCs w:val="20"/>
          <w:color w:val="auto"/>
        </w:rPr>
      </w:pPr>
    </w:p>
    <w:p>
      <w:pPr>
        <w:jc w:val="both"/>
        <w:ind w:left="60" w:right="479" w:firstLine="648"/>
        <w:spacing w:after="0" w:line="289" w:lineRule="auto"/>
        <w:rPr>
          <w:sz w:val="20"/>
          <w:szCs w:val="20"/>
          <w:color w:val="auto"/>
        </w:rPr>
      </w:pPr>
      <w:r>
        <w:rPr>
          <w:rFonts w:ascii="Times New Roman" w:cs="Times New Roman" w:eastAsia="Times New Roman" w:hAnsi="Times New Roman"/>
          <w:sz w:val="17"/>
          <w:szCs w:val="17"/>
          <w:color w:val="auto"/>
        </w:rPr>
        <w:t>Noncurrent assets of $6.9 billion at June 30, 2022 decreased by $449 million (and decreased by $114 million adjusted for currency) compared to March 31, 2022, primarily driven by a decline in property and equipment of $184 million due to depreciation outpacing new capital expenditures and a decline in right-of-use assets of $139 million.</w:t>
      </w:r>
    </w:p>
    <w:p>
      <w:pPr>
        <w:spacing w:after="0" w:line="158"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Noncurrent liabilities of $5.5 billion at June 30, 2022 decreased $189 million (and decreased by $57 million adjusted for currency) compared to March 31, 2022, mainly driven by a decrease in operating lease liabilities (noncurrent portion) of $109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are summarized in the table below.</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600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$104 million in the three months ended June 30, 2022, compared to net cash used of $161 million in the prior-year period. This change was driven by our reduced net loss and cash provided by receivables, partially offset by cash used in payments toward accrued liabilities.</w:t>
      </w:r>
    </w:p>
    <w:p>
      <w:pPr>
        <w:spacing w:after="0" w:line="1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was $218 million in the three months ended June 30, 2022, compared to a net cash use of $211 million in the prior-year period.</w:t>
      </w:r>
    </w:p>
    <w:p>
      <w:pPr>
        <w:spacing w:after="0" w:line="162"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Net cash used by financing activities totaled $41 million in the three months ended June 30, 2022, compared to net cash provided by financing activities of $364 million in the prior-year period. This change was driven by net transfers from former Parent of $243 million in the prior-year period, which did not continue post-Separation, and proceeds of $140 million from a bank loan initiated in the prior-year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Signings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Company’s signings for the three months ended June 30, 2022 and 2021.</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57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signings</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contract value for the Company’s signings greater than $100 million for new and existing customers for the three months ended June 30, 2022 and 2021.</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900" w:type="dxa"/>
            <w:vAlign w:val="bottom"/>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customers</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Existing customers</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20"/>
                <w:szCs w:val="20"/>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1,568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Signings decreased by $823 million, or 22%, primarily because our two largest signings in calendar 2021, aggregating $0.9 billion, both occurred in the quarter ended June 30, 2021. We believe that the estimated values of signings provide insight into the Company’s potential future revenue and are a tool to monitor trends in the business, including the business’ ability to attract new customers and sell additional scope into our existing customer base, and we believe signings are helpful information for investors.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The conversion of signings into revenue may vary based on the types of services and solutions, customer decisions and other factors, which may include, but are not limited to, the macroeconomic environment or external events.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the Revolving Credit Agreement entered into in October 2021 will be sufficient to meet our anticipated cash needs for at least the next twelve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“Notes”). The Notes were offered and sold to qualified institutional buyers in reliance on Rule 144A under the Securities Act and to non-U.S. persons in reliance on Regulation S of the Securities Act. The Notes are subject to customary affirmative covenants, negative covenants and events of default for financings of this type and are redeemable at our option in a customary manner.</w:t>
      </w:r>
    </w:p>
    <w:p>
      <w:pPr>
        <w:spacing w:after="0" w:line="19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Notes, we entered into a registration rights agreement with the initial purchasers of the Notes, pursuant to which we will use commercially reasonable efforts to file and have declared effective a registration statement with respect to a registered offer to exchange each series of Notes for new notes with substantially identical terms by October 15, 2022. Accordingly, the Company expects to file a registration statement for this purpose with the SEC on August 9,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and Revolving Credit Facility</w:t>
      </w:r>
    </w:p>
    <w:p>
      <w:pPr>
        <w:spacing w:after="0" w:line="229" w:lineRule="exact"/>
        <w:rPr>
          <w:sz w:val="20"/>
          <w:szCs w:val="20"/>
          <w:color w:val="auto"/>
        </w:rPr>
      </w:pPr>
    </w:p>
    <w:p>
      <w:pPr>
        <w:jc w:val="both"/>
        <w:ind w:left="60" w:right="239" w:firstLine="693"/>
        <w:spacing w:after="0" w:line="266" w:lineRule="auto"/>
        <w:rPr>
          <w:sz w:val="20"/>
          <w:szCs w:val="20"/>
          <w:color w:val="auto"/>
        </w:rPr>
      </w:pPr>
      <w:r>
        <w:rPr>
          <w:rFonts w:ascii="Times New Roman" w:cs="Times New Roman" w:eastAsia="Times New Roman" w:hAnsi="Times New Roman"/>
          <w:sz w:val="18"/>
          <w:szCs w:val="18"/>
          <w:color w:val="auto"/>
        </w:rPr>
        <w:t>In October 2021, we entered into a $500 million three-year variable rate term loan credit agreement (the “Term Loan Credit Agreement”). In November 2021, we drew down the full $500 million available under the Term Loan Credit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59" w:firstLine="648"/>
        <w:spacing w:after="0" w:line="312" w:lineRule="auto"/>
        <w:rPr>
          <w:sz w:val="20"/>
          <w:szCs w:val="20"/>
          <w:color w:val="auto"/>
        </w:rPr>
      </w:pPr>
      <w:r>
        <w:rPr>
          <w:rFonts w:ascii="Times New Roman" w:cs="Times New Roman" w:eastAsia="Times New Roman" w:hAnsi="Times New Roman"/>
          <w:sz w:val="17"/>
          <w:szCs w:val="17"/>
          <w:color w:val="auto"/>
        </w:rPr>
        <w:t>In October 2021, we entered into a $3.15 billion multi-currency revolving credit agreement (the “Revolving Credit Agreement” and, together with the Term Loan Credit Agreement, the “Credit Agreements”) for our future liquidity needs.</w:t>
      </w:r>
    </w:p>
    <w:p>
      <w:pPr>
        <w:spacing w:after="0" w:line="140"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The Revolving Credit Agreement expires, unless extended, in October 2026, and the Term Loan Credit Agreement matures, unless extended, in November 2024. Interest rates on borrowings under the Credit Agreements are based on prevailing market interest rates, plus a margin, as further described in the Credit Agreements.</w:t>
      </w:r>
    </w:p>
    <w:p>
      <w:pPr>
        <w:spacing w:after="0" w:line="176" w:lineRule="exact"/>
        <w:rPr>
          <w:sz w:val="20"/>
          <w:szCs w:val="20"/>
          <w:color w:val="auto"/>
        </w:rPr>
      </w:pPr>
    </w:p>
    <w:p>
      <w:pPr>
        <w:ind w:left="60" w:right="239" w:firstLine="693"/>
        <w:spacing w:after="0" w:line="261" w:lineRule="auto"/>
        <w:rPr>
          <w:sz w:val="20"/>
          <w:szCs w:val="20"/>
          <w:color w:val="auto"/>
        </w:rPr>
      </w:pPr>
      <w:r>
        <w:rPr>
          <w:rFonts w:ascii="Times New Roman" w:cs="Times New Roman" w:eastAsia="Times New Roman" w:hAnsi="Times New Roman"/>
          <w:sz w:val="18"/>
          <w:szCs w:val="18"/>
          <w:color w:val="auto"/>
        </w:rPr>
        <w:t>The Notes and the Credit Agreements were initially guaranteed by IBM. Approximately $900 million of the net proceeds from the term loan and the sale of the Notes was transferred to IBM in conjunction with the Separation. Following the completion of the Separation, the guarantee was released, and the Notes and the Credit Agreements are no longer obligations of IBM.</w:t>
      </w:r>
    </w:p>
    <w:p>
      <w:pPr>
        <w:spacing w:after="0" w:line="180" w:lineRule="exact"/>
        <w:rPr>
          <w:sz w:val="20"/>
          <w:szCs w:val="20"/>
          <w:color w:val="auto"/>
        </w:rPr>
      </w:pPr>
    </w:p>
    <w:p>
      <w:pPr>
        <w:ind w:left="60" w:right="139" w:firstLine="693"/>
        <w:spacing w:after="0" w:line="258" w:lineRule="auto"/>
        <w:rPr>
          <w:sz w:val="20"/>
          <w:szCs w:val="20"/>
          <w:color w:val="auto"/>
        </w:rPr>
      </w:pPr>
      <w:r>
        <w:rPr>
          <w:rFonts w:ascii="Times New Roman" w:cs="Times New Roman" w:eastAsia="Times New Roman" w:hAnsi="Times New Roman"/>
          <w:sz w:val="18"/>
          <w:szCs w:val="18"/>
          <w:color w:val="auto"/>
        </w:rPr>
        <w:t>We may voluntarily prepay borrowings under the Credit Agreements without premium or penalty, subject to customary “breakage” costs. The Credit Agreements include certain customary mandatory prepayment provisions. In addition, the Credit Agreements include customary events of default and affirmative and negative covenants as well as a maintenance covenant that will require that the ratio of our indebtedness for borrowed money to consolidated EBITDA (as defined in the Credit Agreements) for any period of four consecutive fiscal quarters be no greater than 3.50 to 1.00.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Receivables</w:t>
      </w:r>
    </w:p>
    <w:p>
      <w:pPr>
        <w:spacing w:after="0" w:line="229" w:lineRule="exact"/>
        <w:rPr>
          <w:sz w:val="20"/>
          <w:szCs w:val="20"/>
          <w:color w:val="auto"/>
        </w:rPr>
      </w:pPr>
    </w:p>
    <w:p>
      <w:pPr>
        <w:ind w:left="60" w:right="279" w:firstLine="648"/>
        <w:spacing w:after="0" w:line="254"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determined these are true sales, derecognized the carrying value of the financial asset transferred and recognized a net gain or loss on the sale. The agreement executed upon Separation enabled us to sell, at any one time, on a revolving basis, up to $1.1 billion of our trade receivables. The initial term of this agreement was 18 months, and the agreement automatically resets to a term of 18 months, after every six months, unless one of the parties elects not to extend. In the quarter ended June 30, 2022, the Company entered into an additional agreement, in which the sale of receivables is contingent on the approval of the counterparty with no defined facility limit. The initial term of this agreement is twelve months.</w:t>
      </w:r>
    </w:p>
    <w:p>
      <w:pPr>
        <w:spacing w:after="0" w:line="192"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proceeds from these arrangements are reflected as cash provided by operating activities in the Consolidated Statement of Cash Flows. Proceeds from receivables sold to third parties under this program were $613 million for the three months ended June 30, 2022. Prior to the Separation, the gross amount of the Company’s receivables sold to third parties and the financing division of our former Parent was $721 million for the three months ended June 30, 2021. The fees and the net gains and losses associated with the transfers of receivables were not material for any of the periods presented.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December 31, 2021 (see Amendment No. 1 to our Current Report on Form 8-K/A filed with the SEC on May 27, 2022 (the “8-K/A”) for more information; we refer to the Annual Report on Form 10-K for the fiscal year ended December 31, 2021, revised and updated as set forth on Exhibit 99.1 to the 8-K/A, as the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“will,” “anticipate,” “predict,” “project,” “contemplate,” “plan,” “forecast,” “estimate,” “expect,” “intend,” “target,” “may,” “should,” “would,” “could,” “seek,” “aim”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94"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spin-off from IBM;</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retain existing customers or sell additional services to customers;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and the Company’s response to such developments;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growth and productivity objectives;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relationships with critical suppliers;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key personnel and other skilled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local legal, economic, political, health and other conditions, including the COVID-19 pandemic;</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economic environment and customer spending budgets;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accurately estimate the cost of services and the timeline for completion of contracts;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delivery issues;</w:t>
      </w:r>
    </w:p>
    <w:p>
      <w:pPr>
        <w:spacing w:after="0" w:line="9" w:lineRule="exact"/>
        <w:rPr>
          <w:rFonts w:ascii="Times New Roman" w:cs="Times New Roman" w:eastAsia="Times New Roman" w:hAnsi="Times New Roman"/>
          <w:sz w:val="18"/>
          <w:szCs w:val="18"/>
          <w:color w:val="auto"/>
        </w:rPr>
      </w:pPr>
    </w:p>
    <w:p>
      <w:pPr>
        <w:ind w:left="720" w:right="55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acquisitions, alliances and dispositions, including integration challenges, failure to achieve objectives, the assumption of liabilities, and higher debt levels;</w:t>
      </w: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business with government customers;</w:t>
      </w:r>
    </w:p>
    <w:p>
      <w:pPr>
        <w:spacing w:after="0" w:line="9"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intellectual property rights to prevent competitive offerings and the failure of the Company to obtain necessary licenses;</w:t>
      </w: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and data privacy;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tax matters and environmental matters;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investigatory risks;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market liquidity conditions and customer credit risk on receivables;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pension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fluctuations;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common stock and the securities market.</w:t>
      </w:r>
    </w:p>
    <w:p>
      <w:pPr>
        <w:spacing w:after="0" w:line="207" w:lineRule="exact"/>
        <w:rPr>
          <w:sz w:val="20"/>
          <w:szCs w:val="20"/>
          <w:color w:val="auto"/>
        </w:rPr>
      </w:pPr>
    </w:p>
    <w:p>
      <w:pPr>
        <w:ind w:left="60" w:right="379" w:firstLine="648"/>
        <w:spacing w:after="0" w:line="261" w:lineRule="auto"/>
        <w:rPr>
          <w:sz w:val="20"/>
          <w:szCs w:val="20"/>
          <w:color w:val="auto"/>
        </w:rPr>
      </w:pPr>
      <w:r>
        <w:rPr>
          <w:rFonts w:ascii="Times New Roman" w:cs="Times New Roman" w:eastAsia="Times New Roman" w:hAnsi="Times New Roman"/>
          <w:sz w:val="18"/>
          <w:szCs w:val="18"/>
          <w:color w:val="auto"/>
        </w:rPr>
        <w:t>Additional risks and uncertainties include, among others, those risks and uncertainties described in the “Risk Factors” section of our Form 10-K, as such factors may be updated from time to time in the Company’s periodic filings with the SEC. Any forward-looking statement in this report speaks only as of the date on which it is made. Except as required by law, the Company assumes no obligation to update or revise any forward-looking statements.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Company may use its website and/or social media outlets, such as Facebook, LinkedIn and Twitter, as distribution channels of material company information. Financial and other important information regarding the Company is routinely posted on and accessible through the Company’s website at https://investors.kyndryl.com, its Facebook page at https://www.facebook.com/kyndryl, its LinkedIn page at https://linkedin.com/company/kyndryl and its Twitter account (@Kyndryl) at https://twitter.com/Kyndryl. In addition, you may automatically receive email alerts and other information about the Company when you enroll your email address by visiting the “Investor Email Alerts” section under the “Resources” section at https://investors.kyndryl.com.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For our disclosures about market risk, see the information under the heading “Quantitative and Qualitative Disclosures About Market Risk” in the Form 10-K. There have been no material changes to the Company’s disclosure about market risk in the Form 10-K.</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Based on that evaluation, the Chief Executive Officer and Chief Financial Officer have concluded that the Company’s disclosure controls and procedures were effective as of the end of the period covered by this report.</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such term is defined in Rule 13a-15(f) of the Exchange Act)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Note 10 – Commitments and Contingencies, in the notes to consolidated financial statements in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the Form 10-K. There have been no material changes with respect to the risk factors disclosed in the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7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664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The Separation and Distribution Agreement, dated as of November 2, 2021, by and between</w:t>
              </w:r>
            </w:hyperlink>
          </w:p>
        </w:tc>
        <w:tc>
          <w:tcPr>
            <w:tcW w:w="100" w:type="dxa"/>
            <w:vAlign w:val="bottom"/>
            <w:gridSpan w:val="3"/>
          </w:tcPr>
          <w:p>
            <w:pPr>
              <w:spacing w:after="0"/>
              <w:rPr>
                <w:sz w:val="16"/>
                <w:szCs w:val="16"/>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0"/>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International Business Machines Corporation and the registrant was filed as Exhibit 2.1 to</w:t>
              </w:r>
            </w:hyperlink>
          </w:p>
        </w:tc>
      </w:tr>
      <w:tr>
        <w:trPr>
          <w:trHeight w:val="196"/>
        </w:trPr>
        <w:tc>
          <w:tcPr>
            <w:tcW w:w="172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the registrant’s Current Report on Form 8-K filed on November 4, 2021, and is hereby</w:t>
              </w:r>
            </w:hyperlink>
          </w:p>
        </w:tc>
        <w:tc>
          <w:tcPr>
            <w:tcW w:w="260" w:type="dxa"/>
            <w:vAlign w:val="bottom"/>
            <w:tcBorders>
              <w:top w:val="single" w:sz="8" w:color="0000EE"/>
            </w:tcBorders>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incorporated by reference.</w:t>
              </w:r>
            </w:hyperlink>
          </w:p>
        </w:tc>
        <w:tc>
          <w:tcPr>
            <w:tcW w:w="4840" w:type="dxa"/>
            <w:vAlign w:val="bottom"/>
            <w:gridSpan w:val="9"/>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The Amended and Restated Certificate of Incorporation of the registrant was filed as Exhibit</w:t>
              </w:r>
            </w:hyperlink>
          </w:p>
        </w:tc>
        <w:tc>
          <w:tcPr>
            <w:tcW w:w="60" w:type="dxa"/>
            <w:vAlign w:val="bottom"/>
            <w:gridSpan w:val="2"/>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filed on November 4, 2021, and is hereby</w:t>
              </w:r>
            </w:hyperlink>
          </w:p>
        </w:tc>
        <w:tc>
          <w:tcPr>
            <w:tcW w:w="60" w:type="dxa"/>
            <w:vAlign w:val="bottom"/>
            <w:gridSpan w:val="2"/>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incorporated by reference.</w:t>
              </w:r>
            </w:hyperlink>
          </w:p>
        </w:tc>
        <w:tc>
          <w:tcPr>
            <w:tcW w:w="4840" w:type="dxa"/>
            <w:vAlign w:val="bottom"/>
            <w:gridSpan w:val="9"/>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5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The Amended and Restated Bylaws of the registrant was filed as Exhibit 3.2 to the</w:t>
              </w:r>
            </w:hyperlink>
          </w:p>
        </w:tc>
        <w:tc>
          <w:tcPr>
            <w:tcW w:w="780" w:type="dxa"/>
            <w:vAlign w:val="bottom"/>
            <w:gridSpan w:val="6"/>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5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registrant’s Current Report on Form 8-K filed on November 4, 2021, and is hereby</w:t>
              </w:r>
            </w:hyperlink>
          </w:p>
        </w:tc>
        <w:tc>
          <w:tcPr>
            <w:tcW w:w="780" w:type="dxa"/>
            <w:vAlign w:val="bottom"/>
            <w:gridSpan w:val="6"/>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incorporated by reference.</w:t>
              </w:r>
            </w:hyperlink>
          </w:p>
        </w:tc>
        <w:tc>
          <w:tcPr>
            <w:tcW w:w="4840" w:type="dxa"/>
            <w:vAlign w:val="bottom"/>
            <w:gridSpan w:val="9"/>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7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302 of the Sarbanes-Oxley</w:t>
            </w:r>
          </w:p>
        </w:tc>
      </w:tr>
      <w:tr>
        <w:trPr>
          <w:trHeight w:val="196"/>
        </w:trPr>
        <w:tc>
          <w:tcPr>
            <w:tcW w:w="1720" w:type="dxa"/>
            <w:vAlign w:val="bottom"/>
          </w:tcPr>
          <w:p>
            <w:pPr>
              <w:spacing w:after="0"/>
              <w:rPr>
                <w:sz w:val="17"/>
                <w:szCs w:val="17"/>
                <w:color w:val="auto"/>
              </w:rPr>
            </w:pPr>
          </w:p>
        </w:tc>
        <w:tc>
          <w:tcPr>
            <w:tcW w:w="67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4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7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302 of the Sarbanes-Oxley</w:t>
            </w:r>
          </w:p>
        </w:tc>
      </w:tr>
      <w:tr>
        <w:trPr>
          <w:trHeight w:val="196"/>
        </w:trPr>
        <w:tc>
          <w:tcPr>
            <w:tcW w:w="1720" w:type="dxa"/>
            <w:vAlign w:val="bottom"/>
          </w:tcPr>
          <w:p>
            <w:pPr>
              <w:spacing w:after="0"/>
              <w:rPr>
                <w:sz w:val="17"/>
                <w:szCs w:val="17"/>
                <w:color w:val="auto"/>
              </w:rPr>
            </w:pPr>
          </w:p>
        </w:tc>
        <w:tc>
          <w:tcPr>
            <w:tcW w:w="66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100" w:type="dxa"/>
            <w:vAlign w:val="bottom"/>
            <w:gridSpan w:val="3"/>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7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906 of the Sarbanes-Oxley</w:t>
            </w:r>
          </w:p>
        </w:tc>
      </w:tr>
      <w:tr>
        <w:trPr>
          <w:trHeight w:val="196"/>
        </w:trPr>
        <w:tc>
          <w:tcPr>
            <w:tcW w:w="17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 (furnished herewith)</w:t>
            </w:r>
          </w:p>
        </w:tc>
        <w:tc>
          <w:tcPr>
            <w:tcW w:w="4320" w:type="dxa"/>
            <w:vAlign w:val="bottom"/>
            <w:tcBorders>
              <w:top w:val="single" w:sz="8" w:color="0000EE"/>
            </w:tcBorders>
            <w:gridSpan w:val="6"/>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7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w:t>
            </w:r>
          </w:p>
        </w:tc>
      </w:tr>
      <w:tr>
        <w:trPr>
          <w:trHeight w:val="196"/>
        </w:trPr>
        <w:tc>
          <w:tcPr>
            <w:tcW w:w="172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 (furnished herewith)</w:t>
            </w:r>
          </w:p>
        </w:tc>
        <w:tc>
          <w:tcPr>
            <w:tcW w:w="4260" w:type="dxa"/>
            <w:vAlign w:val="bottom"/>
            <w:tcBorders>
              <w:top w:val="single" w:sz="8" w:color="0000EE"/>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218"/>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w:t>
            </w:r>
          </w:p>
        </w:tc>
      </w:tr>
      <w:tr>
        <w:trPr>
          <w:trHeight w:val="216"/>
        </w:trPr>
        <w:tc>
          <w:tcPr>
            <w:tcW w:w="1720" w:type="dxa"/>
            <w:vAlign w:val="bottom"/>
          </w:tcPr>
          <w:p>
            <w:pPr>
              <w:spacing w:after="0"/>
              <w:rPr>
                <w:sz w:val="18"/>
                <w:szCs w:val="18"/>
                <w:color w:val="auto"/>
              </w:rPr>
            </w:pP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r>
      <w:tr>
        <w:trPr>
          <w:trHeight w:val="234"/>
        </w:trPr>
        <w:tc>
          <w:tcPr>
            <w:tcW w:w="1720" w:type="dxa"/>
            <w:vAlign w:val="bottom"/>
          </w:tcPr>
          <w:p>
            <w:pPr>
              <w:spacing w:after="0"/>
              <w:rPr>
                <w:sz w:val="20"/>
                <w:szCs w:val="20"/>
                <w:color w:val="auto"/>
              </w:rPr>
            </w:pPr>
          </w:p>
        </w:tc>
        <w:tc>
          <w:tcPr>
            <w:tcW w:w="6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Interactive Data File because its XBRL tags are embedded within the Inline XBRL document</w:t>
            </w: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27686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317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Vineet Khurana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888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Vineet Khurana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 and Authorized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380" w:right="160" w:hanging="2"/>
        <w:spacing w:after="0" w:line="266" w:lineRule="auto"/>
        <w:tabs>
          <w:tab w:leader="none" w:pos="56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6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380" w:right="160" w:hanging="2"/>
        <w:spacing w:after="0" w:line="266" w:lineRule="auto"/>
        <w:tabs>
          <w:tab w:leader="none" w:pos="56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7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6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June 30, 2022,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June 30, 2022,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59" Type="http://schemas.openxmlformats.org/officeDocument/2006/relationships/hyperlink" Target="https://www.sec.gov/Archives/edgar/data/1867072/000110465921134456/tm2131654d1_ex2-1.htm" TargetMode="External"/><Relationship Id="rId60" Type="http://schemas.openxmlformats.org/officeDocument/2006/relationships/hyperlink" Target="https://www.sec.gov/Archives/edgar/data/1867072/000110465921134456/tm2131654d1_ex3-1.htm" TargetMode="External"/><Relationship Id="rId61" Type="http://schemas.openxmlformats.org/officeDocument/2006/relationships/hyperlink" Target="https://www.sec.gov/Archives/edgar/data/1867072/000110465921134456/tm2131654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2022-08-09T17:55:03Z</dcterms:created>
  <dcterms:modified xsi:type="dcterms:W3CDTF">2022-08-09T17:55:03Z</dcterms:modified>
</cp:coreProperties>
</file>