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754380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4"/>
          <w:szCs w:val="24"/>
          <w:color w:val="auto"/>
        </w:rPr>
      </w:pPr>
    </w:p>
    <w:p>
      <w:pPr>
        <w:ind w:left="2120" w:hanging="210"/>
        <w:spacing w:after="0"/>
        <w:tabs>
          <w:tab w:leader="none" w:pos="2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15"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0" w:lineRule="exact"/>
        <w:rPr>
          <w:sz w:val="24"/>
          <w:szCs w:val="24"/>
          <w:color w:val="auto"/>
        </w:rPr>
      </w:pPr>
    </w:p>
    <w:p>
      <w:pPr>
        <w:spacing w:after="0" w:line="217" w:lineRule="exact"/>
        <w:rPr>
          <w:sz w:val="24"/>
          <w:szCs w:val="24"/>
          <w:color w:val="auto"/>
        </w:rPr>
      </w:pPr>
    </w:p>
    <w:p>
      <w:pPr>
        <w:ind w:left="2100" w:hanging="195"/>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001-40853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tbl>
      <w:tblPr>
        <w:tblLayout w:type="fixed"/>
        <w:tblInd w:w="300" w:type="dxa"/>
        <w:tblCellMar>
          <w:top w:w="0" w:type="dxa"/>
          <w:left w:w="0" w:type="dxa"/>
          <w:bottom w:w="0" w:type="dxa"/>
          <w:right w:w="0" w:type="dxa"/>
        </w:tblCellMar>
      </w:tblP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86-1185492</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416"/>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9"/>
              </w:rPr>
              <w:t>One Vanderbilt Avenue, 15th Floor</w:t>
            </w:r>
          </w:p>
        </w:tc>
        <w:tc>
          <w:tcPr>
            <w:tcW w:w="3140" w:type="dxa"/>
            <w:vAlign w:val="bottom"/>
          </w:tcPr>
          <w:p>
            <w:pPr>
              <w:spacing w:after="0"/>
              <w:rPr>
                <w:sz w:val="24"/>
                <w:szCs w:val="24"/>
                <w:color w:val="auto"/>
              </w:rPr>
            </w:pPr>
          </w:p>
        </w:tc>
      </w:t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40" w:type="dxa"/>
            <w:vAlign w:val="bottom"/>
          </w:tcPr>
          <w:p>
            <w:pPr>
              <w:jc w:val="right"/>
              <w:ind w:right="915"/>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212-896-2098</w:t>
      </w:r>
    </w:p>
    <w:p>
      <w:pPr>
        <w:spacing w:after="0" w:line="3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020" w:type="dxa"/>
            <w:vAlign w:val="bottom"/>
            <w:gridSpan w:val="3"/>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60" w:type="dxa"/>
            <w:vAlign w:val="bottom"/>
          </w:tcPr>
          <w:p>
            <w:pPr>
              <w:spacing w:after="0"/>
              <w:rPr>
                <w:sz w:val="18"/>
                <w:szCs w:val="18"/>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right="179" w:firstLine="64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left="60" w:right="99" w:firstLine="64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222" w:lineRule="exact"/>
        <w:rPr>
          <w:sz w:val="24"/>
          <w:szCs w:val="24"/>
          <w:color w:val="auto"/>
        </w:rPr>
      </w:pPr>
    </w:p>
    <w:p>
      <w:pPr>
        <w:ind w:left="14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150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1319"/>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0"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4" w:lineRule="exact"/>
        <w:rPr>
          <w:sz w:val="24"/>
          <w:szCs w:val="24"/>
          <w:color w:val="auto"/>
        </w:rPr>
      </w:pPr>
    </w:p>
    <w:p>
      <w:pPr>
        <w:sectPr>
          <w:pgSz w:w="11900" w:h="16838" w:orient="portrait"/>
          <w:cols w:equalWidth="0" w:num="2">
            <w:col w:w="5040" w:space="720"/>
            <w:col w:w="3259"/>
          </w:cols>
          <w:pgMar w:left="1440" w:top="661" w:right="1440" w:bottom="1440" w:gutter="0" w:footer="0" w:header="0"/>
          <w:type w:val="continuous"/>
        </w:sectPr>
      </w:pPr>
    </w:p>
    <w:p>
      <w:pPr>
        <w:ind w:left="60" w:right="23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 w:right="1319" w:firstLine="648"/>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60" w:right="319" w:firstLine="648"/>
        <w:spacing w:after="0" w:line="275" w:lineRule="auto"/>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as of October 31, 2024 was 232,270,932.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46990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89535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220" w:type="dxa"/>
            <w:vAlign w:val="bottom"/>
            <w:gridSpan w:val="13"/>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2360" w:type="dxa"/>
            <w:vAlign w:val="bottom"/>
            <w:tcBorders>
              <w:bottom w:val="single" w:sz="8" w:color="0000EE"/>
            </w:tcBorders>
            <w:gridSpan w:val="11"/>
            <w:vMerge w:val="continue"/>
          </w:tcPr>
          <w:p>
            <w:pPr>
              <w:spacing w:after="0"/>
              <w:rPr>
                <w:sz w:val="13"/>
                <w:szCs w:val="13"/>
                <w:color w:val="auto"/>
              </w:rPr>
            </w:pPr>
          </w:p>
        </w:tc>
        <w:tc>
          <w:tcPr>
            <w:tcW w:w="622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Item 1. Consolidated Financial Statements (Unaudited):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Income Statement for the three and six months ended September 30, 2024 and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Statement of Comprehensive Income (Loss) for the three and six months ended September 30, 2024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2023</w:t>
            </w:r>
          </w:p>
        </w:tc>
        <w:tc>
          <w:tcPr>
            <w:tcW w:w="7340" w:type="dxa"/>
            <w:vAlign w:val="bottom"/>
            <w:tcBorders>
              <w:top w:val="single" w:sz="8" w:color="0000EE"/>
            </w:tcBorders>
            <w:gridSpan w:val="18"/>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Balance Sheet at September 30, 2024 and March 31,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 of Cash Flows for the six months ended September 30, 2024 and 2023</w:t>
            </w:r>
          </w:p>
        </w:tc>
        <w:tc>
          <w:tcPr>
            <w:tcW w:w="140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 of Equity for the three and six months ended September 30, 2024 and 2023</w:t>
            </w:r>
          </w:p>
        </w:tc>
        <w:tc>
          <w:tcPr>
            <w:tcW w:w="10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08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Item 2. Management’s Discussion and Analysis of Financial Condition and Results of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300" w:type="dxa"/>
            <w:vAlign w:val="bottom"/>
            <w:tcBorders>
              <w:bottom w:val="single" w:sz="8" w:color="0000EE"/>
            </w:tcBorders>
            <w:gridSpan w:val="15"/>
          </w:tcPr>
          <w:p>
            <w:pPr>
              <w:ind w:left="60"/>
              <w:spacing w:after="0"/>
              <w:rPr>
                <w:sz w:val="20"/>
                <w:szCs w:val="20"/>
                <w:color w:val="auto"/>
              </w:rPr>
            </w:pPr>
            <w:r>
              <w:rPr>
                <w:rFonts w:ascii="Times New Roman" w:cs="Times New Roman" w:eastAsia="Times New Roman" w:hAnsi="Times New Roman"/>
                <w:sz w:val="18"/>
                <w:szCs w:val="18"/>
                <w:b w:val="1"/>
                <w:bCs w:val="1"/>
                <w:color w:val="0000EE"/>
                <w:w w:val="99"/>
              </w:rPr>
              <w:t>Item 3. Quantitative and Qualitative Disclosures About Market Risk</w:t>
            </w:r>
          </w:p>
        </w:tc>
        <w:tc>
          <w:tcPr>
            <w:tcW w:w="31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640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Item 1. Legal Proceedings</w:t>
            </w:r>
          </w:p>
        </w:tc>
        <w:tc>
          <w:tcPr>
            <w:tcW w:w="64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Item 1A. Risk Factors</w:t>
            </w:r>
          </w:p>
        </w:tc>
        <w:tc>
          <w:tcPr>
            <w:tcW w:w="672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Item 2. Unregistered Sales of Equity Securities, Use of Proceeds, and Issuer Purchases of Equity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9"/>
              </w:rPr>
              <w:t>Item 3. Defaults Upon Senior Securities</w:t>
            </w:r>
          </w:p>
        </w:tc>
        <w:tc>
          <w:tcPr>
            <w:tcW w:w="5100" w:type="dxa"/>
            <w:vAlign w:val="bottom"/>
            <w:tcBorders>
              <w:top w:val="single" w:sz="8" w:color="0000EE"/>
            </w:tcBorders>
            <w:gridSpan w:val="9"/>
          </w:tcPr>
          <w:p>
            <w:pPr>
              <w:spacing w:after="0"/>
              <w:rPr>
                <w:sz w:val="24"/>
                <w:szCs w:val="24"/>
                <w:color w:val="auto"/>
              </w:rPr>
            </w:pPr>
          </w:p>
        </w:tc>
        <w:tc>
          <w:tcPr>
            <w:tcW w:w="2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Item 4. Mine Safety Disclosures</w:t>
            </w:r>
          </w:p>
        </w:tc>
        <w:tc>
          <w:tcPr>
            <w:tcW w:w="59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Item 5. Other Information</w:t>
            </w:r>
          </w:p>
        </w:tc>
        <w:tc>
          <w:tcPr>
            <w:tcW w:w="638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7"/>
              </w:rPr>
              <w:t>Item 6. Exhibits</w:t>
            </w:r>
          </w:p>
        </w:tc>
        <w:tc>
          <w:tcPr>
            <w:tcW w:w="718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6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9"/>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78"/>
        </w:trPr>
        <w:tc>
          <w:tcPr>
            <w:tcW w:w="462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Retirement-related benefit plans – amortization of net (gains)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4"/>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4"/>
        </w:trPr>
        <w:tc>
          <w:tcPr>
            <w:tcW w:w="4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tax (expense) benefit related to items of other</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3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w:t>
            </w:r>
          </w:p>
        </w:tc>
        <w:tc>
          <w:tcPr>
            <w:tcW w:w="4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$17 at September 30, 2024 and</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$22 at March 31, 2024)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4,387</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2,735</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2"/>
        </w:trPr>
        <w:tc>
          <w:tcPr>
            <w:tcW w:w="5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10,396</w:t>
            </w:r>
          </w:p>
        </w:tc>
        <w:tc>
          <w:tcPr>
            <w:tcW w:w="260" w:type="dxa"/>
            <w:vAlign w:val="bottom"/>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4,249</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3,106</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9,224</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 authorized: 1,000.0; shares issued: September 30, 2024 – 236.5, March 31, 2024 –</w:t>
            </w:r>
          </w:p>
        </w:tc>
        <w:tc>
          <w:tcPr>
            <w:tcW w:w="4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4,575</w:t>
            </w:r>
          </w:p>
        </w:tc>
        <w:tc>
          <w:tcPr>
            <w:tcW w:w="48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0" w:type="dxa"/>
            <w:vAlign w:val="bottom"/>
          </w:tcPr>
          <w:p>
            <w:pPr>
              <w:spacing w:after="0"/>
              <w:rPr>
                <w:sz w:val="1"/>
                <w:szCs w:val="1"/>
                <w:color w:val="auto"/>
              </w:rPr>
            </w:pPr>
          </w:p>
        </w:tc>
      </w:tr>
      <w:tr>
        <w:trPr>
          <w:trHeight w:val="171"/>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233.7)</w:t>
            </w:r>
          </w:p>
        </w:tc>
        <w:tc>
          <w:tcPr>
            <w:tcW w:w="42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stock, at cost (shares: September 30, 2024 – 4.3, March 31, 2024 – 3.3)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1,065</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1,172</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10,396</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operating activities: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transition costs and prepaid software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(gain) loss on asset sales and 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costs (excluding amortization)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 and liabilities (excluding depreciation)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Workforce rebalancing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disposition of property and equipment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Acquisitions and divestitures, net of cash acquired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Debt repayments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repurchases for tax withholdings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5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debt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ind w:left="4120"/>
        <w:spacing w:after="0" w:line="224"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July 1, 2024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4,549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September 30, 2024</w:t>
            </w:r>
          </w:p>
        </w:tc>
        <w:tc>
          <w:tcPr>
            <w:tcW w:w="10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(2,351)</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July 1, 2023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September 30, 2023</w:t>
            </w:r>
          </w:p>
        </w:tc>
        <w:tc>
          <w:tcPr>
            <w:tcW w:w="10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229.5</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4,476</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September 30, 2024</w:t>
            </w:r>
          </w:p>
        </w:tc>
        <w:tc>
          <w:tcPr>
            <w:tcW w:w="10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227.7</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(1,978)</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September 30, 2023</w:t>
            </w:r>
          </w:p>
        </w:tc>
        <w:tc>
          <w:tcPr>
            <w:tcW w:w="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229.5</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4,476</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(1,167)</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02"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technology services company and the largest IT infrastructure services provider in the world, serving thousands of enterprise customers whose operations span over 100 countries. Prior to November 3, 2021, the Company was wholly owned by International Business Machines Corporation (“IBM” or “former Parent”).</w:t>
      </w:r>
    </w:p>
    <w:p>
      <w:pPr>
        <w:spacing w:after="0" w:line="180" w:lineRule="exact"/>
        <w:rPr>
          <w:sz w:val="20"/>
          <w:szCs w:val="20"/>
          <w:color w:val="auto"/>
        </w:rPr>
      </w:pPr>
    </w:p>
    <w:p>
      <w:pPr>
        <w:ind w:left="60" w:right="419" w:firstLine="648"/>
        <w:spacing w:after="0" w:line="289" w:lineRule="auto"/>
        <w:rPr>
          <w:sz w:val="20"/>
          <w:szCs w:val="20"/>
          <w:color w:val="auto"/>
        </w:rPr>
      </w:pPr>
      <w:r>
        <w:rPr>
          <w:rFonts w:ascii="Times New Roman" w:cs="Times New Roman" w:eastAsia="Times New Roman" w:hAnsi="Times New Roman"/>
          <w:sz w:val="17"/>
          <w:szCs w:val="17"/>
          <w:color w:val="auto"/>
        </w:rPr>
        <w:t>In November 2021, our former Parent effected the spin-off (the “Separation” or the “Spin-off”) of the infrastructure services unit of its Global Technology Services segment through the distribution of shares of Kyndryl’s common stock to IBM stockholders. Kyndryl’s stock began trading as an independent company on November 4, 2021.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have been prepared in accordance with accounting principles generally accepted in the United States of America (“U.S. GAAP”). Management believes the accompanying financial statements include all adjustments necessary to present fairly the Company’s financial position and its results of operations for all the periods presented. The information included in this Form 10-Q should be read in conjunction with the Company’s Annual Report on Form 10-K for the fiscal year ended March 31, 2024.</w:t>
      </w:r>
    </w:p>
    <w:p>
      <w:pPr>
        <w:spacing w:after="0" w:line="18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on a consolidated basis. All significant transactions and intercompany accounts between Kyndryl entities were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 Future results may be different from these estimates.</w:t>
      </w:r>
    </w:p>
    <w:p>
      <w:pPr>
        <w:spacing w:after="0" w:line="187" w:lineRule="exact"/>
        <w:rPr>
          <w:sz w:val="20"/>
          <w:szCs w:val="20"/>
          <w:color w:val="auto"/>
        </w:rPr>
      </w:pPr>
    </w:p>
    <w:p>
      <w:pPr>
        <w:jc w:val="both"/>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Accounting Estimate</w:t>
      </w:r>
    </w:p>
    <w:p>
      <w:pPr>
        <w:spacing w:after="0" w:line="18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In March 2024, the Company completed its assessment of the useful lives of its information technology equipment. Based on our usage experience and data analysis, the Company determined it should increase the estimated useful lives of its information technology equipment from five to six years. This change in accounting estimate became effective on April 1, 2024. Based on the carrying amount of information technology equipment included in property and equipment, net as of March 31, 2024, the effect of this change in estimate was a reduction in depreciation expense and an improvement of income before income taxes of approximately $50 million, or $0.22 before income taxes per basic and diluted share for the three months ended September 30, 2024 and approximately $110 million, or $0.49 before income taxes per basic and diluted share for the six months ended September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Pronouncements</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which is intended to improve reportable segment disclosures, primarily through enhanced disclosures about significant segment expenses. The guidance should be applied retrospectively, effective for fiscal years beginning after December 15, 2023 and interim periods within fiscal years beginning after December 15, 2024, with early adoption permitted. The Company is currently evaluating the impact of this guidance on the disclosures in its consolidated financial statements.</w:t>
      </w:r>
    </w:p>
    <w:p>
      <w:pPr>
        <w:spacing w:after="0" w:line="185"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enhance the transparency and usefulness of income tax disclosures through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related to the rate reconciliation and income taxes paid. The guidance is effective for annual periods beginning after December 15, 2024, with early adoption permitted. The Company is currently evaluating the impact of this guidance on the disclosures in its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views its segment results to be the best view of disaggregated revenue. Refer to Note 4 – Segments.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for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w:t>
      </w:r>
    </w:p>
    <w:p>
      <w:pPr>
        <w:spacing w:after="0" w:line="18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the aggregate amount of RPO related to customer contracts that are unsatisfied or partially unsatisfied was $34.4 billion. Approximately 57 percent of the amount is expected to be recognized as revenue in the next two years, approximately 37 percent in the subsequent three years, and the balance thereafter.</w:t>
      </w:r>
    </w:p>
    <w:p>
      <w:pPr>
        <w:spacing w:after="0" w:line="1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September 30, 2024, revenue was increased by $13 million and $20 million, respectively, and during the three and six months ended September 30, 2023, revenue was increased by $2 million and $15 million, respectively, for performance obligations satisfied (or partially satisfied) in previous periods, mainly due to changes in estimates on contracts with cost-to-cost measures of progress.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deferred income balances: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5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$17 at</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and $22 at March 31, 2024) *</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unbilled receivable balances of $384 million at September 30, 2024 and $377 million at March 31, 2024.</w:t>
      </w:r>
    </w:p>
    <w:p>
      <w:pPr>
        <w:spacing w:after="0" w:line="4" w:lineRule="exact"/>
        <w:rPr>
          <w:sz w:val="20"/>
          <w:szCs w:val="20"/>
          <w:color w:val="auto"/>
        </w:rPr>
      </w:pPr>
    </w:p>
    <w:p>
      <w:pPr>
        <w:ind w:left="380" w:right="119" w:hanging="330"/>
        <w:spacing w:after="0" w:line="239"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assets represent goods or services delivered by the Company, which give the Company the right to consideration that is typically subject to milestone completion or client acceptance and are included within prepaid expenses and other current assets in the Consolidated Balance Sheet.</w:t>
      </w:r>
    </w:p>
    <w:p>
      <w:pPr>
        <w:spacing w:after="0" w:line="181"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The amount of revenue recognized during the three and six months ended September 30, 2024 that was included within the deferred income balance at the beginning of the period was $335 million and $524 million, respectively. The amount of revenue recognized during the three and six months ended September 30, 2023 that was included within the deferred income balance at the beginning of the period was $176 million and $360 million, respectively.</w:t>
      </w:r>
    </w:p>
    <w:p>
      <w:pPr>
        <w:spacing w:after="0" w:line="164"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expected credit losses for the six months ended September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57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translation adjustments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 assets allowance for expected credit losses was not material in any of the periods presented.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three and six months ended September 30, 2024 and 2023. Other than receivables due from our former Parent, no single client represented more than 10 percent of the Company’s total accounts receivable balance as of September 30, 2024 or March 31,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September 30, 2024 and March 31, 2024:</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 *</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59" w:hanging="330"/>
        <w:spacing w:after="0" w:line="261"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$994 million was current and $1,052 million was noncurrent at September 30, 2024, and $1,081 million was current and $920 million was noncurrent at March 31, 2024.</w:t>
      </w:r>
    </w:p>
    <w:p>
      <w:pPr>
        <w:spacing w:after="0" w:line="16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amount of total deferred costs amortized for the three months ended September 30, 2024 was $435 million, composed of $75 million of amortization of deferred transition costs, $262 million of amortization of prepaid software and $98 million of amortization of capitalized contract costs. The amount of total deferred costs amortized for the six months ended September 30, 2024 was $852 million, composed of $147 million of amortization of deferred transition costs, $500 million of amortization of prepaid software and $205 million of amortization of capitalized contract costs. The amount of total deferred costs amortized for the three months ended September 30, 2023 was $449 million, composed of $88 million of amortization of deferred transition costs, $218 million of amortization of prepaid software and $143 million of amortization of capitalized contract costs. The amount of total deferred costs amortized for the six months ended September 30, 2023 was $912 million, composed of $173 million of amortization of deferred transition costs, $459 million of amortization of prepaid software and $281 million of amortization of capitalized contract costs.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reviews performance and allocates resources. Our four reportable segments consist of the following:</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225" w:lineRule="exact"/>
        <w:rPr>
          <w:sz w:val="20"/>
          <w:szCs w:val="20"/>
          <w:color w:val="auto"/>
        </w:rPr>
      </w:pPr>
    </w:p>
    <w:p>
      <w:pPr>
        <w:ind w:left="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Canada, France,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India, Italy, Spain / Portugal, and the United Kingdom / Ireland.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Strategic Markets: </w:t>
      </w:r>
      <w:r>
        <w:rPr>
          <w:rFonts w:ascii="Times New Roman" w:cs="Times New Roman" w:eastAsia="Times New Roman" w:hAnsi="Times New Roman"/>
          <w:sz w:val="18"/>
          <w:szCs w:val="18"/>
          <w:color w:val="auto"/>
        </w:rPr>
        <w:t>This reportable segment is comprised of our operations in all other countries in which we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operate.</w:t>
      </w:r>
    </w:p>
    <w:p>
      <w:pPr>
        <w:spacing w:after="0" w:line="20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made a minor change to its geographic reportable segments effective June 1, 2024 to reflect how the Company manages its operations and measures business performance, transitioning the reporting and management of its operations in Australia/New Zealand from the Principal Markets segment to the Strategic Markets segment. All historical segment information has been recast to reflect this change.</w:t>
      </w:r>
    </w:p>
    <w:p>
      <w:pPr>
        <w:spacing w:after="0" w:line="180"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measure of segment operating performance used by Kyndryl’s CODM is adjusted EBITDA. Adjusted EBITDA is defined as net income (loss)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pension expenses other than pension servicing costs and multi-employer plan costs, stock-based compensation expense, workforce rebalancing charges incurred prior to March 31, 2024, impairment expense, significant litigation costs and benefits,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currency impacts of highly inflationary countries. The use of revenue and adjusted EBITDA aligns with how the CODM assesses performance and allocates resources for the Company’s segments.</w:t>
      </w:r>
    </w:p>
    <w:p>
      <w:pPr>
        <w:spacing w:after="0" w:line="16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16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9"/>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consolidated pretax income (loss):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16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198"/>
        </w:trPr>
        <w:tc>
          <w:tcPr>
            <w:tcW w:w="42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Workforce rebalancing charges incurred prior to</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8"/>
        </w:trPr>
        <w:tc>
          <w:tcPr>
            <w:tcW w:w="420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lease terminations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8"/>
        </w:trPr>
        <w:tc>
          <w:tcPr>
            <w:tcW w:w="420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equipment and capitalized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80" w:right="419" w:hanging="330"/>
        <w:spacing w:after="0" w:line="24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 For the three and six months ended September 30, 2023, other adjustments also include an adjustment to reduce amortization expense for the amount already included in transaction-related costs above.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the Company’s effective tax rate was (703.7%), compared to (30.3%) for the three months ended September 30, 2023. For the six months ended September 30, 2024, the Company’s effective tax rate was 154.2%, compared to (29.8%) for the six months ended September 30, 2023. The Company’s negative effective tax rates for the three months ended September 30, 2024 and 2023 and the six months ended September 30, 2023 reflect a tax expense on a pretax book loss in those periods.</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2024 and 2023 and the six months ended September 30, 2023 was lower than the Company’s statutory tax rate, and its effective tax rate for the six months ended September 30, 2024 was higher than the Company’s statutory tax rate, primarily due to taxes on foreign operations and valuation allowances recorded in certain jurisdictions against deferred tax assets that are not more likely than not to be realized.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NET LOSS PER SHARE</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did not declare any dividends in the periods presented. The following table provides the computation of basic and diluted earnings per share of common stock for the three and six months ended September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6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on which basic and diluted earnings</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shares on which basic and diluted earnings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per share is calculated</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September 30, 2024 and 2023, the number of shares on which basic and diluted earnings (loss) per share is calculated was the same as a result of the net loss incurred in the period. The following securities were not included in the computation of diluted earnings per share: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60" w:type="dxa"/>
            <w:vAlign w:val="bottom"/>
            <w:vMerge w:val="continue"/>
          </w:tcPr>
          <w:p>
            <w:pPr>
              <w:spacing w:after="0"/>
              <w:rPr>
                <w:sz w:val="14"/>
                <w:szCs w:val="14"/>
                <w:color w:val="auto"/>
              </w:rPr>
            </w:pPr>
          </w:p>
        </w:tc>
        <w:tc>
          <w:tcPr>
            <w:tcW w:w="1180" w:type="dxa"/>
            <w:vAlign w:val="bottom"/>
            <w:gridSpan w:val="2"/>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performance-conditioned stock units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market-conditioned stock units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260" w:type="dxa"/>
            <w:vAlign w:val="bottom"/>
          </w:tcPr>
          <w:p>
            <w:pPr>
              <w:spacing w:after="0"/>
              <w:rPr>
                <w:sz w:val="24"/>
                <w:szCs w:val="24"/>
                <w:color w:val="auto"/>
              </w:rPr>
            </w:pPr>
          </w:p>
        </w:tc>
        <w:tc>
          <w:tcPr>
            <w:tcW w:w="118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FINANCIAL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6" w:lineRule="exact"/>
        <w:rPr>
          <w:sz w:val="20"/>
          <w:szCs w:val="20"/>
          <w:color w:val="auto"/>
        </w:rPr>
      </w:pPr>
    </w:p>
    <w:p>
      <w:pPr>
        <w:ind w:left="1040" w:right="239" w:hanging="315"/>
        <w:spacing w:after="0" w:line="28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Quoted prices (unadjusted) in active markets for identical assets or liabilities that can be accessed at the measurement date,</w:t>
      </w:r>
    </w:p>
    <w:p>
      <w:pPr>
        <w:spacing w:after="0" w:line="158" w:lineRule="exact"/>
        <w:rPr>
          <w:rFonts w:ascii="Times New Roman" w:cs="Times New Roman" w:eastAsia="Times New Roman" w:hAnsi="Times New Roman"/>
          <w:sz w:val="18"/>
          <w:szCs w:val="18"/>
          <w:color w:val="auto"/>
        </w:rPr>
      </w:pPr>
    </w:p>
    <w:p>
      <w:pPr>
        <w:ind w:left="1040" w:right="119" w:hanging="315"/>
        <w:spacing w:after="0" w:line="28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Inputs other than quoted prices included within Level 1 that are observable for the asset or liability, either directly or indirectly and</w:t>
      </w:r>
    </w:p>
    <w:p>
      <w:pPr>
        <w:spacing w:after="0" w:line="15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3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Unobservable inputs for the asset or liability.</w:t>
      </w:r>
    </w:p>
    <w:p>
      <w:pPr>
        <w:spacing w:after="0" w:line="22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level of an asset or liability within the fair value hierarchy is determined based on the lowest level of any input that is significant to the fair value measurement. The determination of fair value considers various factors including yield curves and time value underlying the financial instruments. For derivatives and debt securities, the Company uses a discounted cash flow analysis using discount rates commensurate with the duration of the instrument.</w:t>
      </w:r>
    </w:p>
    <w:p>
      <w:pPr>
        <w:spacing w:after="0" w:line="180" w:lineRule="exact"/>
        <w:rPr>
          <w:sz w:val="20"/>
          <w:szCs w:val="20"/>
          <w:color w:val="auto"/>
        </w:rPr>
      </w:pPr>
    </w:p>
    <w:p>
      <w:pPr>
        <w:ind w:left="60" w:right="81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p>
      <w:pPr>
        <w:spacing w:after="0" w:line="176" w:lineRule="exact"/>
        <w:rPr>
          <w:sz w:val="20"/>
          <w:szCs w:val="20"/>
          <w:color w:val="auto"/>
        </w:rPr>
      </w:pPr>
    </w:p>
    <w:p>
      <w:pPr>
        <w:jc w:val="both"/>
        <w:ind w:left="1040" w:right="7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financial instruments, taking into account the actual credit risk of a counterparty as observed in the credit default swap market to determine the true fair value of such an instrument.</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8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perform a qualitative assessment of asset impairments on a periodic basis and recognize an impairment if there are sufficient indicators that the fair value is less than carrying value. There were no impairments of non-financial assets recognized for the three and six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financial liabilities that are measured at fair value on a recurring basis at September 30, 2024 and March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1900" w:type="dxa"/>
            <w:vAlign w:val="bottom"/>
            <w:gridSpan w:val="6"/>
            <w:vMerge w:val="restart"/>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6"/>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6"/>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88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34283D"/>
              </w:rPr>
              <w:t>Level</w:t>
            </w: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34283D"/>
              </w:rPr>
              <w:t>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34283D"/>
              </w:rPr>
              <w:t>Cross-currency swap contracts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Total</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gross balances of derivative assets, including accrued interest, are contained within prepaid expenses and other current assets and other noncurrent assets in the Consolidated Balance Sheet. The gross balances of derivative liabilities are contained within other accrued expenses and liabilities and other noncurrent liabilities in the Consolidated Balance Sheet. The Company may enter into master netting agreements with certain counterparties that allow for netting of exposures. There was no netting of derivative assets against liabilities in the Consolidated Balance Sheet at September 30, 2024 and March 31, 2024.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September 30, 2024 and March 31, 2024 were $701 million and $828 million, respectively. If measured at fair value in the consolidated financial statements, time deposits with maturities of 90 days or less would be categorized as Level 2 in the fair value hierarchy.</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 See Note 10 – Borrowings for additional information. Our outstanding debt (excluding finance lease obligations) had a carrying value of $2.9 billion as of September 30, 2024 and March 31, 2024, with an estimated fair value of $2.7 billion as of September 30, 2024 and $2.6 billion as of March 31, 2024.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w:t>
      </w:r>
    </w:p>
    <w:p>
      <w:pPr>
        <w:spacing w:after="0" w:line="17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under this program were $1.1 billion and $1.9 billion for the three and six months ended September 30, 2024, respectively, and $913 million and $2.1 billion for the three and six months ended September 30, 2023, respectively. The fees associated with the transfers of receivables were $10 million and $20 million for the three and six months ended September 30, 2024, respectively, and $12 million and $28 million for the three and six months ended September 30, 2023,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notional amounts of the Company’s outstanding derivatives: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00" w:type="dxa"/>
            <w:vAlign w:val="bottom"/>
          </w:tcPr>
          <w:p>
            <w:pPr>
              <w:spacing w:after="0"/>
              <w:rPr>
                <w:sz w:val="10"/>
                <w:szCs w:val="10"/>
                <w:color w:val="auto"/>
              </w:rPr>
            </w:pPr>
          </w:p>
        </w:tc>
        <w:tc>
          <w:tcPr>
            <w:tcW w:w="8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120" w:type="dxa"/>
            <w:vAlign w:val="bottom"/>
          </w:tcPr>
          <w:p>
            <w:pPr>
              <w:spacing w:after="0"/>
              <w:rPr>
                <w:sz w:val="10"/>
                <w:szCs w:val="10"/>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1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12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73"/>
        </w:trPr>
        <w:tc>
          <w:tcPr>
            <w:tcW w:w="3280" w:type="dxa"/>
            <w:vAlign w:val="bottom"/>
            <w:gridSpan w:val="2"/>
            <w:vMerge w:val="continue"/>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20" w:type="dxa"/>
            <w:vAlign w:val="bottom"/>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06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Net investment hedges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32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amounts of derivative instruments do not necessarily represent the amounts exchanged by the Company with third parties and are not necessarily a direct measure of the financial exposure.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Company has foreign exchange derivative financial instruments designated as cash flow hedges to manage the volatility of cash flows that relate to operating expenses denominated in certain currencies. Changes in fair value of derivatives designated as cash flow hedges are recorded, net of applicable taxes, in other comprehensive income (“OCI”)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maximum remaining length of time over which the Company hedged its exposure is approximately one year. At September 30, 2024 and March 31, 2024, the weighted-average remaining maturity of these instruments was approximately 0.5 years. At September 30, 2024 and March 31, 2024, in connection with cash flow hedges of foreign currency cost transactions, the Company had unrealized losses of $14 million and unrealized gains of $2 million (each before taxes), respectively, in accumulated other comprehensive income (“AOCI”). The Company estimates that $14 million (before taxes) of net deferred losses on derivatives in AOCI at September 30, 2024 will be reclassified to net income within the next twelve months, providing an offsetting economic impact against the underlying anticipated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has entered into and designated cross-currency interest rate swap contracts and currency forward contracts as net investment hedges to mitigate foreign exchange exposure related to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Under the terms of the currency forward contracts, the Company commits to sell the local currency of certain subsidiaries in exchange for U.S. dollars at specified forward rates. Derivatives designated as net investment hedges are accounted for using the spot method, with changes in the fair value of the derivatives attributable to changes in spot rates recorded within foreign currency translation (“CTA”) as a component of other comprehensive income (loss) and remaining there until the hedged net investments are sold or substantially liquidated. The changes in the fair value of the derivatives that are attributable to changes in the difference between the forward rate and spot rate are excluded from the assessment of hedge effectiveness. The changes in fair value that are attributable to the excluded components are initially recorded in CTA and then recognized in interest expense on the Consolidated Income Statement over the life of the derivative instruments.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w:t>
      </w:r>
    </w:p>
    <w:p>
      <w:pPr>
        <w:spacing w:after="0" w:line="19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maximum remaining length of time over which the Company has hedged its exposure is approximately nine years. At September 30, 2024 and March 31, 2024, the weighted-average remaining maturity of the Company’s net investment hedge instruments was approximately five years and ten years, respectively. At September 30, 2024 and March 31, 2024, the Company had unrealized losses of $39 million and $11 million (each before taxes), respectively, in AOCI related to net investment hedges.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 the Consolidated Income Statement. The gains and losses on these contracts generally offset the gains and losses in the underlying hedged exposures, which are also reported in other expense in the Consolidated Income Statement. Cash flows from derivatives not designated as hedges are reported in cash flows from investing activities in the Consolidated Statement of Cash Flows. The terms of these swap contracts are generally less than one year.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the Consolidated Income Statement and Other Comprehensive Income are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Unrealized Gain (Loss)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3"/>
                <w:szCs w:val="13"/>
                <w:color w:val="auto"/>
              </w:rPr>
            </w:pP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Gain (Loss) Reclassified</w:t>
            </w:r>
          </w:p>
        </w:tc>
        <w:tc>
          <w:tcPr>
            <w:tcW w:w="0" w:type="dxa"/>
            <w:vAlign w:val="bottom"/>
          </w:tcPr>
          <w:p>
            <w:pPr>
              <w:spacing w:after="0"/>
              <w:rPr>
                <w:sz w:val="1"/>
                <w:szCs w:val="1"/>
                <w:color w:val="auto"/>
              </w:rPr>
            </w:pPr>
          </w:p>
        </w:tc>
      </w:tr>
      <w:tr>
        <w:trPr>
          <w:trHeight w:val="148"/>
        </w:trPr>
        <w:tc>
          <w:tcPr>
            <w:tcW w:w="2840" w:type="dxa"/>
            <w:vAlign w:val="bottom"/>
            <w:gridSpan w:val="3"/>
            <w:vMerge w:val="continue"/>
          </w:tcPr>
          <w:p>
            <w:pPr>
              <w:spacing w:after="0"/>
              <w:rPr>
                <w:sz w:val="12"/>
                <w:szCs w:val="12"/>
                <w:color w:val="auto"/>
              </w:rPr>
            </w:pPr>
          </w:p>
        </w:tc>
        <w:tc>
          <w:tcPr>
            <w:tcW w:w="186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0" w:type="dxa"/>
            <w:vAlign w:val="bottom"/>
          </w:tcPr>
          <w:p>
            <w:pPr>
              <w:spacing w:after="0"/>
              <w:rPr>
                <w:sz w:val="12"/>
                <w:szCs w:val="12"/>
                <w:color w:val="auto"/>
              </w:rPr>
            </w:pPr>
          </w:p>
        </w:tc>
        <w:tc>
          <w:tcPr>
            <w:tcW w:w="1940" w:type="dxa"/>
            <w:vAlign w:val="bottom"/>
            <w:gridSpan w:val="4"/>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from AOCI to Income</w:t>
            </w:r>
          </w:p>
        </w:tc>
        <w:tc>
          <w:tcPr>
            <w:tcW w:w="0" w:type="dxa"/>
            <w:vAlign w:val="bottom"/>
          </w:tcPr>
          <w:p>
            <w:pPr>
              <w:spacing w:after="0"/>
              <w:rPr>
                <w:sz w:val="1"/>
                <w:szCs w:val="1"/>
                <w:color w:val="auto"/>
              </w:rPr>
            </w:pPr>
          </w:p>
        </w:tc>
      </w:tr>
      <w:tr>
        <w:trPr>
          <w:trHeight w:val="25"/>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40" w:type="dxa"/>
            <w:vAlign w:val="bottom"/>
            <w:gridSpan w:val="3"/>
            <w:vMerge w:val="continue"/>
          </w:tcPr>
          <w:p>
            <w:pPr>
              <w:spacing w:after="0"/>
              <w:rPr>
                <w:sz w:val="12"/>
                <w:szCs w:val="12"/>
                <w:color w:val="auto"/>
              </w:rPr>
            </w:pPr>
          </w:p>
        </w:tc>
        <w:tc>
          <w:tcPr>
            <w:tcW w:w="6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2700" w:type="dxa"/>
            <w:vAlign w:val="bottom"/>
            <w:tcBorders>
              <w:top w:val="single" w:sz="8" w:color="auto"/>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 instruments in cash</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hedges: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(14)</w:t>
            </w:r>
          </w:p>
        </w:tc>
        <w:tc>
          <w:tcPr>
            <w:tcW w:w="70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4"/>
        </w:trPr>
        <w:tc>
          <w:tcPr>
            <w:tcW w:w="284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Derivative instruments in net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hedges*: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6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w:t>
            </w: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(21)</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Unrealized Gain (Loss)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24"/>
                <w:szCs w:val="24"/>
                <w:color w:val="auto"/>
              </w:rPr>
            </w:pPr>
          </w:p>
        </w:tc>
        <w:tc>
          <w:tcPr>
            <w:tcW w:w="126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gridSpan w:val="3"/>
            <w:vMerge w:val="continue"/>
          </w:tcPr>
          <w:p>
            <w:pPr>
              <w:spacing w:after="0"/>
              <w:rPr>
                <w:sz w:val="12"/>
                <w:szCs w:val="12"/>
                <w:color w:val="auto"/>
              </w:rPr>
            </w:pPr>
          </w:p>
        </w:tc>
        <w:tc>
          <w:tcPr>
            <w:tcW w:w="186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0" w:type="dxa"/>
            <w:vAlign w:val="bottom"/>
          </w:tcPr>
          <w:p>
            <w:pPr>
              <w:spacing w:after="0"/>
              <w:rPr>
                <w:sz w:val="12"/>
                <w:szCs w:val="12"/>
                <w:color w:val="auto"/>
              </w:rPr>
            </w:pPr>
          </w:p>
        </w:tc>
        <w:tc>
          <w:tcPr>
            <w:tcW w:w="194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0" w:type="dxa"/>
            <w:vAlign w:val="bottom"/>
          </w:tcPr>
          <w:p>
            <w:pPr>
              <w:spacing w:after="0"/>
              <w:rPr>
                <w:sz w:val="1"/>
                <w:szCs w:val="1"/>
                <w:color w:val="auto"/>
              </w:rPr>
            </w:pPr>
          </w:p>
        </w:tc>
      </w:tr>
      <w:tr>
        <w:trPr>
          <w:trHeight w:val="25"/>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40" w:type="dxa"/>
            <w:vAlign w:val="bottom"/>
            <w:gridSpan w:val="3"/>
            <w:vMerge w:val="continue"/>
          </w:tcPr>
          <w:p>
            <w:pPr>
              <w:spacing w:after="0"/>
              <w:rPr>
                <w:sz w:val="12"/>
                <w:szCs w:val="12"/>
                <w:color w:val="auto"/>
              </w:rPr>
            </w:pPr>
          </w:p>
        </w:tc>
        <w:tc>
          <w:tcPr>
            <w:tcW w:w="6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2700" w:type="dxa"/>
            <w:vAlign w:val="bottom"/>
            <w:tcBorders>
              <w:top w:val="single" w:sz="8" w:color="auto"/>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 instruments in cash</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hedges: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(15)</w:t>
            </w:r>
          </w:p>
        </w:tc>
        <w:tc>
          <w:tcPr>
            <w:tcW w:w="70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4"/>
        </w:trPr>
        <w:tc>
          <w:tcPr>
            <w:tcW w:w="284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Derivative instruments in net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hedges*: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6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(19)</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99" w:hanging="330"/>
        <w:spacing w:after="0" w:line="24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September 30, 2024, the Company recognized a gain of $5 million and $9 million, respectively, in interest expense on components excluded from the assessment of the hedge effectiveness for net investment hedges. There were no net investment hedges in the three and six months ended September 30, 2023.</w:t>
      </w:r>
    </w:p>
    <w:p>
      <w:pPr>
        <w:spacing w:after="0" w:line="181"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September 30, 2024 and 2023, there were no gains or losses excluded from the assessment of hedge effectiveness for cash flow hedges, or associated with an underlying exposure that did not or was not expected to occur, nor are there any anticipated in the normal course of business.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effects of derivatives not designated as hedging instruments on the Consolidated Income Statement 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60" w:type="dxa"/>
            <w:vAlign w:val="bottom"/>
          </w:tcPr>
          <w:p>
            <w:pPr>
              <w:spacing w:after="0"/>
              <w:rPr>
                <w:sz w:val="13"/>
                <w:szCs w:val="13"/>
                <w:color w:val="auto"/>
              </w:rPr>
            </w:pPr>
          </w:p>
        </w:tc>
        <w:tc>
          <w:tcPr>
            <w:tcW w:w="1380" w:type="dxa"/>
            <w:vAlign w:val="bottom"/>
            <w:gridSpan w:val="3"/>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gridSpan w:val="2"/>
            <w:vMerge w:val="continue"/>
          </w:tcPr>
          <w:p>
            <w:pPr>
              <w:spacing w:after="0"/>
              <w:rPr>
                <w:sz w:val="12"/>
                <w:szCs w:val="12"/>
                <w:color w:val="auto"/>
              </w:rPr>
            </w:pPr>
          </w:p>
        </w:tc>
        <w:tc>
          <w:tcPr>
            <w:tcW w:w="3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40" w:type="dxa"/>
            <w:vAlign w:val="bottom"/>
            <w:gridSpan w:val="4"/>
          </w:tcPr>
          <w:p>
            <w:pPr>
              <w:jc w:val="center"/>
              <w:ind w:left="302"/>
              <w:spacing w:after="0" w:line="149" w:lineRule="exact"/>
              <w:rPr>
                <w:sz w:val="20"/>
                <w:szCs w:val="20"/>
                <w:color w:val="auto"/>
              </w:rPr>
            </w:pPr>
            <w:r>
              <w:rPr>
                <w:rFonts w:ascii="Times New Roman" w:cs="Times New Roman" w:eastAsia="Times New Roman" w:hAnsi="Times New Roman"/>
                <w:sz w:val="14"/>
                <w:szCs w:val="14"/>
                <w:b w:val="1"/>
                <w:bCs w:val="1"/>
                <w:color w:val="auto"/>
              </w:rPr>
              <w:t>Recognized on Derivatives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3160" w:type="dxa"/>
            <w:vAlign w:val="bottom"/>
            <w:gridSpan w:val="2"/>
            <w:vMerge w:val="continue"/>
          </w:tcPr>
          <w:p>
            <w:pPr>
              <w:spacing w:after="0"/>
              <w:rPr>
                <w:sz w:val="12"/>
                <w:szCs w:val="12"/>
                <w:color w:val="auto"/>
              </w:rPr>
            </w:pPr>
          </w:p>
        </w:tc>
        <w:tc>
          <w:tcPr>
            <w:tcW w:w="86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60" w:type="dxa"/>
            <w:vAlign w:val="bottom"/>
          </w:tcPr>
          <w:p>
            <w:pPr>
              <w:spacing w:after="0"/>
              <w:rPr>
                <w:sz w:val="24"/>
                <w:szCs w:val="24"/>
                <w:color w:val="auto"/>
              </w:rPr>
            </w:pPr>
          </w:p>
        </w:tc>
        <w:tc>
          <w:tcPr>
            <w:tcW w:w="1380" w:type="dxa"/>
            <w:vAlign w:val="bottom"/>
            <w:gridSpan w:val="3"/>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20" w:type="dxa"/>
            <w:vAlign w:val="bottom"/>
            <w:gridSpan w:val="2"/>
            <w:vMerge w:val="continue"/>
          </w:tcPr>
          <w:p>
            <w:pPr>
              <w:spacing w:after="0"/>
              <w:rPr>
                <w:sz w:val="12"/>
                <w:szCs w:val="12"/>
                <w:color w:val="auto"/>
              </w:rPr>
            </w:pPr>
          </w:p>
        </w:tc>
        <w:tc>
          <w:tcPr>
            <w:tcW w:w="3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40" w:type="dxa"/>
            <w:vAlign w:val="bottom"/>
            <w:gridSpan w:val="4"/>
          </w:tcPr>
          <w:p>
            <w:pPr>
              <w:jc w:val="center"/>
              <w:ind w:left="302"/>
              <w:spacing w:after="0" w:line="149" w:lineRule="exact"/>
              <w:rPr>
                <w:sz w:val="20"/>
                <w:szCs w:val="20"/>
                <w:color w:val="auto"/>
              </w:rPr>
            </w:pPr>
            <w:r>
              <w:rPr>
                <w:rFonts w:ascii="Times New Roman" w:cs="Times New Roman" w:eastAsia="Times New Roman" w:hAnsi="Times New Roman"/>
                <w:sz w:val="14"/>
                <w:szCs w:val="14"/>
                <w:b w:val="1"/>
                <w:bCs w:val="1"/>
                <w:color w:val="auto"/>
              </w:rPr>
              <w:t>Recognized on Derivatives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3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3160" w:type="dxa"/>
            <w:vAlign w:val="bottom"/>
            <w:gridSpan w:val="2"/>
            <w:vMerge w:val="continue"/>
          </w:tcPr>
          <w:p>
            <w:pPr>
              <w:spacing w:after="0"/>
              <w:rPr>
                <w:sz w:val="12"/>
                <w:szCs w:val="12"/>
                <w:color w:val="auto"/>
              </w:rPr>
            </w:pPr>
          </w:p>
        </w:tc>
        <w:tc>
          <w:tcPr>
            <w:tcW w:w="86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ACQUISITIONS AND DIVESTITURES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Skytap</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April 2024, the Company completed the acquisition of Skytap, Inc. (“Skytap”), a leading specialized workload services provider, by acquiring all outstanding equity interests of Skytap in exchange for cash consideration. The acquisition of Skytap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Our financial statements for the three and six months ended September 30, 2024 reflect the assets, liabilities, operating results and cash flows of Skytap, commencing from the acquisition date. The Company acquired Skytap for cash consideration of approximately $46 million, net of cash acquired of $4 million. Costs associated with this acquisition were approximately $2 million and are expensed as incurred within transaction-related costs within the accompanying Consolidated Income Statement. Pro forma financial information has not been presented, as revenue and expenses related to the acquisition do not have a material impact on the Company’s Consolidated Financial Statements.</w:t>
      </w:r>
    </w:p>
    <w:p>
      <w:pPr>
        <w:spacing w:after="0" w:line="18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acquisition of Skytap expands the Company’s hybrid cloud services portfolio. The purchase price allocation resulted in approximately $43 million in intangible assets, primarily consisting of $13 million in completed technologies and $30 million in customer relationships with estimated useful lives of five and eight years, respectively, assets transferred of $27 million (inclusive of cash acquired of $4 million), liabilities assumed of $29 million, and goodwill of $10 million, primarily attributable to synergies expected to arise from this acquisition. We do not expect the goodwill to be deductible for income tax purposes.</w:t>
      </w:r>
    </w:p>
    <w:p>
      <w:pPr>
        <w:spacing w:after="0" w:line="18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During the quarter ended September 30, 2024, the Company made immaterial adjustments to the preliminary purchase price allocation impacting the valuation of goodwill and assets transferred. The purchase price allocation for this acquisition is preliminary, and there may be further changes in the allocation of consideration to assets acquired and liabilities assumed, including intangible assets and goodwill, for up to twelve months from the acquisition date.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Disposal of the Securities Industry Services (“SIS”) Business</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2024, the Company entered into a definitive agreement to sell its transaction processing platform for the securities brokerage industry services in Canada (which is a component of the Company’s Principal Markets segment), known as “SIS”, for approximately $185 million in cash.</w:t>
      </w:r>
    </w:p>
    <w:p>
      <w:pPr>
        <w:spacing w:after="0" w:line="1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classifies assets and liabilities as held for sale in the period when all the relevant classification criteria have been met. Assets and liabilities held for sale are measured at the lower of carrying value or fair value less costs to sell. Losses (if any) resulting from the measurement are recognized in the period in which the held for sale criteria are met. Conversely, gains from a disposal group are not recognized until the date of sale. The fair value of a disposal group, less any costs to sell, will be reassessed during each subsequent reporting period it remains classified as held for sale, and any subsequent changes will be reported as an adjustment to the carrying value of the disposal group until it is no longer classified as held for sale. Upon determining that a disposal group meets the criteria as held for sale, the Company discontinues depreciation and amortization of the related assets and liabilities.</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classified the assets and liabilities related to SIS as held for sale in the three months ended June 30, 2024 within “Prepaid expenses and other current assets” and “Other accrued expenses and liabilities” on the Consolidated Balance Sheet. This disposition is not accounted for as discontinued operations as it does not meet the relevant criteria. The carrying value of the net assets being sold is not material.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INTANGIBLE ASSETS INCLUDING GOODWILL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balances by major asset class.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1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20" w:type="dxa"/>
            <w:vAlign w:val="bottom"/>
          </w:tcPr>
          <w:p>
            <w:pPr>
              <w:spacing w:after="0"/>
              <w:rPr>
                <w:sz w:val="10"/>
                <w:szCs w:val="10"/>
                <w:color w:val="auto"/>
              </w:rPr>
            </w:pPr>
          </w:p>
        </w:tc>
        <w:tc>
          <w:tcPr>
            <w:tcW w:w="10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1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Amounts include effects from foreign currency translation.</w:t>
      </w:r>
    </w:p>
    <w:p>
      <w:pPr>
        <w:spacing w:after="0" w:line="20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net carrying amount of intangible assets increased by $38 million during the six months ended September 30, 2024, primarily due to intangible assets acquired as part of the acquisition of Skytap and capitalized software added during the period, partially offset by amortization. The aggregate intangible asset amortization expense was $17 million and $36 million for the three and six months ended September 30, 2024, compared to $16 million and $27 million for the three and six months ended September 30, 2023, respectively. This included amortization of capitalized software of $7 million and $19 million for the three and six months ended September 30, 2024, which was reported in “Depreciation of property, equipment and capitalized software” on the Consolidated Statement of Cash Flows. During the three and six months ended September 30, 2024, respectively, the Company retired approximately $75 million of fully amortized intangible assets, primarily related to customer relationships.</w:t>
      </w:r>
    </w:p>
    <w:p>
      <w:pPr>
        <w:spacing w:after="0" w:line="188"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September 30,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80" w:type="dxa"/>
            <w:vAlign w:val="bottom"/>
            <w:gridSpan w:val="4"/>
            <w:vMerge w:val="continue"/>
          </w:tcPr>
          <w:p>
            <w:pPr>
              <w:spacing w:after="0"/>
              <w:rPr>
                <w:sz w:val="15"/>
                <w:szCs w:val="15"/>
                <w:color w:val="auto"/>
              </w:rPr>
            </w:pP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2025 (remaining six months)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goodwill balances by segment for the six months ended September 30, 2024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23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Reallocation</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4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39" w:hanging="330"/>
        <w:spacing w:after="0" w:line="26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goodwill acquired as part of the purchase of Skytap, in addition to the allocation of goodwill to assets held for sale related to the divestiture of the SIS business using the relative fair value approach. See Note 8 – Acquisitions and Divestitures for additional details.</w:t>
      </w:r>
    </w:p>
    <w:p>
      <w:pPr>
        <w:spacing w:after="0" w:line="15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As discussed in Note 4 – Segments, Kyndryl’s operations in Australia/New Zealand transitioned from the Principal Markets segment to the Strategic Markets segment in the quarter ended June 30, 2024. As a result, the Company reallocated the goodwill associated with Australia/New Zealand from the Principal Markets segment to the Strategic Markets segment. The Company also performed a qualitative impairment test immediately before and after the change in reporting units and determined that it is not more likely than not that the fair value of the reporting units is less than their carrying amounts, including goodwill. Accordingly, the Company concluded that the goodwill related to those reporting units was not impaired.</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There were no goodwill impairment losses recorded for the six months ended September 30, 2024 and 2023.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debt:</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5"/>
                <w:szCs w:val="15"/>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agreement</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2031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6.35% *</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February 2034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2041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5.67% **</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2024-2030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9"/>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0"/>
        </w:trPr>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r>
    </w:tbl>
    <w:p>
      <w:pPr>
        <w:spacing w:after="0" w:line="72" w:lineRule="exact"/>
        <w:rPr>
          <w:sz w:val="20"/>
          <w:szCs w:val="20"/>
          <w:color w:val="auto"/>
        </w:rPr>
      </w:pPr>
    </w:p>
    <w:p>
      <w:pPr>
        <w:ind w:left="380" w:right="219" w:hanging="330"/>
        <w:spacing w:after="0" w:line="233"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the cross-currency swaps that the Company entered into subsequent to the issuance of the unsecured senior notes due 2034, the effective interest rate on such notes was approximately 3.84% at the time of issuance. For more information, see Note 7 – Financial Assets and Liabilities.</w:t>
      </w:r>
    </w:p>
    <w:p>
      <w:pPr>
        <w:ind w:left="380" w:hanging="330"/>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discount rate.</w:t>
      </w:r>
    </w:p>
    <w:p>
      <w:pPr>
        <w:spacing w:after="0" w:line="192" w:lineRule="exact"/>
        <w:rPr>
          <w:sz w:val="20"/>
          <w:szCs w:val="20"/>
          <w:color w:val="auto"/>
        </w:rPr>
      </w:pPr>
    </w:p>
    <w:p>
      <w:pPr>
        <w:ind w:left="60" w:right="83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September 30, 2024, exclusive of finance lease obligations,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obligations approximate scheduled repayments.</w:t>
      </w:r>
    </w:p>
    <w:p>
      <w:pPr>
        <w:spacing w:after="0" w:line="208"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no borrowings under the Company’s revolving credit agreement. The Company is in compliance with its debt covenants in all periods presented.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guarantees certain loans and financial commitments, but the maximum potential future payment under these financial guarantees and the fair value of these guarantees recognized in the Consolidated Balance Sheet at September 30, 2024 and March 31, 2024 were not material. Additionally, the Company has contractual commitments that are noncancellable with certain software, hardware and cloud partners used in the delivery of services to customers. During the six months ended September 30, 2024, contractual commitments decreased due to satisfaction of existing commitments outpacing new additions.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Fortune 500 company with customers and employees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9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92"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for which IBM might have tried to seek an indemnity from the Company. However, IBM appealed the judgment, and in April 2024, the court of appeals overturned the judgment against IBM. Accordingly, we do not expect to have any liability related to this judgment.</w:t>
      </w:r>
    </w:p>
    <w:p>
      <w:pPr>
        <w:spacing w:after="0" w:line="17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Separately, certain contractual disputes have arisen between Kyndryl and IBM following the Separation. IBM and Kyndryl have commenced arbitration proceedings related to certain of these matters. Certain of these matters have recently been concluded, resulting in a credit recorded in Cost of services in the six months ended September 30, 2024, while others are in preliminary stages. Kyndryl intends to vigorously pursue its interests and defenses in these matters, including asserting its own claims in arbitration if necessary.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reclassifications and taxes related to items of other comprehensive income (loss) for the three and six months ended September 30, 2024 and 2023:</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Retirement-related benefit plans – amortization of net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(gains) losses*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Retirement-related benefit plans – amortization of net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ind w:left="380" w:right="119" w:hanging="330"/>
        <w:spacing w:after="0" w:line="261"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13 – Retirement-Related Benefits for additional information.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8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20" w:type="dxa"/>
            <w:vAlign w:val="bottom"/>
          </w:tcPr>
          <w:p>
            <w:pPr>
              <w:spacing w:after="0"/>
              <w:rPr>
                <w:sz w:val="13"/>
                <w:szCs w:val="1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4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8"/>
        </w:trPr>
        <w:tc>
          <w:tcPr>
            <w:tcW w:w="44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Retirement-related benefit plans – amortization of net</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 2023: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8"/>
        </w:trPr>
        <w:tc>
          <w:tcPr>
            <w:tcW w:w="44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Retirement-related benefit plans – amortization of net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7" w:lineRule="exact"/>
        <w:rPr>
          <w:sz w:val="20"/>
          <w:szCs w:val="20"/>
          <w:color w:val="auto"/>
        </w:rPr>
      </w:pPr>
    </w:p>
    <w:p>
      <w:pPr>
        <w:ind w:left="380" w:right="119" w:hanging="330"/>
        <w:spacing w:after="0" w:line="261"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13 – Retirement-Related Benefits for additional information.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net of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27"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RETIREMENT-RELATED BENEFITS</w:t>
      </w:r>
    </w:p>
    <w:p>
      <w:pPr>
        <w:spacing w:after="0" w:line="202"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components of net periodic pension cost for the defined benefit pension plans recognized in the Consolidated Income Statement for the three and six months ended September 30, 2024 and 2023.</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40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Recognized actuarial losses (gains)*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pension cost are included in other expense in the Consolidated Income Statement.</w:t>
      </w:r>
    </w:p>
    <w:p>
      <w:pPr>
        <w:spacing w:after="0" w:line="20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nonpension postretirement benefit plans and multi-employer plans recognized in the Consolidated Income Statement were not material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WORKFORCE REBALANCING AND SITE-RATIONALIZATION CHARGES</w:t>
      </w:r>
    </w:p>
    <w:p>
      <w:pPr>
        <w:spacing w:after="0" w:line="18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During the six months ended September 30, 2024, the Company initiated actions to reduce our overall cost structure and increase our operating efficiency which we expect to continue through the end of the 2025 fiscal year. These actions resulted in workforce rebalancing charges, and charges related to ceasing to use leased and owned fixed assets (collectively, the “Fiscal 2025 Program”). We expect the total charges to be incurred related to the Fiscal 2025 Program to be approximately $140 million, consisting of $100 million in workforce rebalancing charges and $40 million in charges related to ceasing to use leased and owned fixed assets. The Company expects that these actions will reduce future payroll costs, rent expenses and depreciation of property and equipment.</w:t>
      </w:r>
    </w:p>
    <w:p>
      <w:pPr>
        <w:spacing w:after="0" w:line="189" w:lineRule="exact"/>
        <w:rPr>
          <w:sz w:val="20"/>
          <w:szCs w:val="20"/>
          <w:color w:val="auto"/>
        </w:rPr>
      </w:pPr>
    </w:p>
    <w:p>
      <w:pPr>
        <w:ind w:left="60" w:right="439" w:firstLine="648"/>
        <w:spacing w:after="0" w:line="273" w:lineRule="auto"/>
        <w:rPr>
          <w:sz w:val="20"/>
          <w:szCs w:val="20"/>
          <w:color w:val="auto"/>
        </w:rPr>
      </w:pPr>
      <w:r>
        <w:rPr>
          <w:rFonts w:ascii="Times New Roman" w:cs="Times New Roman" w:eastAsia="Times New Roman" w:hAnsi="Times New Roman"/>
          <w:sz w:val="17"/>
          <w:szCs w:val="17"/>
          <w:color w:val="auto"/>
        </w:rPr>
        <w:t>During the year ended March 31, 2023, the Company initiated actions to reduce our overall cost structure and increase our operating efficiency, which continued through the year ended March 31, 2024. These actions resulted in workforce rebalancing charges, charges related to ceasing to use leased and owned fixed assets, and lease termination charges (collectively, the “Fiscal 2024 Program”). The total charges incurred related to the Fiscal 2024 Program were approximately $310 million, consisting of $190 million in workforce rebalancing charges and $120 million in charges related to ceasing to use leased and owned fixed assets and lease termination charges. The Company expects that these actions will reduce future payroll costs, rent expenses and depreciation of property and equipment.</w:t>
      </w:r>
    </w:p>
    <w:p>
      <w:pPr>
        <w:spacing w:after="0" w:line="171"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breakout of charges incurred during the three and six months ended September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0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142"/>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2000" w:type="dxa"/>
            <w:vAlign w:val="bottom"/>
            <w:gridSpan w:val="5"/>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2"/>
                <w:szCs w:val="12"/>
                <w:color w:val="auto"/>
              </w:rPr>
            </w:pPr>
          </w:p>
        </w:tc>
        <w:tc>
          <w:tcPr>
            <w:tcW w:w="84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r>
      <w:tr>
        <w:trPr>
          <w:trHeight w:val="142"/>
        </w:trPr>
        <w:tc>
          <w:tcPr>
            <w:tcW w:w="24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2"/>
                <w:szCs w:val="12"/>
                <w:color w:val="auto"/>
              </w:rPr>
            </w:pPr>
          </w:p>
        </w:tc>
        <w:tc>
          <w:tcPr>
            <w:tcW w:w="8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r>
      <w:tr>
        <w:trPr>
          <w:trHeight w:val="210"/>
        </w:trPr>
        <w:tc>
          <w:tcPr>
            <w:tcW w:w="2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4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Principal Markets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460" w:type="dxa"/>
            <w:vAlign w:val="bottom"/>
            <w:tcBorders>
              <w:bottom w:val="single" w:sz="8" w:color="CCEEFF"/>
            </w:tcBorders>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Strategic Markets</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0"/>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24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72" w:lineRule="exact"/>
        <w:rPr>
          <w:sz w:val="20"/>
          <w:szCs w:val="20"/>
          <w:color w:val="auto"/>
        </w:rPr>
      </w:pPr>
    </w:p>
    <w:p>
      <w:pPr>
        <w:ind w:left="380" w:right="559" w:hanging="330"/>
        <w:spacing w:after="0" w:line="26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Kyndryl’s operations in Australia/New Zealand transitioned from Principal Markets to Strategic Markets in the quarter ended June 30, 2024; historical segment information has been recast to reflect this change.</w:t>
      </w:r>
    </w:p>
    <w:p>
      <w:pPr>
        <w:spacing w:after="0" w:line="16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workforce rebalancing and site-rationalization activities in the Consolidated Income Statement during the three and six months ended September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0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19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142"/>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2000" w:type="dxa"/>
            <w:vAlign w:val="bottom"/>
            <w:gridSpan w:val="5"/>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20" w:type="dxa"/>
            <w:vAlign w:val="bottom"/>
          </w:tcPr>
          <w:p>
            <w:pPr>
              <w:spacing w:after="0"/>
              <w:rPr>
                <w:sz w:val="12"/>
                <w:szCs w:val="12"/>
                <w:color w:val="auto"/>
              </w:rPr>
            </w:pPr>
          </w:p>
        </w:tc>
      </w:tr>
      <w:tr>
        <w:trPr>
          <w:trHeight w:val="142"/>
        </w:trPr>
        <w:tc>
          <w:tcPr>
            <w:tcW w:w="24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r>
      <w:tr>
        <w:trPr>
          <w:trHeight w:val="210"/>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r>
      <w:tr>
        <w:trPr>
          <w:trHeight w:val="198"/>
        </w:trPr>
        <w:tc>
          <w:tcPr>
            <w:tcW w:w="24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8"/>
                <w:szCs w:val="18"/>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our workforce rebalancing and site-rationalization charges liabilities during the six months ended September 30,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Rebalancing</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380" w:type="dxa"/>
            <w:vAlign w:val="bottom"/>
          </w:tcPr>
          <w:p>
            <w:pPr>
              <w:spacing w:after="0"/>
              <w:rPr>
                <w:sz w:val="12"/>
                <w:szCs w:val="12"/>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80" w:type="dxa"/>
            <w:vAlign w:val="bottom"/>
            <w:gridSpan w:val="3"/>
            <w:vMerge w:val="continue"/>
          </w:tcPr>
          <w:p>
            <w:pPr>
              <w:spacing w:after="0"/>
              <w:rPr>
                <w:sz w:val="15"/>
                <w:szCs w:val="15"/>
                <w:color w:val="auto"/>
              </w:rPr>
            </w:pPr>
          </w:p>
        </w:tc>
        <w:tc>
          <w:tcPr>
            <w:tcW w:w="12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Leased Assets</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Fiscal 2024 Program</w:t>
            </w:r>
          </w:p>
        </w:tc>
        <w:tc>
          <w:tcPr>
            <w:tcW w:w="3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60" w:type="dxa"/>
            <w:vAlign w:val="bottom"/>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60" w:type="dxa"/>
            <w:vAlign w:val="bottom"/>
            <w:tcBorders>
              <w:top w:val="single" w:sz="8" w:color="auto"/>
              <w:bottom w:val="single" w:sz="8" w:color="auto"/>
            </w:tcBorders>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2025 Program</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6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6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60" w:type="dxa"/>
            <w:vAlign w:val="bottom"/>
            <w:tcBorders>
              <w:top w:val="single" w:sz="8" w:color="auto"/>
              <w:bottom w:val="single" w:sz="8" w:color="auto"/>
            </w:tcBorders>
            <w:shd w:val="clear" w:color="auto" w:fill="CCEEFF"/>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80" w:right="99" w:hanging="330"/>
        <w:spacing w:after="0" w:line="241" w:lineRule="auto"/>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2024 Program excludes workforce rebalancing liabilities inherited from our former Parent of $29 million as of March 31, 2024. Current-year movement excludes cash payments of $7 million and ending balance of $22 million related to actions initiated by our former Parent. Workforce rebalancing liabilities are recorded within other liabilities in the Consolidated Balance Sheet.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SUBSEQUENT EVENT</w:t>
      </w:r>
    </w:p>
    <w:p>
      <w:pPr>
        <w:spacing w:after="0" w:line="256"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The Company completed the sale of the SIS business described in Note 8 – Acquisitions and Divestitures in November 2024. The accounting for the divestiture, including the calculation of the expected gain, has not yet been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FOR THE THREE AND SIX MONTHS ENDED SEPTEMBER 30, 2024</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5"/>
                <w:szCs w:val="15"/>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56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324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3,774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4,073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7,513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243"/>
        </w:trPr>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2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Revenue growth in constant currency</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3"/>
        </w:trPr>
        <w:tc>
          <w:tcPr>
            <w:tcW w:w="32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80" w:right="99" w:hanging="330"/>
        <w:spacing w:after="0" w:line="269" w:lineRule="auto"/>
        <w:tabs>
          <w:tab w:leader="none" w:pos="35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5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 of Information</w:t>
      </w:r>
    </w:p>
    <w:p>
      <w:pPr>
        <w:spacing w:after="0" w:line="229"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 Dynamics</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fiscal year 2025, we have seen continuing demand for information technology services, despite concerns about economic growth and geopolitical tensions. Most economists, including the International Monetary Fund, expect positive macroeconomic growth to continue in calendar years 2024 and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2024, we reported $3.8 billion in revenue, a decline of 7 percent compared to the prior-year period. The revenue decline was largely attributable to actions the Company has taken to reduce low-margin components of its customer relationships. United States revenue declined 13 percent, Japan revenue increased 6 percent, Principal Markets revenue declined 4 percent and Strategic Markets revenue decreased 12 percent, in each case compared to the three months ended September 30, 2023. Net loss of $43 million improved by $99 million versus the prior-year period driven by a combination of lower depreciation expenses resulting from the change of useful life of information technology equipment effective April 1, 2024 (a net year-over-year benefit of $50 million), lower transaction-related costs, and progress on our key initiatives to drive operating efficiencies and increased margins, partially offset by increased software costs.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September 30, 2024, we reported $7.5 billion in revenue, a decline of 9 percent compared to the prior-year period. The revenue decline was largely attributable to actions the Company has taken to reduce low-margin components of its customer relationships, as well as currency effects. United States revenue declined 14 percent, Japan revenue was unchanged (but increased in constant currency), Principal Markets revenue declined 5 percent and Strategic Markets revenue decreased 14 percent, in each case compared to the six months ended September 30, 2023. Net loss of $32 million improved by $251 million versus the prior-year period driven by a combination of lower depreciation expenses resulting from the change of useful life of information technology equipment effective April 1, 2024 (a net year-over-year benefit of $110 million), lower transaction-related costs, progress on our key initiatives to drive operating efficiencies and increased margins, and a vendor credit, partially offset by increased software costs.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made a minor change to its geographic reportable segments effective June 1, 2024 to reflect how the Company manages its operations and measures business performance, transitioning the reporting and management of its operations in Australia/New Zealand from the Principal Markets segment to the Strategic Markets segment. All historical segment information has been recast to reflect this change. The following table presents our reportable segments’ revenue and adjusted EBITDA for the three and six months ended September 30, 2024 and 2023. Segment revenue and revenue growth in constant currency exclude any transactions between the segments.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100" w:type="dxa"/>
            <w:vAlign w:val="bottom"/>
          </w:tcPr>
          <w:p>
            <w:pPr>
              <w:spacing w:after="0"/>
              <w:rPr>
                <w:sz w:val="13"/>
                <w:szCs w:val="13"/>
                <w:color w:val="auto"/>
              </w:rPr>
            </w:pPr>
          </w:p>
        </w:tc>
        <w:tc>
          <w:tcPr>
            <w:tcW w:w="23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w:t>
            </w:r>
          </w:p>
        </w:tc>
        <w:tc>
          <w:tcPr>
            <w:tcW w:w="0" w:type="dxa"/>
            <w:vAlign w:val="bottom"/>
          </w:tcPr>
          <w:p>
            <w:pPr>
              <w:spacing w:after="0"/>
              <w:rPr>
                <w:sz w:val="1"/>
                <w:szCs w:val="1"/>
                <w:color w:val="auto"/>
              </w:rPr>
            </w:pPr>
          </w:p>
        </w:tc>
      </w:tr>
      <w:tr>
        <w:trPr>
          <w:trHeight w:val="173"/>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0" w:type="dxa"/>
            <w:vAlign w:val="bottom"/>
            <w:gridSpan w:val="6"/>
            <w:vMerge w:val="continue"/>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100" w:type="dxa"/>
            <w:vAlign w:val="bottom"/>
          </w:tcPr>
          <w:p>
            <w:pPr>
              <w:spacing w:after="0"/>
              <w:rPr>
                <w:sz w:val="15"/>
                <w:szCs w:val="15"/>
                <w:color w:val="auto"/>
              </w:rPr>
            </w:pPr>
          </w:p>
        </w:tc>
        <w:tc>
          <w:tcPr>
            <w:tcW w:w="2320" w:type="dxa"/>
            <w:vAlign w:val="bottom"/>
            <w:gridSpan w:val="5"/>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09"/>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1,946</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2,272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1,180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2,633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2,768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2,046</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4,073</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7,513</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8,266</w:t>
            </w: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39"/>
        </w:trPr>
        <w:tc>
          <w:tcPr>
            <w:tcW w:w="2060" w:type="dxa"/>
            <w:vAlign w:val="bottom"/>
            <w:gridSpan w:val="2"/>
            <w:shd w:val="clear" w:color="auto" w:fill="CCEEFF"/>
          </w:tcPr>
          <w:p>
            <w:pPr>
              <w:ind w:left="220"/>
              <w:spacing w:after="0" w:line="139" w:lineRule="exact"/>
              <w:rPr>
                <w:sz w:val="20"/>
                <w:szCs w:val="20"/>
                <w:color w:val="auto"/>
              </w:rPr>
            </w:pPr>
            <w:r>
              <w:rPr>
                <w:rFonts w:ascii="Times New Roman" w:cs="Times New Roman" w:eastAsia="Times New Roman" w:hAnsi="Times New Roman"/>
                <w:sz w:val="16"/>
                <w:szCs w:val="16"/>
                <w:b w:val="1"/>
                <w:bCs w:val="1"/>
                <w:color w:val="auto"/>
              </w:rPr>
              <w:t>Revenue growth in</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60" w:type="dxa"/>
            <w:vAlign w:val="bottom"/>
            <w:gridSpan w:val="2"/>
            <w:shd w:val="clear" w:color="auto" w:fill="CCEEFF"/>
          </w:tcPr>
          <w:p>
            <w:pPr>
              <w:ind w:left="220"/>
              <w:spacing w:after="0" w:line="246" w:lineRule="exact"/>
              <w:rPr>
                <w:sz w:val="20"/>
                <w:szCs w:val="20"/>
                <w:color w:val="auto"/>
              </w:rPr>
            </w:pPr>
            <w:r>
              <w:rPr>
                <w:rFonts w:ascii="Times New Roman" w:cs="Times New Roman" w:eastAsia="Times New Roman" w:hAnsi="Times New Roman"/>
                <w:sz w:val="18"/>
                <w:szCs w:val="18"/>
                <w:b w:val="1"/>
                <w:bCs w:val="1"/>
                <w:color w:val="auto"/>
              </w:rPr>
              <w:t>constant currency</w:t>
            </w:r>
            <w:r>
              <w:rPr>
                <w:rFonts w:ascii="Times New Roman" w:cs="Times New Roman" w:eastAsia="Times New Roman" w:hAnsi="Times New Roman"/>
                <w:sz w:val="26"/>
                <w:szCs w:val="26"/>
                <w:b w:val="1"/>
                <w:bCs w:val="1"/>
                <w:color w:val="auto"/>
                <w:vertAlign w:val="superscript"/>
              </w:rPr>
              <w:t>(1)</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66"/>
        </w:trPr>
        <w:tc>
          <w:tcPr>
            <w:tcW w:w="2060" w:type="dxa"/>
            <w:vAlign w:val="bottom"/>
            <w:gridSpan w:val="2"/>
          </w:tcPr>
          <w:p>
            <w:pPr>
              <w:ind w:left="220"/>
              <w:spacing w:after="0" w:line="166" w:lineRule="exact"/>
              <w:rPr>
                <w:sz w:val="20"/>
                <w:szCs w:val="20"/>
                <w:color w:val="auto"/>
              </w:rPr>
            </w:pPr>
            <w:r>
              <w:rPr>
                <w:rFonts w:ascii="Times New Roman" w:cs="Times New Roman" w:eastAsia="Times New Roman" w:hAnsi="Times New Roman"/>
                <w:sz w:val="18"/>
                <w:szCs w:val="18"/>
                <w:b w:val="1"/>
                <w:bCs w:val="1"/>
                <w:color w:val="auto"/>
              </w:rPr>
              <w:t>Total adjusted</w:t>
            </w:r>
          </w:p>
        </w:tc>
        <w:tc>
          <w:tcPr>
            <w:tcW w:w="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tcPr>
          <w:p>
            <w:pPr>
              <w:jc w:val="right"/>
              <w:ind w:right="193"/>
              <w:spacing w:after="0"/>
              <w:rPr>
                <w:sz w:val="20"/>
                <w:szCs w:val="20"/>
                <w:color w:val="auto"/>
              </w:rPr>
            </w:pPr>
            <w:r>
              <w:rPr>
                <w:rFonts w:ascii="Times New Roman" w:cs="Times New Roman" w:eastAsia="Times New Roman" w:hAnsi="Times New Roman"/>
                <w:sz w:val="18"/>
                <w:szCs w:val="18"/>
                <w:color w:val="auto"/>
              </w:rPr>
              <w:t>1,113</w:t>
            </w:r>
          </w:p>
        </w:tc>
        <w:tc>
          <w:tcPr>
            <w:tcW w:w="14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1,186</w:t>
            </w:r>
          </w:p>
        </w:tc>
        <w:tc>
          <w:tcPr>
            <w:tcW w:w="140" w:type="dxa"/>
            <w:vAlign w:val="bottom"/>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2060" w:type="dxa"/>
            <w:vAlign w:val="bottom"/>
            <w:gridSpan w:val="2"/>
          </w:tcPr>
          <w:p>
            <w:pPr>
              <w:ind w:left="220"/>
              <w:spacing w:after="0" w:line="232"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6"/>
                <w:szCs w:val="26"/>
                <w:b w:val="1"/>
                <w:bCs w:val="1"/>
                <w:color w:val="auto"/>
                <w:vertAlign w:val="superscript"/>
              </w:rPr>
              <w:t>(1)</w:t>
            </w:r>
          </w:p>
        </w:tc>
        <w:tc>
          <w:tcPr>
            <w:tcW w:w="1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 w:lineRule="exact"/>
        <w:rPr>
          <w:sz w:val="20"/>
          <w:szCs w:val="20"/>
          <w:color w:val="auto"/>
        </w:rPr>
      </w:pPr>
    </w:p>
    <w:p>
      <w:pPr>
        <w:ind w:left="380" w:right="339" w:hanging="330"/>
        <w:spacing w:after="0" w:line="22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380" w:hanging="330"/>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spacing w:after="0" w:line="19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also present certain non-GAAP financial measures to provide useful supplemental information to investors. We provide these non-GAAP financial measures as we believe it enhances visibility to underlying results and the impact of management decisions on operational performance, enables better comparison to peer companies and allows us to provide a long-term strategic view of the business going forward.</w:t>
      </w:r>
    </w:p>
    <w:p>
      <w:pPr>
        <w:spacing w:after="0" w:line="183" w:lineRule="exact"/>
        <w:rPr>
          <w:sz w:val="20"/>
          <w:szCs w:val="20"/>
          <w:color w:val="auto"/>
        </w:rPr>
      </w:pPr>
    </w:p>
    <w:p>
      <w:pPr>
        <w:ind w:left="60" w:right="559" w:firstLine="648"/>
        <w:spacing w:after="0" w:line="289" w:lineRule="auto"/>
        <w:rPr>
          <w:sz w:val="20"/>
          <w:szCs w:val="20"/>
          <w:color w:val="auto"/>
        </w:rPr>
      </w:pPr>
      <w:r>
        <w:rPr>
          <w:rFonts w:ascii="Times New Roman" w:cs="Times New Roman" w:eastAsia="Times New Roman" w:hAnsi="Times New Roman"/>
          <w:sz w:val="17"/>
          <w:szCs w:val="17"/>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revenue can be viewed without the effect of fluctuations in currency exchange rates, which is consistent with how management evaluates our revenue results and trends.</w:t>
      </w:r>
    </w:p>
    <w:p>
      <w:pPr>
        <w:spacing w:after="0" w:line="16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w:t>
      </w:r>
    </w:p>
    <w:p>
      <w:pPr>
        <w:spacing w:after="0" w:line="188"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these measures for comparative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8"/>
        </w:trPr>
        <w:tc>
          <w:tcPr>
            <w:tcW w:w="43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equipment and capitalized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198"/>
        </w:trPr>
        <w:tc>
          <w:tcPr>
            <w:tcW w:w="43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Workforce rebalancing charges incurred prior to March</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31, 2024</w:t>
            </w: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8"/>
        </w:trPr>
        <w:tc>
          <w:tcPr>
            <w:tcW w:w="43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 and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terminations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80" w:right="419" w:hanging="330"/>
        <w:spacing w:after="0" w:line="24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 For the three and six months ended September 30, 2023, other adjustments also include an adjustment to reduce amortization expense for the amount already included in transaction-related costs above.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8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1,946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99" w:firstLine="648"/>
        <w:spacing w:after="0" w:line="289" w:lineRule="auto"/>
        <w:rPr>
          <w:sz w:val="20"/>
          <w:szCs w:val="20"/>
          <w:color w:val="auto"/>
        </w:rPr>
      </w:pPr>
      <w:r>
        <w:rPr>
          <w:rFonts w:ascii="Times New Roman" w:cs="Times New Roman" w:eastAsia="Times New Roman" w:hAnsi="Times New Roman"/>
          <w:sz w:val="17"/>
          <w:szCs w:val="17"/>
          <w:color w:val="auto"/>
        </w:rPr>
        <w:t>For the three months ended September 30, 2024, United States revenue of $960 million decreased 13 percent compared to the prior-year quarter, driven by the Company’s efforts to reduce certain low-margin revenues and the expiration of certain low- and negative-margin contracts entered into before the Spin-off. Adjusted EBITDA decreased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$17 million from the prior-year quarter, primarily driven by the impact of the inclusion of workforce rebalancing charges in adjusted EBITDA in fiscal 2025.</w:t>
      </w:r>
    </w:p>
    <w:p>
      <w:pPr>
        <w:spacing w:after="0" w:line="162"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September 30, 2024, United States revenue of $1.9 billion decreased 14 percent compared to the prior-year period, driven by the Company’s efforts to reduce certain low-margin revenues and the expiration of certain low- and negative-margin contracts entered into before the Spin-off. Adjusted EBITDA decreased $120 million from the prior-year period, primarily driven by lower revenue and the impact of the inclusion of workforce rebalancing charges in adjusted EBITDA in fiscal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26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80" w:type="dxa"/>
            <w:vAlign w:val="bottom"/>
            <w:gridSpan w:val="5"/>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7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Japan revenue of $604 million increased 6 percent compared to the prior-year quarter, driven by increased Kyndryl Consult revenue. Adjusted EBITDA increased $10 million from the prior-year quarter, primarily driven by the increase in revenue.</w:t>
      </w:r>
    </w:p>
    <w:p>
      <w:pPr>
        <w:spacing w:after="0" w:line="176"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September 30, 2024, Japan revenue of $1.2 billion was unchanged compared to the prior-year period, and increased 7 percent in constant currency. Adjusted EBITDA decreased $7 million from the prior-year period, primarily driven by unfavorable currency movements that impacted both non-yen-denominated costs and the translation of earnings into U.S. dollars.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26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1,318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2,633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Principal Markets revenue of $1.3 billion decreased 4 percent compared to the prior-year quarter, driven by actions the Company has taken to reduce equipment sales and other low-margin components of its customer relationships. Adjusted EBITDA increased $18 million from the prior-year quarter, primarily due to increased operating efficiencies and higher margins on recent signings.</w:t>
      </w:r>
    </w:p>
    <w:p>
      <w:pPr>
        <w:spacing w:after="0" w:line="180" w:lineRule="exact"/>
        <w:rPr>
          <w:sz w:val="20"/>
          <w:szCs w:val="20"/>
          <w:color w:val="auto"/>
        </w:rPr>
      </w:pPr>
    </w:p>
    <w:p>
      <w:pPr>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For the six months ended September 30, 2024, Principal Markets revenue of $2.6 billion decreased 5 percent compared to the prior-year period, driven by actions the Company has taken to reduce equipment sales and other low-margin components of its customer relationships. Adjusted EBITDA increased $108 million from the prior-year period, primarily due to increased operating efficiencies and higher margins on recent signings, as well as a vendor credit.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36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892</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1,761</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Strategic Markets revenue of $892 million decreased 12 percent compared to the prior-year quarter. The revenue decline was largely attributable to actions the Company has taken to reduce equipment sales and other low-margin components of its customer relationships. Adjusted EBITDA decreased $28 million from the prior-year quarter primarily due to revenue declines and the impact of the inclusion of workforce rebalancing charges in adjusted EBITDA in fiscal 2025.</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September 30, 2024, Strategic Markets revenue of $1.8 billion decreased 14 percent compared to the prior-year period. The revenue decline was largely attributable to actions the Company has taken to reduce equipment sales and other low-margin components of its customer relationships. Adjusted EBITDA decreased $57 million from the prior-year period primarily due to revenue declines and the impact of the inclusion of workforce rebalancing charges in adjusted EBITDA in fiscal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Corporate and other had an adjusted EBITDA loss of $22 million in the three months ended September 30, 2024, compared to a loss of $21 million in the three months ended September 30, 2023. Corporate and other had an adjusted EBITDA loss of $42 million in the six months ended September 30, 2024, compared to a loss of $45 million in the six months ended September 30,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2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09"/>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0" w:type="dxa"/>
            <w:vAlign w:val="bottom"/>
          </w:tcPr>
          <w:p>
            <w:pPr>
              <w:spacing w:after="0"/>
              <w:rPr>
                <w:sz w:val="1"/>
                <w:szCs w:val="1"/>
                <w:color w:val="auto"/>
              </w:rPr>
            </w:pPr>
          </w:p>
        </w:tc>
      </w:tr>
      <w:tr>
        <w:trPr>
          <w:trHeight w:val="228"/>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Cost of services was 80.1% of revenue in the three months ended September 30, 2024, compared to 84.0% in the three months ended September 30, 2023, driven by lower depreciation expenses, increased operating efficiencies and higher margins on recent signings. Selling, general and administrative expenses were 17.1% of revenue in the three months ended September 30, 2024 compared to 15.6% in the prior-year quarter, primarily due to lower revenue. Interest expense was 0.7% of revenue in the three months ended September 30, 2024 compared to 0.8% in the prior-year quarter. Other expense was 1.2% of revenue in the three months ended September 30, 2024 compared to 0.2% in the prior-year quarter, driven by currency-related hedging losses recorded this year.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174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28"/>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Cost of services was 79.3% of revenue in the six months ended September 30, 2024, compared to 83.1% in the six months ended September 30, 2023, driven by lower depreciation expenses, increased operating efficiencies, higher margins on recent signings, and a vendor credit. Selling, general and administrative expenses were 17.4% of revenue in the six months ended September 30, 2024 compared to 16.4% in the prior-year period, driven by lower revenue, partially offset by the release of a legal reserve. Workforce rebalancing charges were 1.0% of revenue in the six months ended September 30, 2024 versus 1.2% of revenue in the prior-year period. Interest expense was 0.7% of revenue in the six months ended September 30, 2024 and 2023. Other expense was 0.6% of revenue in the six months ended September 30, 2024 compared to 0.2% in the prior-year period, driven by currency-related hedging losses recorded this year.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Costs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classifies certain expenses and benefits related to the Separation, acquisitions and divestitures (if any) as “transaction-related costs” in the Consolidated Income Statement. Transaction-related costs include employee retention expenses, information technology costs, marketing expenses to establish the Kyndryl brand, legal, accounting, consulting and other professional service costs required, pre-Separation and post-Separation, to prepare for and execute the Separation, costs and benefits resulting from settlements with our former Parent associated with pre-Separation and Separation-related matters, and other costs related to contract and supplier novation and integration.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Workforce Rebalancing and Site-Rationalization Charges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2025 Program</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During the six months ended September 30, 2024, management initiated actions to reduce the Company’s overall cost structure and increase our operating efficiency. These actions will result in workforce rebalancing charges, charges related to ceasing to use leased and owned fixed assets, and charges related to lease terminations. During the three months ended September 30, 2024, the Company recorded $39 million in workforce rebalancing charges and $10 million in charges related to ceasing to use leased and owned fixed assets including lease termination charges. During the six months ended September 30, 2024, the Company recorded $74 million in workforce rebalancing charges and $20 million in charges related to ceasing to use leased and owned fixed assets, including lease termination charges.</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Total cash outlays for this program are expected to be $140 million, of which approximately $60 million has been paid through September 30, 2024 and approximately $50 million is expected to be paid through the end of fiscal year 2025, and the remainder thereafter. Management expects that these workforce rebalancing and site-rationalization activities will reduce payroll costs, rent expenses and depreciation of property and equipment by more than $200 million in fiscal year 2026. There can be no guarantee that we will achieve our expected cost savings.</w:t>
      </w:r>
    </w:p>
    <w:p>
      <w:pPr>
        <w:spacing w:after="0" w:line="183"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will continue to seek opportunities to improve operational efficiency and reduce costs, which may result in additional charges in future periods. For additional information, see Note 14 – Workforce Rebalancing and Site-Rationalization Charges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2024 Program</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March 31, 2023, management initiated certain actions to reduce the Company’s overall cost structure and increase our operating efficiency, which continued through the year ended March 31, 2024. These actions resulted in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During the three months ended September 30, 2023, the Company recognized $39 million in workforce rebalancing charges. During the six months ended September 30, 2023, the Company recognized $97 million in workforce rebalancing charges and $10 million in charges related to ceasing to use leased and owned fixed assets and lease termination charges.</w:t>
      </w:r>
    </w:p>
    <w:p>
      <w:pPr>
        <w:spacing w:after="0" w:line="19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Total cash outlays for this program were $300 million, of which approximately $250 million has been paid through September 30, 2024 (including approximately $50 million of contractual payments toward leased assets we have ceased to use) and approximately $15 million is expected to be paid in fiscal year 2025. Management estimates that these workforce rebalancing and site-rationalization activities will reduce payroll costs, rent expenses and depreciation of property and equipment by approximately $400 million in fiscal year 2025. There can be no guarantee that we will achieve our expected cost savings.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months ended September 30, 2024 was $38 million of expense, compared to $33 million of expense for the three months ended September 30, 2023. Our income tax expense for the three months ended September 30, 2024 and 2023 was primarily related to taxes on foreign operations and valuation allowances recorded in certain jurisdictions against deferred tax assets that are not more likely than not to be realized.</w:t>
      </w:r>
    </w:p>
    <w:p>
      <w:pPr>
        <w:spacing w:after="0" w:line="180"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six months ended September 30, 2024 was $91 million of expense, compared to $65 million of expense for the six months ended September 30, 2023. Our income tax expense for the six months ended September 30, 2024 and 2023 was primarily related to taxes on foreign operations and valuation allowances recorded in certain jurisdictions against deferred tax assets that are not more likely than not to be realized.</w:t>
      </w:r>
    </w:p>
    <w:p>
      <w:pPr>
        <w:spacing w:after="0" w:line="18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Dynamics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Total assets of $10.4 billion decreased by $194 million (and decreased by $363 million adjusted for currency) from March 31, 2024, primarily driven by: a decrease in cash and cash equivalents of $228 million mainly due to payments for annual license agreements and annual incentives; and a decrease of $158 million in accounts receivable mainly due to lower revenue; partially offset by an increase of $109 million in prepaid expenses and other current assets mainly due to prepayment for software subscriptions and currency effects.</w:t>
      </w:r>
    </w:p>
    <w:p>
      <w:pPr>
        <w:spacing w:after="0" w:line="183"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Total liabilities of $9.2 billion decreased by $244 million (and decreased by $375 million adjusted for currency) from March 31, 2024, primarily as a result of: a decrease in accounts payable of $168 million due to lower costs; a decrease in accrued contract costs of $83 million due to lower volumes; and a decrease in accrued compensation 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benefits of $71 million due to payments of annual incentives, partially offset by currency effects. Total equity of $1.2 billion increased by $50 million from March 31, 2024, principally due to our comprehensive income in the period.</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$101 million in the six months ended September 30, 2024, compared to a net cash use of $127 million in the prior-year period mainly due to higher margins.</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$241 million in the six months ended September 30, 2024, compared to a net cash use of $208 million in the prior-year period due to the acquisition of Skytap.</w:t>
      </w:r>
    </w:p>
    <w:p>
      <w:pPr>
        <w:spacing w:after="0" w:line="162"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totaled $101 million in the six months ended September 30, 2024, compared to net cash used in financing activities of $80 million in the prior-year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signings for the three and six months ended September 30,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Signings increased by $3.2 billion in the three months ended September 30, 2024, or 132%, compared to the prior-year quarter, and signings increased by $3.5 billion in the six months ended September 30, 2024, or 67%, compared to the six months ended September 30, 2023, driven by growth in each of our four operating segments. Management uses signings as a tool to monitor the performance of the business including the business’ ability to attract new customers and sell additional scope into our existing customer base.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the Company’s revolving credit agreement entered into in October 2021 will be sufficient to meet our anticipated cash needs for at least the next twelve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w:t>
      </w:r>
    </w:p>
    <w:p>
      <w:pPr>
        <w:spacing w:after="0" w:line="18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w:t>
      </w:r>
    </w:p>
    <w:p>
      <w:pPr>
        <w:spacing w:after="0" w:line="180"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Initial Notes and the 2034 Notes are subject to customary affirmative covenants, negative covenants and events of default for financings of this type and are redeemable at our option in a customary manner.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(“SOFR”). Interest rates on borrowings under the Revolving Credit Agreement will be based on prevailing market interest rates, plus a margin, as further described in the Revolving Credit Agreement. As of September 30, 2024, there has been no drawdown on the Revolving Credit Agreement.</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arrangements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discretion to purchase such incremental amount. The second agreement was executed in June 2022 with a separate third-party financial institution and renews automatically on its anniversary date, unless either party elects not to extend.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net proceeds from these agreements are reflected as cash provided by operating activities in the Consolidated Statement of Cash Flows. Gross proceeds from receivables sold to third parties under the aforementioned programs were $1.1 billion and $1.9 billion for the three and six months ended September 30, 2024, respectively, and $913 million and $2.1 billion for the three and six months ended September 30, 2023, respectively. The fees associated with the transfers of receivables were $10 million and $20 million for the three and six months ended September 30, 2024, respectively, and $12 million and $28 million for the three and six months ended September 30, 2023,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Financing Program</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is not a party to the arrangement between its suppliers and the financial institution. The Company or the financial institution may terminate the agreement upon at least 180 days’ notice. The Company’s obligations under this program continue to be recognized as accounts payable in the Consolidated Balance Sheet. The obligations outstanding under this program were immaterial at September 30, 2024 and March 31, 2024.</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2024 for more information; we refer to the Annual Report on Form 10-K for the fiscal year ended March 31, 2024 as the “Form 10-K”.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“aim,” “anticipate,” “believe,” “contemplate,” “could,” “estimate,” “expect,” “forecast,” “intend,” “may,” “opportunity,” “plan,” “position,” “predict,” “project,” “should,” “seek,” “target,” “will,” “would”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92"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additional services to customers;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 and partners;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address and adapt to technological developments and trends;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economic, political, public health and other conditions;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720" w:right="43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acquisitions and dispositions, including integration challenges, failure to achieve objectives, the assumption of liabilities and higher debt levels;</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with government customers;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retain and extend necessary licenses;</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goodwill or long-lived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data governance and privacy;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non-compliance with legal and regulatory requirements;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 and potential indemnification obligations;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market liquidity conditions and customer credit risk on receivables;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spin-off from IBM;</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deficiencies identified in our information technology controls;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Additional risks and uncertainties include, among others, those risks and uncertainties described in the “Risk Factors” section of our Form 10-K for the fiscal year ended March 31, 2024, as such factors may be updated from time to time in the Company’s subsequent filings with the SEC. Any forward-looking statement in this report speaks only as of the date on which it is made. Except as required by law, the Company assumes no obligation to update or revise any forward-looking statements, whether as a result of new information, future events or otherwise.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For our disclosures about market risk, see the information under the heading “Quantitative and Qualitative Disclosures About Market Risk” in the Form 10-K. There have been no material changes to the Company’s disclosure about market risk in the Form 10-K.</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not effective as of the end of the period covered by this report due to a material weakness in internal control over financial reporting in the area of our information technology general controls (“ITGCs”) that was disclosed in Part II, Item 9A of the Company’s Form 10-K. The deficiencies in ITGCs were related to access and program development and change management controls associated with the Company’s large-scale migration in a compressed timeframe of its internal operating systems to a new enterprise resource planning system, which was required to replace the systems temporarily being made available to the Company by our former Parent following our Spin-off. These control deficiencies did not result in a misstatement to the annual or interim consolidated financial statements previously filed or included in this Form 10-Q.</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 13a-15(f) of the Exchange Act) that occurred during the quarter ended September 30, 2024 that have materially affected, or are reasonably likely to materially affect, the Company’s internal control over financial reporting other than the ongoing remediation of the ITGC deficiencies described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has substantially completed the design and implementation, and has begun testing the operating effectiveness, of controls to address ITGC deficiencies that were previously described in Part II, Item 9A of the Company’s Form 10-K. These controls include but are not limited to (i) implementing and/or formalizing additional controls across our information technology environment, including user access and segregation of duty controls, program development and change management controls, and certain computer operations controls, and (ii) training of relevant personnel on the design and operation of any new or modified ITGCs. The deficiencies will not be considered fully remediated until the applicable controls operate for a sufficient period of time and management has concluded, through testing, that these controls are operating effectively. The remediation plan is subject to ongoing management review, as well as oversight by the Audit Committee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11 – Commitments and Contingencies, in the notes to consolidated financial statements in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Form 10-K for the year ended March 31, 2024. There have been no material changes with respect to the risk factors disclosed in the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the Company’s directors or executive officers adopted, terminated or modified a “Rule 10b5-1 trading arrangement” or a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7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632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Separation and Distribution Agreement, dated as of November 2, 2021, by and between</w:t>
              </w:r>
            </w:hyperlink>
          </w:p>
        </w:tc>
        <w:tc>
          <w:tcPr>
            <w:tcW w:w="420" w:type="dxa"/>
            <w:vAlign w:val="bottom"/>
            <w:gridSpan w:val="10"/>
          </w:tcPr>
          <w:p>
            <w:pPr>
              <w:spacing w:after="0"/>
              <w:rPr>
                <w:sz w:val="16"/>
                <w:szCs w:val="16"/>
                <w:color w:val="auto"/>
              </w:rPr>
            </w:pPr>
          </w:p>
        </w:tc>
      </w:tr>
      <w:tr>
        <w:trPr>
          <w:trHeight w:val="196"/>
        </w:trPr>
        <w:tc>
          <w:tcPr>
            <w:tcW w:w="1720" w:type="dxa"/>
            <w:vAlign w:val="bottom"/>
          </w:tcPr>
          <w:p>
            <w:pPr>
              <w:spacing w:after="0"/>
              <w:rPr>
                <w:sz w:val="17"/>
                <w:szCs w:val="17"/>
                <w:color w:val="auto"/>
              </w:rPr>
            </w:pPr>
          </w:p>
        </w:tc>
        <w:tc>
          <w:tcPr>
            <w:tcW w:w="6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International Business Machines Corporation and the registrant, was filed as Exhibit 2.1 to</w:t>
              </w:r>
            </w:hyperlink>
          </w:p>
        </w:tc>
        <w:tc>
          <w:tcPr>
            <w:tcW w:w="200" w:type="dxa"/>
            <w:vAlign w:val="bottom"/>
            <w:gridSpan w:val="5"/>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the registrant’s Current Report on Form 8-K filed on November 4, 2021, and is hereby</w:t>
              </w:r>
            </w:hyperlink>
          </w:p>
        </w:tc>
        <w:tc>
          <w:tcPr>
            <w:tcW w:w="520" w:type="dxa"/>
            <w:vAlign w:val="bottom"/>
            <w:gridSpan w:val="11"/>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incorporated by reference.</w:t>
              </w:r>
            </w:hyperlink>
          </w:p>
        </w:tc>
        <w:tc>
          <w:tcPr>
            <w:tcW w:w="4840" w:type="dxa"/>
            <w:vAlign w:val="bottom"/>
            <w:gridSpan w:val="14"/>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Amended and Restated Certificate of Incorporation of the registrant was filed as Exhibit 3.1</w:t>
              </w:r>
            </w:hyperlink>
          </w:p>
        </w:tc>
        <w:tc>
          <w:tcPr>
            <w:tcW w:w="120" w:type="dxa"/>
            <w:vAlign w:val="bottom"/>
            <w:gridSpan w:val="3"/>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6"/>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to the registrant’s Current Report on Form 8-K filed on November 4, 2021, and is hereby</w:t>
              </w:r>
            </w:hyperlink>
          </w:p>
        </w:tc>
      </w:tr>
      <w:tr>
        <w:trPr>
          <w:trHeight w:val="196"/>
        </w:trPr>
        <w:tc>
          <w:tcPr>
            <w:tcW w:w="17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incorporated by reference.</w:t>
              </w:r>
            </w:hyperlink>
          </w:p>
        </w:tc>
        <w:tc>
          <w:tcPr>
            <w:tcW w:w="4500" w:type="dxa"/>
            <w:vAlign w:val="bottom"/>
            <w:tcBorders>
              <w:top w:val="single" w:sz="8" w:color="0000EE"/>
            </w:tcBorders>
            <w:gridSpan w:val="6"/>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Amended and Restated Bylaws of the registrant, effective January 25, 2023, was filed as</w:t>
              </w:r>
            </w:hyperlink>
          </w:p>
        </w:tc>
        <w:tc>
          <w:tcPr>
            <w:tcW w:w="360" w:type="dxa"/>
            <w:vAlign w:val="bottom"/>
            <w:gridSpan w:val="9"/>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6"/>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Exhibit 3.1 to the registrant’s Current Report on Form 8-K filed on January 27, 2023, and is</w:t>
              </w:r>
            </w:hyperlink>
          </w:p>
        </w:tc>
      </w:tr>
      <w:tr>
        <w:trPr>
          <w:trHeight w:val="196"/>
        </w:trPr>
        <w:tc>
          <w:tcPr>
            <w:tcW w:w="1720" w:type="dxa"/>
            <w:vAlign w:val="bottom"/>
          </w:tcPr>
          <w:p>
            <w:pPr>
              <w:spacing w:after="0"/>
              <w:rPr>
                <w:sz w:val="17"/>
                <w:szCs w:val="17"/>
                <w:color w:val="auto"/>
              </w:rPr>
            </w:pPr>
          </w:p>
        </w:tc>
        <w:tc>
          <w:tcPr>
            <w:tcW w:w="66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hereby incorporated by reference</w:t>
              </w:r>
              <w:r>
                <w:rPr>
                  <w:rFonts w:ascii="Times New Roman" w:cs="Times New Roman" w:eastAsia="Times New Roman" w:hAnsi="Times New Roman"/>
                  <w:sz w:val="18"/>
                  <w:szCs w:val="18"/>
                  <w:color w:val="000000"/>
                </w:rPr>
                <w:t>.</w:t>
              </w:r>
            </w:hyperlink>
          </w:p>
        </w:tc>
        <w:tc>
          <w:tcPr>
            <w:tcW w:w="140" w:type="dxa"/>
            <w:vAlign w:val="bottom"/>
            <w:gridSpan w:val="4"/>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6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Fourth Amendment to Amended and Restated Receivable Purchase Agreement, dated July</w:t>
            </w:r>
          </w:p>
        </w:tc>
      </w:tr>
      <w:tr>
        <w:trPr>
          <w:trHeight w:val="196"/>
        </w:trPr>
        <w:tc>
          <w:tcPr>
            <w:tcW w:w="1720" w:type="dxa"/>
            <w:vAlign w:val="bottom"/>
          </w:tcPr>
          <w:p>
            <w:pPr>
              <w:spacing w:after="0"/>
              <w:rPr>
                <w:sz w:val="17"/>
                <w:szCs w:val="17"/>
                <w:color w:val="auto"/>
              </w:rPr>
            </w:pPr>
          </w:p>
        </w:tc>
        <w:tc>
          <w:tcPr>
            <w:tcW w:w="65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26, 2024, by and among Banco Santander S.A., Kyndryl, Inc. and Kyndryl Holdings, Inc.</w:t>
            </w:r>
          </w:p>
        </w:tc>
        <w:tc>
          <w:tcPr>
            <w:tcW w:w="220" w:type="dxa"/>
            <w:vAlign w:val="bottom"/>
            <w:gridSpan w:val="6"/>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4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(filed herewith)</w:t>
            </w:r>
          </w:p>
        </w:tc>
        <w:tc>
          <w:tcPr>
            <w:tcW w:w="300" w:type="dxa"/>
            <w:vAlign w:val="bottom"/>
            <w:gridSpan w:val="7"/>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302 of the Sarbanes-Oxley</w:t>
            </w:r>
          </w:p>
        </w:tc>
      </w:tr>
      <w:tr>
        <w:trPr>
          <w:trHeight w:val="196"/>
        </w:trPr>
        <w:tc>
          <w:tcPr>
            <w:tcW w:w="1720" w:type="dxa"/>
            <w:vAlign w:val="bottom"/>
          </w:tcPr>
          <w:p>
            <w:pPr>
              <w:spacing w:after="0"/>
              <w:rPr>
                <w:sz w:val="17"/>
                <w:szCs w:val="17"/>
                <w:color w:val="auto"/>
              </w:rPr>
            </w:pPr>
          </w:p>
        </w:tc>
        <w:tc>
          <w:tcPr>
            <w:tcW w:w="67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4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w:t>
            </w:r>
          </w:p>
        </w:tc>
      </w:tr>
      <w:tr>
        <w:trPr>
          <w:trHeight w:val="196"/>
        </w:trPr>
        <w:tc>
          <w:tcPr>
            <w:tcW w:w="1720" w:type="dxa"/>
            <w:vAlign w:val="bottom"/>
          </w:tcPr>
          <w:p>
            <w:pPr>
              <w:spacing w:after="0"/>
              <w:rPr>
                <w:sz w:val="17"/>
                <w:szCs w:val="17"/>
                <w:color w:val="auto"/>
              </w:rPr>
            </w:pPr>
          </w:p>
        </w:tc>
        <w:tc>
          <w:tcPr>
            <w:tcW w:w="66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100" w:type="dxa"/>
            <w:vAlign w:val="bottom"/>
            <w:gridSpan w:val="2"/>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40" w:type="dxa"/>
            <w:vAlign w:val="bottom"/>
            <w:gridSpan w:val="12"/>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906 of the Sarbanes-Oxley</w:t>
            </w:r>
          </w:p>
        </w:tc>
      </w:tr>
      <w:tr>
        <w:trPr>
          <w:trHeight w:val="196"/>
        </w:trPr>
        <w:tc>
          <w:tcPr>
            <w:tcW w:w="17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430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w:t>
            </w:r>
          </w:p>
        </w:tc>
      </w:tr>
      <w:tr>
        <w:trPr>
          <w:trHeight w:val="196"/>
        </w:trPr>
        <w:tc>
          <w:tcPr>
            <w:tcW w:w="17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4240" w:type="dxa"/>
            <w:vAlign w:val="bottom"/>
            <w:tcBorders>
              <w:top w:val="single" w:sz="8" w:color="0000EE"/>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1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w:t>
            </w:r>
          </w:p>
        </w:tc>
      </w:tr>
      <w:tr>
        <w:trPr>
          <w:trHeight w:val="216"/>
        </w:trPr>
        <w:tc>
          <w:tcPr>
            <w:tcW w:w="1720" w:type="dxa"/>
            <w:vAlign w:val="bottom"/>
          </w:tcPr>
          <w:p>
            <w:pPr>
              <w:spacing w:after="0"/>
              <w:rPr>
                <w:sz w:val="18"/>
                <w:szCs w:val="18"/>
                <w:color w:val="auto"/>
              </w:rPr>
            </w:pP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r>
      <w:tr>
        <w:trPr>
          <w:trHeight w:val="234"/>
        </w:trPr>
        <w:tc>
          <w:tcPr>
            <w:tcW w:w="1720" w:type="dxa"/>
            <w:vAlign w:val="bottom"/>
          </w:tcPr>
          <w:p>
            <w:pPr>
              <w:spacing w:after="0"/>
              <w:rPr>
                <w:sz w:val="20"/>
                <w:szCs w:val="20"/>
                <w:color w:val="auto"/>
              </w:rPr>
            </w:pP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Interactive Data File because its XBRL tags are embedded within the Inline XBRL document</w:t>
            </w: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27686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Vineet Khurana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Vineet Khurana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Senior Vice President and Global Controller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 and Authorized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AMENDMENT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AMENDED AND RESTATED RECEIVABLES PURCHASE AGREEMENT</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THIS FOURTH AMENDMENT TO AMENDED AND RESTATED RECEIVABLES PURCHASE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as of July 26, 2024 (the “</w:t>
      </w:r>
      <w:r>
        <w:rPr>
          <w:rFonts w:ascii="Times New Roman" w:cs="Times New Roman" w:eastAsia="Times New Roman" w:hAnsi="Times New Roman"/>
          <w:sz w:val="21"/>
          <w:szCs w:val="21"/>
          <w:u w:val="single" w:color="auto"/>
          <w:color w:val="auto"/>
        </w:rPr>
        <w:t>Amendment Effective Date</w:t>
      </w:r>
      <w:r>
        <w:rPr>
          <w:rFonts w:ascii="Times New Roman" w:cs="Times New Roman" w:eastAsia="Times New Roman" w:hAnsi="Times New Roman"/>
          <w:sz w:val="21"/>
          <w:szCs w:val="21"/>
          <w:color w:val="auto"/>
        </w:rPr>
        <w:t>”), is entered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into by and among Banco Santander S.A. (“</w:t>
      </w:r>
      <w:r>
        <w:rPr>
          <w:rFonts w:ascii="Times New Roman" w:cs="Times New Roman" w:eastAsia="Times New Roman" w:hAnsi="Times New Roman"/>
          <w:sz w:val="21"/>
          <w:szCs w:val="21"/>
          <w:u w:val="single" w:color="auto"/>
          <w:color w:val="auto"/>
        </w:rPr>
        <w:t>Santander</w:t>
      </w:r>
      <w:r>
        <w:rPr>
          <w:rFonts w:ascii="Times New Roman" w:cs="Times New Roman" w:eastAsia="Times New Roman" w:hAnsi="Times New Roman"/>
          <w:sz w:val="21"/>
          <w:szCs w:val="21"/>
          <w:color w:val="auto"/>
        </w:rPr>
        <w:t>”), Kyndryl, Inc., a Delaware corporation (“</w:t>
      </w:r>
      <w:r>
        <w:rPr>
          <w:rFonts w:ascii="Times New Roman" w:cs="Times New Roman" w:eastAsia="Times New Roman" w:hAnsi="Times New Roman"/>
          <w:sz w:val="21"/>
          <w:szCs w:val="21"/>
          <w:u w:val="single" w:color="auto"/>
          <w:color w:val="auto"/>
        </w:rPr>
        <w:t>Kyndryl</w:t>
      </w:r>
      <w:r>
        <w:rPr>
          <w:rFonts w:ascii="Times New Roman" w:cs="Times New Roman" w:eastAsia="Times New Roman" w:hAnsi="Times New Roman"/>
          <w:sz w:val="21"/>
          <w:szCs w:val="21"/>
          <w:color w:val="auto"/>
        </w:rPr>
        <w:t>”), and Kyndryl Holdings Inc., a Delaware corporation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This Amendment amends that certain Amended and Restated Receivables Purchase Agreement, dated as of October 28, 2021, as amended by the First Amendment to Amended and Restated Receivables Purchase Agreement dated January 26, 2022, the Second Amendment to Amended and Restated Receivables Purchase Agreement dated September 21, 2022, and the Third Amendment to Amended and Restated Receivables Purchase Agreement dated December 21, 2022 (collectively,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Kyndryl, Santander, and solely for purposes of Section 13.19 thereof, Parent.</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good and valuable consideration, the receipt and sufficiency of which are hereby acknowledged, the parties hereby agree as follows:</w:t>
      </w:r>
    </w:p>
    <w:p>
      <w:pPr>
        <w:spacing w:after="0" w:line="154" w:lineRule="exact"/>
        <w:rPr>
          <w:sz w:val="20"/>
          <w:szCs w:val="20"/>
          <w:color w:val="auto"/>
        </w:rPr>
      </w:pPr>
    </w:p>
    <w:p>
      <w:pPr>
        <w:ind w:firstLine="656"/>
        <w:spacing w:after="0" w:line="262" w:lineRule="auto"/>
        <w:tabs>
          <w:tab w:leader="none" w:pos="1296"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initially capitalized terms used herein without definition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meanings ascribed thereto in the Agreement, as amended hereby.</w:t>
      </w:r>
    </w:p>
    <w:p>
      <w:pPr>
        <w:spacing w:after="0" w:line="14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to the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 is hereby amended as follows:</w:t>
      </w:r>
    </w:p>
    <w:p>
      <w:pPr>
        <w:spacing w:after="0" w:line="102" w:lineRule="exact"/>
        <w:rPr>
          <w:rFonts w:ascii="Times New Roman" w:cs="Times New Roman" w:eastAsia="Times New Roman" w:hAnsi="Times New Roman"/>
          <w:sz w:val="22"/>
          <w:szCs w:val="22"/>
          <w:b w:val="1"/>
          <w:bCs w:val="1"/>
          <w:color w:val="auto"/>
        </w:rPr>
      </w:pPr>
    </w:p>
    <w:p>
      <w:pPr>
        <w:ind w:right="20" w:firstLine="8"/>
        <w:spacing w:after="0" w:line="258" w:lineRule="auto"/>
        <w:tabs>
          <w:tab w:leader="none" w:pos="32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 of the Agreement (Committed Facility; Facility Limit) is hereby deleted in its entirety and replaced with the following:</w:t>
      </w:r>
    </w:p>
    <w:p>
      <w:pPr>
        <w:spacing w:after="0" w:line="158"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u w:val="single" w:color="auto"/>
          <w:color w:val="auto"/>
        </w:rPr>
        <w:t>2.1 Committed Facility; Facility Limit.</w:t>
      </w:r>
      <w:r>
        <w:rPr>
          <w:rFonts w:ascii="Times New Roman" w:cs="Times New Roman" w:eastAsia="Times New Roman" w:hAnsi="Times New Roman"/>
          <w:sz w:val="22"/>
          <w:szCs w:val="22"/>
          <w:color w:val="auto"/>
        </w:rPr>
        <w:t xml:space="preserve"> Subject to the terms and conditions of this Agreement, Purchaser agrees to provide the Facility to the Sellers from time to time during the Availability Period; provided, that, except for the Incremental Facility as set forth below, in no event shall the Aggregate EPP Balance exceed the Facility Limit at any time. Subject to the terms and conditions herein set forth and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 (a) the Purchaser is committed to purchase Receivables hereunder solely with respect to EPP Receivables of an Obligor (Committed) up to the Obligor EPP Limit for such Obligor and in addition may, on an uncommitted basis purchase EPP Receivables, in the Purchaser’s sole discretion, for an amount in excess of the Facility Limit (“</w:t>
      </w:r>
      <w:r>
        <w:rPr>
          <w:rFonts w:ascii="Times New Roman" w:cs="Times New Roman" w:eastAsia="Times New Roman" w:hAnsi="Times New Roman"/>
          <w:sz w:val="22"/>
          <w:szCs w:val="22"/>
          <w:u w:val="single" w:color="auto"/>
          <w:color w:val="auto"/>
        </w:rPr>
        <w:t>Incremental Facility</w:t>
      </w:r>
      <w:r>
        <w:rPr>
          <w:rFonts w:ascii="Times New Roman" w:cs="Times New Roman" w:eastAsia="Times New Roman" w:hAnsi="Times New Roman"/>
          <w:sz w:val="22"/>
          <w:szCs w:val="22"/>
          <w:color w:val="auto"/>
        </w:rPr>
        <w:t xml:space="preserve">”) up to the </w:t>
      </w:r>
      <w:r>
        <w:rPr>
          <w:rFonts w:ascii="Times New Roman" w:cs="Times New Roman" w:eastAsia="Times New Roman" w:hAnsi="Times New Roman"/>
          <w:sz w:val="22"/>
          <w:szCs w:val="22"/>
          <w:u w:val="single" w:color="auto"/>
          <w:color w:val="auto"/>
        </w:rPr>
        <w:t>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Facility Limit</w:t>
      </w:r>
      <w:r>
        <w:rPr>
          <w:rFonts w:ascii="Times New Roman" w:cs="Times New Roman" w:eastAsia="Times New Roman" w:hAnsi="Times New Roman"/>
          <w:sz w:val="22"/>
          <w:szCs w:val="22"/>
          <w:color w:val="auto"/>
        </w:rPr>
        <w:t xml:space="preserve"> and (b) the Purchaser may, on an uncommitted basis, purchase Receivables, in the Purchaser’s sole discretion, with respect to (i) EPP Receivables of an Obligor (Uncommitted) up to the Obligor EPP Limit for such Obligor and (ii) Non-EPP Receivables of any Obligor up to the Obligor Non-EPP Limit for such Obligor. If the daily average Aggregate EPP Balance for any successive three-month period falls below the Facility Limit Threshold, Purchaser, in its sole discretion, shall be entitled to reduce the Facility Limit down to not less than 10% above such daily average Aggregate EPP Balance or such higher amount the Purchaser selects,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763905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4" w:name="page45"/>
    <w:bookmarkEnd w:id="44"/>
    <w:p>
      <w:pPr>
        <w:ind w:left="660" w:right="20"/>
        <w:spacing w:after="0" w:line="259" w:lineRule="auto"/>
        <w:rPr>
          <w:sz w:val="20"/>
          <w:szCs w:val="20"/>
          <w:color w:val="auto"/>
        </w:rPr>
      </w:pPr>
      <w:r>
        <w:rPr>
          <w:rFonts w:ascii="Times New Roman" w:cs="Times New Roman" w:eastAsia="Times New Roman" w:hAnsi="Times New Roman"/>
          <w:sz w:val="22"/>
          <w:szCs w:val="22"/>
          <w:color w:val="auto"/>
        </w:rPr>
        <w:t>the Purchaser shall provide Kyndryl notice of such reduction at least thirty (30) days prior to the reduction of the Facility Limit.</w:t>
      </w:r>
    </w:p>
    <w:p>
      <w:pPr>
        <w:spacing w:after="0" w:line="157" w:lineRule="exact"/>
        <w:rPr>
          <w:sz w:val="20"/>
          <w:szCs w:val="20"/>
          <w:color w:val="auto"/>
        </w:rPr>
      </w:pPr>
    </w:p>
    <w:p>
      <w:pPr>
        <w:ind w:firstLine="8"/>
        <w:spacing w:after="0" w:line="258" w:lineRule="auto"/>
        <w:tabs>
          <w:tab w:leader="none" w:pos="3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Section 13.16 of the Agreement (Amendments), subsection (a) is hereby deleted in its entirety and replaced with the following:</w:t>
      </w:r>
    </w:p>
    <w:p>
      <w:pPr>
        <w:spacing w:after="0" w:line="50" w:lineRule="exact"/>
        <w:rPr>
          <w:rFonts w:ascii="Times New Roman" w:cs="Times New Roman" w:eastAsia="Times New Roman" w:hAnsi="Times New Roman"/>
          <w:sz w:val="22"/>
          <w:szCs w:val="22"/>
          <w:color w:val="auto"/>
        </w:rPr>
      </w:pPr>
    </w:p>
    <w:p>
      <w:pPr>
        <w:jc w:val="both"/>
        <w:ind w:left="660" w:hanging="4"/>
        <w:spacing w:after="0" w:line="239" w:lineRule="auto"/>
        <w:tabs>
          <w:tab w:leader="none" w:pos="98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Schedule, Seller Accounts, Obligor Schedule, Performance Triggers and the definition of Facility Limit and Incremental Facility Limit may be amended or otherwise modified from time to time by mutual consent delivered by each of Kyndryl and Purchaser through an exchange of emails among any one of the persons for each such party listed on Schedule 1 and”</w:t>
      </w:r>
    </w:p>
    <w:p>
      <w:pPr>
        <w:spacing w:after="0" w:line="72" w:lineRule="exact"/>
        <w:rPr>
          <w:rFonts w:ascii="Times New Roman" w:cs="Times New Roman" w:eastAsia="Times New Roman" w:hAnsi="Times New Roman"/>
          <w:sz w:val="22"/>
          <w:szCs w:val="22"/>
          <w:color w:val="auto"/>
        </w:rPr>
      </w:pPr>
    </w:p>
    <w:p>
      <w:pPr>
        <w:ind w:firstLine="8"/>
        <w:spacing w:after="0" w:line="258" w:lineRule="auto"/>
        <w:tabs>
          <w:tab w:leader="none" w:pos="3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defined terms are hereby deleted in their entirety and replaced with the definitions set forth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Limit</w:t>
      </w:r>
      <w:r>
        <w:rPr>
          <w:rFonts w:ascii="Times New Roman" w:cs="Times New Roman" w:eastAsia="Times New Roman" w:hAnsi="Times New Roman"/>
          <w:sz w:val="22"/>
          <w:szCs w:val="22"/>
          <w:color w:val="auto"/>
        </w:rPr>
        <w:t>” means $600,000,000.00.</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additional defined terms are hereby added:</w:t>
      </w:r>
    </w:p>
    <w:p>
      <w:pPr>
        <w:spacing w:after="0" w:line="158" w:lineRule="exact"/>
        <w:rPr>
          <w:sz w:val="20"/>
          <w:szCs w:val="20"/>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Limit</w:t>
      </w:r>
      <w:r>
        <w:rPr>
          <w:rFonts w:ascii="Times New Roman" w:cs="Times New Roman" w:eastAsia="Times New Roman" w:hAnsi="Times New Roman"/>
          <w:sz w:val="22"/>
          <w:szCs w:val="22"/>
          <w:color w:val="auto"/>
        </w:rPr>
        <w:t>” means $200,000,000.00.</w:t>
      </w:r>
    </w:p>
    <w:p>
      <w:pPr>
        <w:spacing w:after="0" w:line="202" w:lineRule="exact"/>
        <w:rPr>
          <w:rFonts w:ascii="Times New Roman" w:cs="Times New Roman" w:eastAsia="Times New Roman" w:hAnsi="Times New Roman"/>
          <w:sz w:val="18"/>
          <w:szCs w:val="18"/>
          <w:color w:val="auto"/>
        </w:rPr>
      </w:pPr>
    </w:p>
    <w:p>
      <w:pPr>
        <w:ind w:firstLine="8"/>
        <w:spacing w:after="0" w:line="262"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4-A (</w:t>
      </w:r>
      <w:r>
        <w:rPr>
          <w:rFonts w:ascii="Times New Roman" w:cs="Times New Roman" w:eastAsia="Times New Roman" w:hAnsi="Times New Roman"/>
          <w:sz w:val="22"/>
          <w:szCs w:val="22"/>
          <w:i w:val="1"/>
          <w:iCs w:val="1"/>
          <w:color w:val="auto"/>
        </w:rPr>
        <w:t>CURRENCY AND INTEREST RATE INFORMATION</w:t>
      </w:r>
      <w:r>
        <w:rPr>
          <w:rFonts w:ascii="Times New Roman" w:cs="Times New Roman" w:eastAsia="Times New Roman" w:hAnsi="Times New Roman"/>
          <w:sz w:val="22"/>
          <w:szCs w:val="22"/>
          <w:color w:val="auto"/>
        </w:rPr>
        <w:t>) of the Agreement shall be replaced as Schedule 4-A contained in Annex A of this Amendment.</w:t>
      </w:r>
    </w:p>
    <w:p>
      <w:pPr>
        <w:spacing w:after="0" w:line="149" w:lineRule="exact"/>
        <w:rPr>
          <w:rFonts w:ascii="Times New Roman" w:cs="Times New Roman" w:eastAsia="Times New Roman" w:hAnsi="Times New Roman"/>
          <w:sz w:val="22"/>
          <w:szCs w:val="22"/>
          <w:color w:val="auto"/>
        </w:rPr>
      </w:pPr>
    </w:p>
    <w:p>
      <w:pPr>
        <w:ind w:firstLine="8"/>
        <w:spacing w:after="0" w:line="262"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4-B (</w:t>
      </w:r>
      <w:r>
        <w:rPr>
          <w:rFonts w:ascii="Times New Roman" w:cs="Times New Roman" w:eastAsia="Times New Roman" w:hAnsi="Times New Roman"/>
          <w:sz w:val="22"/>
          <w:szCs w:val="22"/>
          <w:i w:val="1"/>
          <w:iCs w:val="1"/>
          <w:color w:val="auto"/>
        </w:rPr>
        <w:t>EFFECT OF BENCHMARK TRANSITION EVENT</w:t>
      </w:r>
      <w:r>
        <w:rPr>
          <w:rFonts w:ascii="Times New Roman" w:cs="Times New Roman" w:eastAsia="Times New Roman" w:hAnsi="Times New Roman"/>
          <w:sz w:val="22"/>
          <w:szCs w:val="22"/>
          <w:color w:val="auto"/>
        </w:rPr>
        <w:t>) of the Agreement shall be replaced as Schedule 4-B contained in Annex B of this Amendment.</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avoidance of doubt the parties agree that the replacement Schedule 4-A and Schedule 4-B shall solely apply to Receivables sold on or after July 1, 2024.</w:t>
      </w:r>
    </w:p>
    <w:p>
      <w:pPr>
        <w:spacing w:after="0" w:line="154" w:lineRule="exact"/>
        <w:rPr>
          <w:sz w:val="20"/>
          <w:szCs w:val="20"/>
          <w:color w:val="auto"/>
        </w:rPr>
      </w:pPr>
    </w:p>
    <w:p>
      <w:pPr>
        <w:ind w:left="660" w:right="20" w:hanging="328"/>
        <w:spacing w:after="0" w:line="262" w:lineRule="auto"/>
        <w:tabs>
          <w:tab w:leader="none" w:pos="660"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Parent and Kyndryl hereby represents and warrants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Effective Date as follows:</w:t>
      </w:r>
    </w:p>
    <w:p>
      <w:pPr>
        <w:spacing w:after="0" w:line="153"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48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immediately after giving effect to this Amendment, the representations and warranties set forth in the Agreement and each other Transaction Document (including, without limitation, each Participation Agreement executed on or prior to the date hereof) are true and correct on and as of the date hereof, as though made on the date hereof (except to the extent that such representations and warranties expressly relate solely to an earlier date, in which case such representations and warranties shall be true and correct as of such earlier date).</w:t>
      </w:r>
    </w:p>
    <w:p>
      <w:pPr>
        <w:spacing w:after="0" w:line="181" w:lineRule="exact"/>
        <w:rPr>
          <w:rFonts w:ascii="Times New Roman" w:cs="Times New Roman" w:eastAsia="Times New Roman" w:hAnsi="Times New Roman"/>
          <w:sz w:val="22"/>
          <w:szCs w:val="22"/>
          <w:color w:val="auto"/>
        </w:rPr>
      </w:pPr>
    </w:p>
    <w:p>
      <w:pPr>
        <w:ind w:right="20" w:firstLine="8"/>
        <w:spacing w:after="0" w:line="258" w:lineRule="auto"/>
        <w:tabs>
          <w:tab w:leader="none" w:pos="48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notice to or the consent, acceptance, acknowledgement or approval of any Seller (other than Kyndryl) is required pursuant to the applicable Participation Agreement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5" w:name="page46"/>
    <w:bookmarkEnd w:id="45"/>
    <w:p>
      <w:pPr>
        <w:jc w:val="both"/>
        <w:spacing w:after="0" w:line="238" w:lineRule="auto"/>
        <w:rPr>
          <w:sz w:val="20"/>
          <w:szCs w:val="20"/>
          <w:color w:val="auto"/>
        </w:rPr>
      </w:pPr>
      <w:r>
        <w:rPr>
          <w:rFonts w:ascii="Times New Roman" w:cs="Times New Roman" w:eastAsia="Times New Roman" w:hAnsi="Times New Roman"/>
          <w:sz w:val="22"/>
          <w:szCs w:val="22"/>
          <w:color w:val="auto"/>
        </w:rPr>
        <w:t>it is party to effectuate any amendment to or modification of the Agreement, as incorporated by reference into such Participation Agreement, such Seller has received such notice or provided such consent, acceptance, acknowledgement or approval (collectively, the “</w:t>
      </w: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and Kyndryl is executing this Agreement on behalf of itself and each such other Seller. Kyndryl will provide a copy of this Agreement to each other Seller (whether or not consent hereto is required by any such other Seller).</w:t>
      </w:r>
    </w:p>
    <w:p>
      <w:pPr>
        <w:spacing w:after="0" w:line="177" w:lineRule="exact"/>
        <w:rPr>
          <w:sz w:val="20"/>
          <w:szCs w:val="20"/>
          <w:color w:val="auto"/>
        </w:rPr>
      </w:pPr>
    </w:p>
    <w:p>
      <w:pPr>
        <w:jc w:val="both"/>
        <w:ind w:firstLine="8"/>
        <w:spacing w:after="0" w:line="239" w:lineRule="auto"/>
        <w:tabs>
          <w:tab w:leader="none" w:pos="48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immediately after giving effect to this Amendment, the representations and warranties set forth in subsections (b) though (i) of Section 6.1 of the Agreement are true and correct with respect to Parent in connection with its obligations under Section 13.19 of the Agreement, as if each reference in such representations and warranties to “Seller” were a reference to “Parent” for purposes hereof.</w:t>
      </w:r>
    </w:p>
    <w:p>
      <w:pPr>
        <w:spacing w:after="0" w:line="180" w:lineRule="exact"/>
        <w:rPr>
          <w:rFonts w:ascii="Times New Roman" w:cs="Times New Roman" w:eastAsia="Times New Roman" w:hAnsi="Times New Roman"/>
          <w:sz w:val="22"/>
          <w:szCs w:val="22"/>
          <w:color w:val="auto"/>
        </w:rPr>
      </w:pPr>
    </w:p>
    <w:p>
      <w:pPr>
        <w:jc w:val="both"/>
        <w:ind w:firstLine="8"/>
        <w:spacing w:after="0" w:line="234" w:lineRule="auto"/>
        <w:tabs>
          <w:tab w:leader="none" w:pos="48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Kyndryl and each other Seller has the organizational power and authority to execute (if applicable) and be bound by the terms and provisions of this Amendment (and any applicable Required Consent to which any other Seller is a signatory) and each of them has taken all necessary organizational action to authorize and approve the execution and delivery (to the extent applicable) and performance of this Amendment and the Agreement, as amended hereby (and, in the case of each Seller other than Kyndryl, as the Agreement, as amended hereby, is incorporated into the Participation Agreement to which it is a party), and the foregoing constitutes the legal, valid, and binding obligation of such party, enforceable against such party in accordance with its terms, except as the enforceability thereof may be limited by bankruptcy, insolvency or similar laws affecting creditors’ rights generally and subject to general principles of equity.</w:t>
      </w:r>
    </w:p>
    <w:p>
      <w:pPr>
        <w:spacing w:after="0" w:line="183" w:lineRule="exact"/>
        <w:rPr>
          <w:rFonts w:ascii="Times New Roman" w:cs="Times New Roman" w:eastAsia="Times New Roman" w:hAnsi="Times New Roman"/>
          <w:sz w:val="22"/>
          <w:szCs w:val="22"/>
          <w:color w:val="auto"/>
        </w:rPr>
      </w:pPr>
    </w:p>
    <w:p>
      <w:pPr>
        <w:jc w:val="both"/>
        <w:ind w:firstLine="8"/>
        <w:spacing w:after="0" w:line="244" w:lineRule="auto"/>
        <w:tabs>
          <w:tab w:leader="none" w:pos="48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Triggering Event, Purchaser Termination Event, or event that with the giving of notice, or lapse of time or both would give rise to a Triggering Event or Purchaser Termination Event has occurred, in each such case, both immediately before and immediately after giving effect to this Amendment.</w:t>
      </w:r>
    </w:p>
    <w:p>
      <w:pPr>
        <w:spacing w:after="0" w:line="17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Insolvency Event has occurred with respect to Parent, Kyndryl or any other Seller.</w:t>
      </w:r>
    </w:p>
    <w:p>
      <w:pPr>
        <w:spacing w:after="0" w:line="202" w:lineRule="exact"/>
        <w:rPr>
          <w:sz w:val="20"/>
          <w:szCs w:val="20"/>
          <w:color w:val="auto"/>
        </w:rPr>
      </w:pPr>
    </w:p>
    <w:p>
      <w:pPr>
        <w:ind w:left="660" w:hanging="328"/>
        <w:spacing w:after="0"/>
        <w:tabs>
          <w:tab w:leader="none" w:pos="660"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further agree to the following terms.</w:t>
      </w:r>
    </w:p>
    <w:p>
      <w:pPr>
        <w:spacing w:after="0" w:line="210"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48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effective solely for the specific purpose for which it is given and shall not create a course of dealing between the parties in any respect. The execution, delivery, and performance of this Amendment shall not operate, except as expressly set forth herein, as a waiver of, consent to, or a modification or amendment of, any right, power, or remedy of Purchaser under the Agreement, any Participation Agreement, or any other Transaction Document. Except for the amendments to the Agreement expressly set forth herein (and as the Agreement, as amended hereby, is incorporated by reference into each Participation Agreement), the Agreement, each Participation Agreement and each other Transaction Document shall remain unchanged and in full force and effect in accordance with their respective terms and are hereby ratified and confirmed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6" w:name="page47"/>
    <w:bookmarkEnd w:id="46"/>
    <w:p>
      <w:pPr>
        <w:jc w:val="both"/>
        <w:ind w:firstLine="8"/>
        <w:spacing w:after="0" w:line="236" w:lineRule="auto"/>
        <w:tabs>
          <w:tab w:leader="none" w:pos="4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after the effectiveness of this Amendment, each reference in the Agreement to “this Agreement”, “hereunder”, “herein”, “hereof” or words of like import referring to the Agreement, and each reference in any Participation Agreement or any other Transaction Document to “the Receivables Purchase Agreement”, “the Amended and Restated Receivables Purchase Agreement”, “thereunder”, “therein”, “thereof” or words of like import referring to the Agreement, shall mean and be a reference to the Agreement as modified and amended hereby.</w:t>
      </w:r>
    </w:p>
    <w:p>
      <w:pPr>
        <w:spacing w:after="0" w:line="181" w:lineRule="exact"/>
        <w:rPr>
          <w:rFonts w:ascii="Times New Roman" w:cs="Times New Roman" w:eastAsia="Times New Roman" w:hAnsi="Times New Roman"/>
          <w:sz w:val="22"/>
          <w:szCs w:val="22"/>
          <w:color w:val="auto"/>
        </w:rPr>
      </w:pPr>
    </w:p>
    <w:p>
      <w:pPr>
        <w:jc w:val="both"/>
        <w:ind w:firstLine="8"/>
        <w:spacing w:after="0" w:line="236" w:lineRule="auto"/>
        <w:tabs>
          <w:tab w:leader="none" w:pos="4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terms and provisions hereof, the Agreement (as amended hereby) and the other Transaction Documents (after giving effect to this Amendment) constitute the entire understanding and agreement between the parties hereto or thereto with respect to the subject matter hereof and thereof and supersede any and all prior or contemporaneous amendments or understandings with respect to the subject matter hereof, whether express or implied, oral or written. The terms and provisions of this Amendment shall prevail over any conflicting terms of any other Transaction Document.</w:t>
      </w:r>
    </w:p>
    <w:p>
      <w:pPr>
        <w:spacing w:after="0" w:line="181" w:lineRule="exact"/>
        <w:rPr>
          <w:rFonts w:ascii="Times New Roman" w:cs="Times New Roman" w:eastAsia="Times New Roman" w:hAnsi="Times New Roman"/>
          <w:sz w:val="22"/>
          <w:szCs w:val="22"/>
          <w:color w:val="auto"/>
        </w:rPr>
      </w:pPr>
    </w:p>
    <w:p>
      <w:pPr>
        <w:jc w:val="both"/>
        <w:ind w:firstLine="8"/>
        <w:spacing w:after="0" w:line="238" w:lineRule="auto"/>
        <w:tabs>
          <w:tab w:leader="none" w:pos="4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and Kyndryl, on behalf of itself and each other Seller, hereby (i) reaffirms its obligations under each Transaction Document to which it is a party after giving effect to the terms and provisions of this Amendment and (ii) ratifies and reaffirms the validity, enforceability, perfection and first priority ownership interest of the Purchaser in, to and under each Purchased Receivable transferred pursuant to the Agreement or any Participation Agreement, as applicable.</w:t>
      </w:r>
    </w:p>
    <w:p>
      <w:pPr>
        <w:spacing w:after="0" w:line="176" w:lineRule="exact"/>
        <w:rPr>
          <w:rFonts w:ascii="Times New Roman" w:cs="Times New Roman" w:eastAsia="Times New Roman" w:hAnsi="Times New Roman"/>
          <w:sz w:val="22"/>
          <w:szCs w:val="22"/>
          <w:color w:val="auto"/>
        </w:rPr>
      </w:pPr>
    </w:p>
    <w:p>
      <w:pPr>
        <w:jc w:val="both"/>
        <w:ind w:firstLine="8"/>
        <w:spacing w:after="0" w:line="244" w:lineRule="auto"/>
        <w:tabs>
          <w:tab w:leader="none" w:pos="4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73" w:lineRule="exact"/>
        <w:rPr>
          <w:rFonts w:ascii="Times New Roman" w:cs="Times New Roman" w:eastAsia="Times New Roman" w:hAnsi="Times New Roman"/>
          <w:sz w:val="22"/>
          <w:szCs w:val="22"/>
          <w:color w:val="auto"/>
        </w:rPr>
      </w:pPr>
    </w:p>
    <w:p>
      <w:pPr>
        <w:jc w:val="both"/>
        <w:ind w:firstLine="8"/>
        <w:spacing w:after="0" w:line="244" w:lineRule="auto"/>
        <w:tabs>
          <w:tab w:leader="none" w:pos="4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SECTIONS 13.9, 13.10 AND 13.11 OF THE AGREEMENT (GOVERNING LAW, SUBMISSION TO JURISDICTION AND WAIVER OF JURY TRIAL) ARE HEREBY INCORPORATED HEREIN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MUTANDIS </w:t>
      </w:r>
      <w:r>
        <w:rPr>
          <w:rFonts w:ascii="Times New Roman" w:cs="Times New Roman" w:eastAsia="Times New Roman" w:hAnsi="Times New Roman"/>
          <w:sz w:val="22"/>
          <w:szCs w:val="22"/>
          <w:color w:val="auto"/>
        </w:rPr>
        <w:t>AS IF SET FORTH IN FULL HEREIN.</w:t>
      </w:r>
    </w:p>
    <w:p>
      <w:pPr>
        <w:spacing w:after="0" w:line="173" w:lineRule="exact"/>
        <w:rPr>
          <w:rFonts w:ascii="Times New Roman" w:cs="Times New Roman" w:eastAsia="Times New Roman" w:hAnsi="Times New Roman"/>
          <w:sz w:val="22"/>
          <w:szCs w:val="22"/>
          <w:color w:val="auto"/>
        </w:rPr>
      </w:pPr>
    </w:p>
    <w:p>
      <w:pPr>
        <w:jc w:val="both"/>
        <w:ind w:firstLine="8"/>
        <w:spacing w:after="0" w:line="238" w:lineRule="auto"/>
        <w:tabs>
          <w:tab w:leader="none" w:pos="4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and by different parties hereto in separate counterparts, each of which, when executed and delivered, shall be deemed to be an original, and all of which, taken together, shall constitute but one and the same agreement. Delivery of an executed counterpart of this Amendment by facsimile or other electronic method of transmission shall be equally effective as delivery of an original executed counterpart of this Amendment.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7" w:name="page48"/>
    <w:bookmarkEnd w:id="47"/>
    <w:p>
      <w:pPr>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and delivered as of the date first above written.</w:t>
      </w:r>
    </w:p>
    <w:p>
      <w:pPr>
        <w:spacing w:after="0" w:line="17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BANCO SANTANDER S.A., as Purchaser</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60" w:type="dxa"/>
            <w:vAlign w:val="bottom"/>
          </w:tcPr>
          <w:p>
            <w:pPr>
              <w:ind w:left="4720"/>
              <w:spacing w:after="0"/>
              <w:rPr>
                <w:sz w:val="20"/>
                <w:szCs w:val="20"/>
                <w:color w:val="auto"/>
              </w:rPr>
            </w:pPr>
            <w:r>
              <w:rPr>
                <w:rFonts w:ascii="Times New Roman" w:cs="Times New Roman" w:eastAsia="Times New Roman" w:hAnsi="Times New Roman"/>
                <w:sz w:val="22"/>
                <w:szCs w:val="22"/>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Ignacio Frutos</w:t>
            </w:r>
          </w:p>
        </w:tc>
      </w:tr>
      <w:tr>
        <w:trPr>
          <w:trHeight w:val="209"/>
        </w:trPr>
        <w:tc>
          <w:tcPr>
            <w:tcW w:w="5460" w:type="dxa"/>
            <w:vAlign w:val="bottom"/>
          </w:tcPr>
          <w:p>
            <w:pPr>
              <w:ind w:left="4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4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Ignacio Frutos</w:t>
            </w:r>
          </w:p>
        </w:tc>
      </w:tr>
      <w:tr>
        <w:trPr>
          <w:trHeight w:val="282"/>
        </w:trPr>
        <w:tc>
          <w:tcPr>
            <w:tcW w:w="5460" w:type="dxa"/>
            <w:vAlign w:val="bottom"/>
          </w:tcPr>
          <w:p>
            <w:pPr>
              <w:ind w:left="4720"/>
              <w:spacing w:after="0"/>
              <w:rPr>
                <w:sz w:val="20"/>
                <w:szCs w:val="20"/>
                <w:color w:val="auto"/>
              </w:rPr>
            </w:pPr>
            <w:r>
              <w:rPr>
                <w:rFonts w:ascii="Times New Roman" w:cs="Times New Roman" w:eastAsia="Times New Roman" w:hAnsi="Times New Roman"/>
                <w:sz w:val="22"/>
                <w:szCs w:val="22"/>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Signor</w:t>
            </w:r>
          </w:p>
        </w:tc>
      </w:tr>
      <w:tr>
        <w:trPr>
          <w:trHeight w:val="474"/>
        </w:trPr>
        <w:tc>
          <w:tcPr>
            <w:tcW w:w="5460" w:type="dxa"/>
            <w:vAlign w:val="bottom"/>
          </w:tcPr>
          <w:p>
            <w:pPr>
              <w:ind w:left="4720"/>
              <w:spacing w:after="0"/>
              <w:rPr>
                <w:sz w:val="20"/>
                <w:szCs w:val="20"/>
                <w:color w:val="auto"/>
              </w:rPr>
            </w:pPr>
            <w:r>
              <w:rPr>
                <w:rFonts w:ascii="Times New Roman" w:cs="Times New Roman" w:eastAsia="Times New Roman" w:hAnsi="Times New Roman"/>
                <w:sz w:val="22"/>
                <w:szCs w:val="22"/>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Belen Humanes</w:t>
            </w:r>
          </w:p>
        </w:tc>
      </w:tr>
      <w:tr>
        <w:trPr>
          <w:trHeight w:val="209"/>
        </w:trPr>
        <w:tc>
          <w:tcPr>
            <w:tcW w:w="5460" w:type="dxa"/>
            <w:vAlign w:val="bottom"/>
          </w:tcPr>
          <w:p>
            <w:pPr>
              <w:ind w:left="4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4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Belen Humanes</w:t>
            </w:r>
          </w:p>
        </w:tc>
      </w:tr>
      <w:tr>
        <w:trPr>
          <w:trHeight w:val="282"/>
        </w:trPr>
        <w:tc>
          <w:tcPr>
            <w:tcW w:w="5460" w:type="dxa"/>
            <w:vAlign w:val="bottom"/>
          </w:tcPr>
          <w:p>
            <w:pPr>
              <w:ind w:left="4720"/>
              <w:spacing w:after="0"/>
              <w:rPr>
                <w:sz w:val="20"/>
                <w:szCs w:val="20"/>
                <w:color w:val="auto"/>
              </w:rPr>
            </w:pPr>
            <w:r>
              <w:rPr>
                <w:rFonts w:ascii="Times New Roman" w:cs="Times New Roman" w:eastAsia="Times New Roman" w:hAnsi="Times New Roman"/>
                <w:sz w:val="22"/>
                <w:szCs w:val="22"/>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Signor</w:t>
            </w:r>
          </w:p>
        </w:tc>
      </w:tr>
      <w:tr>
        <w:trPr>
          <w:trHeight w:val="1223"/>
        </w:trPr>
        <w:tc>
          <w:tcPr>
            <w:tcW w:w="5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48" w:name="page49"/>
    <w:bookmarkEnd w:id="48"/>
    <w:p>
      <w:pPr>
        <w:ind w:left="4620"/>
        <w:spacing w:after="0"/>
        <w:rPr>
          <w:sz w:val="20"/>
          <w:szCs w:val="20"/>
          <w:color w:val="auto"/>
        </w:rPr>
      </w:pPr>
      <w:r>
        <w:rPr>
          <w:rFonts w:ascii="Times New Roman" w:cs="Times New Roman" w:eastAsia="Times New Roman" w:hAnsi="Times New Roman"/>
          <w:sz w:val="22"/>
          <w:szCs w:val="22"/>
          <w:color w:val="auto"/>
        </w:rPr>
        <w:t>KYNDRYL, INC., as Seller</w:t>
      </w:r>
    </w:p>
    <w:p>
      <w:pPr>
        <w:spacing w:after="0" w:line="233" w:lineRule="exact"/>
        <w:rPr>
          <w:sz w:val="20"/>
          <w:szCs w:val="20"/>
          <w:color w:val="auto"/>
        </w:rPr>
      </w:pPr>
    </w:p>
    <w:tbl>
      <w:tblPr>
        <w:tblLayout w:type="fixed"/>
        <w:tblInd w:w="4620" w:type="dxa"/>
        <w:tblCellMar>
          <w:top w:w="0" w:type="dxa"/>
          <w:left w:w="0" w:type="dxa"/>
          <w:bottom w:w="0" w:type="dxa"/>
          <w:right w:w="0" w:type="dxa"/>
        </w:tblCellMar>
      </w:tblP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Evan Barth</w:t>
            </w:r>
          </w:p>
        </w:tc>
      </w:tr>
      <w:tr>
        <w:trPr>
          <w:trHeight w:val="209"/>
        </w:trPr>
        <w:tc>
          <w:tcPr>
            <w:tcW w:w="9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4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Evan Barth</w:t>
            </w:r>
          </w:p>
        </w:tc>
      </w:tr>
      <w:tr>
        <w:trPr>
          <w:trHeight w:val="243"/>
        </w:trPr>
        <w:tc>
          <w:tcPr>
            <w:tcW w:w="96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VP, Associate General Counsel and Assistant Corp</w:t>
            </w: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440" w:type="dxa"/>
            <w:vAlign w:val="bottom"/>
          </w:tcPr>
          <w:p>
            <w:pPr>
              <w:spacing w:after="0"/>
              <w:rPr>
                <w:sz w:val="20"/>
                <w:szCs w:val="20"/>
                <w:color w:val="auto"/>
              </w:rPr>
            </w:pPr>
            <w:r>
              <w:rPr>
                <w:rFonts w:ascii="Times New Roman" w:cs="Times New Roman" w:eastAsia="Times New Roman" w:hAnsi="Times New Roman"/>
                <w:sz w:val="22"/>
                <w:szCs w:val="22"/>
                <w:color w:val="auto"/>
              </w:rPr>
              <w:t>Secretary</w:t>
            </w:r>
          </w:p>
        </w:tc>
      </w:tr>
    </w:tbl>
    <w:p>
      <w:pPr>
        <w:spacing w:after="0" w:line="204" w:lineRule="exact"/>
        <w:rPr>
          <w:sz w:val="20"/>
          <w:szCs w:val="20"/>
          <w:color w:val="auto"/>
        </w:rPr>
      </w:pPr>
    </w:p>
    <w:p>
      <w:pPr>
        <w:ind w:left="4620" w:right="240"/>
        <w:spacing w:after="0" w:line="258" w:lineRule="auto"/>
        <w:rPr>
          <w:sz w:val="20"/>
          <w:szCs w:val="20"/>
          <w:color w:val="auto"/>
        </w:rPr>
      </w:pPr>
      <w:r>
        <w:rPr>
          <w:rFonts w:ascii="Times New Roman" w:cs="Times New Roman" w:eastAsia="Times New Roman" w:hAnsi="Times New Roman"/>
          <w:sz w:val="22"/>
          <w:szCs w:val="22"/>
          <w:color w:val="auto"/>
        </w:rPr>
        <w:t>Kyndryl Holdings Inc., solely for purposes of Section 13.19 of the Receivables Purchase Agreement, as Parent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8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By:</w:t>
            </w:r>
          </w:p>
        </w:tc>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Evan Barth</w:t>
            </w:r>
          </w:p>
        </w:tc>
      </w:tr>
      <w:tr>
        <w:trPr>
          <w:trHeight w:val="209"/>
        </w:trPr>
        <w:tc>
          <w:tcPr>
            <w:tcW w:w="5580" w:type="dxa"/>
            <w:vAlign w:val="bottom"/>
          </w:tcPr>
          <w:p>
            <w:pPr>
              <w:ind w:left="46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440" w:type="dxa"/>
            <w:vAlign w:val="bottom"/>
            <w:gridSpan w:val="2"/>
          </w:tcPr>
          <w:p>
            <w:pPr>
              <w:spacing w:after="0" w:line="209" w:lineRule="exact"/>
              <w:rPr>
                <w:sz w:val="20"/>
                <w:szCs w:val="20"/>
                <w:color w:val="auto"/>
              </w:rPr>
            </w:pPr>
            <w:r>
              <w:rPr>
                <w:rFonts w:ascii="Times New Roman" w:cs="Times New Roman" w:eastAsia="Times New Roman" w:hAnsi="Times New Roman"/>
                <w:sz w:val="22"/>
                <w:szCs w:val="22"/>
                <w:color w:val="auto"/>
              </w:rPr>
              <w:t>Evan Barth</w:t>
            </w:r>
          </w:p>
        </w:tc>
      </w:tr>
      <w:tr>
        <w:trPr>
          <w:trHeight w:val="243"/>
        </w:trPr>
        <w:tc>
          <w:tcPr>
            <w:tcW w:w="5580" w:type="dxa"/>
            <w:vAlign w:val="bottom"/>
          </w:tcPr>
          <w:p>
            <w:pPr>
              <w:spacing w:after="0"/>
              <w:rPr>
                <w:sz w:val="21"/>
                <w:szCs w:val="21"/>
                <w:color w:val="auto"/>
              </w:rPr>
            </w:pPr>
          </w:p>
        </w:tc>
        <w:tc>
          <w:tcPr>
            <w:tcW w:w="4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VP, Associate General Counsel and Assistant Corp</w:t>
            </w:r>
          </w:p>
        </w:tc>
      </w:tr>
      <w:tr>
        <w:trPr>
          <w:trHeight w:val="282"/>
        </w:trPr>
        <w:tc>
          <w:tcPr>
            <w:tcW w:w="558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Title:</w:t>
            </w: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Secretary</w:t>
            </w:r>
          </w:p>
        </w:tc>
      </w:tr>
      <w:tr>
        <w:trPr>
          <w:trHeight w:val="1413"/>
        </w:trPr>
        <w:tc>
          <w:tcPr>
            <w:tcW w:w="55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020"/>
          </w:cols>
          <w:pgMar w:left="980" w:top="126" w:right="8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80" w:right="160" w:hanging="2"/>
        <w:spacing w:after="0" w:line="266" w:lineRule="auto"/>
        <w:tabs>
          <w:tab w:leader="none" w:pos="56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80" w:hanging="2"/>
        <w:spacing w:after="0" w:line="266" w:lineRule="auto"/>
        <w:tabs>
          <w:tab w:leader="none" w:pos="57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6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7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25"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80" w:right="160" w:hanging="2"/>
        <w:spacing w:after="0" w:line="266" w:lineRule="auto"/>
        <w:tabs>
          <w:tab w:leader="none" w:pos="56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80" w:hanging="2"/>
        <w:spacing w:after="0" w:line="266" w:lineRule="auto"/>
        <w:tabs>
          <w:tab w:leader="none" w:pos="5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6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September 30, 2024,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September 30, 2024,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lvl w:ilvl="1">
      <w:lvlJc w:val="left"/>
      <w:lvlText w:val="%2."/>
      <w:numFmt w:val="upperLetter"/>
      <w:start w:val="1"/>
    </w:lvl>
  </w:abstractNum>
  <w:abstractNum w:abstractNumId="26">
    <w:nsid w:val="4516DDE9"/>
    <w:multiLevelType w:val="hybridMultilevel"/>
    <w:lvl w:ilvl="0">
      <w:lvlJc w:val="left"/>
      <w:lvlText w:val="%1."/>
      <w:numFmt w:val="decimal"/>
      <w:start w:val="1"/>
    </w:lvl>
    <w:lvl w:ilvl="1">
      <w:lvlJc w:val="left"/>
      <w:lvlText w:val="%2"/>
      <w:numFmt w:val="upperLetter"/>
      <w:start w:val="1"/>
    </w:lvl>
  </w:abstractNum>
  <w:abstractNum w:abstractNumId="27">
    <w:nsid w:val="3006C83E"/>
    <w:multiLevelType w:val="hybridMultilevel"/>
    <w:lvl w:ilvl="0">
      <w:lvlJc w:val="left"/>
      <w:lvlText w:val="%1."/>
      <w:numFmt w:val="decimal"/>
      <w:start w:val="2"/>
    </w:lvl>
    <w:lvl w:ilvl="1">
      <w:lvlJc w:val="left"/>
      <w:lvlText w:val="(%2)"/>
      <w:numFmt w:val="lowerLetter"/>
      <w:start w:val="1"/>
    </w:lvl>
  </w:abstractNum>
  <w:abstractNum w:abstractNumId="28">
    <w:nsid w:val="614FD4A1"/>
    <w:multiLevelType w:val="hybridMultilevel"/>
    <w:lvl w:ilvl="0">
      <w:lvlJc w:val="left"/>
      <w:lvlText w:val="%1."/>
      <w:numFmt w:val="decimal"/>
      <w:start w:val="3"/>
    </w:lvl>
    <w:lvl w:ilvl="1">
      <w:lvlJc w:val="left"/>
      <w:lvlText w:val="·"/>
      <w:numFmt w:val="bullet"/>
      <w:start w:val="1"/>
    </w:lvl>
  </w:abstractNum>
  <w:abstractNum w:abstractNumId="29">
    <w:nsid w:val="419AC241"/>
    <w:multiLevelType w:val="hybridMultilevel"/>
    <w:lvl w:ilvl="0">
      <w:lvlJc w:val="left"/>
      <w:lvlText w:val="%1"/>
      <w:numFmt w:val="decimal"/>
      <w:start w:val="1"/>
    </w:lvl>
    <w:lvl w:ilvl="1">
      <w:lvlJc w:val="left"/>
      <w:lvlText w:val="%2."/>
      <w:numFmt w:val="upperLetter"/>
      <w:start w:val="3"/>
    </w:lvl>
  </w:abstractNum>
  <w:abstractNum w:abstractNumId="30">
    <w:nsid w:val="5577F8E1"/>
    <w:multiLevelType w:val="hybridMultilevel"/>
    <w:lvl w:ilvl="0">
      <w:lvlJc w:val="left"/>
      <w:lvlText w:val="%1."/>
      <w:numFmt w:val="decimal"/>
      <w:start w:val="1"/>
    </w:lvl>
    <w:lvl w:ilvl="1">
      <w:lvlJc w:val="left"/>
      <w:lvlText w:val="%2"/>
      <w:numFmt w:val="upperLetter"/>
      <w:start w:val="1"/>
    </w:lvl>
  </w:abstractNum>
  <w:abstractNum w:abstractNumId="31">
    <w:nsid w:val="440BADFC"/>
    <w:multiLevelType w:val="hybridMultilevel"/>
    <w:lvl w:ilvl="0">
      <w:lvlJc w:val="left"/>
      <w:lvlText w:val="%1."/>
      <w:numFmt w:val="decimal"/>
      <w:start w:val="3"/>
    </w:lvl>
  </w:abstractNum>
  <w:abstractNum w:abstractNumId="32">
    <w:nsid w:val="5072367"/>
    <w:multiLevelType w:val="hybridMultilevel"/>
    <w:lvl w:ilvl="0">
      <w:lvlJc w:val="left"/>
      <w:lvlText w:val="%1"/>
      <w:numFmt w:val="decimal"/>
      <w:start w:val="1"/>
    </w:lvl>
    <w:lvl w:ilvl="1">
      <w:lvlJc w:val="left"/>
      <w:lvlText w:val="%2."/>
      <w:numFmt w:val="upperLetter"/>
      <w:start w:val="4"/>
    </w:lvl>
  </w:abstractNum>
  <w:abstractNum w:abstractNumId="33">
    <w:nsid w:val="3804823E"/>
    <w:multiLevelType w:val="hybridMultilevel"/>
    <w:lvl w:ilvl="0">
      <w:lvlJc w:val="left"/>
      <w:lvlText w:val="%1."/>
      <w:numFmt w:val="decimal"/>
      <w:start w:val="1"/>
    </w:lvl>
    <w:lvl w:ilvl="1">
      <w:lvlJc w:val="left"/>
      <w:lvlText w:val="%2"/>
      <w:numFmt w:val="upperLetter"/>
      <w:start w:val="1"/>
    </w:lvl>
  </w:abstractNum>
  <w:abstractNum w:abstractNumId="34">
    <w:nsid w:val="77465F01"/>
    <w:multiLevelType w:val="hybridMultilevel"/>
    <w:lvl w:ilvl="0">
      <w:lvlJc w:val="left"/>
      <w:lvlText w:val="%1."/>
      <w:numFmt w:val="decimal"/>
      <w:start w:val="2"/>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54" Type="http://schemas.openxmlformats.org/officeDocument/2006/relationships/hyperlink" Target="https://www.sec.gov/Archives/edgar/data/1867072/000110465921134456/tm2131654d1_ex2-1.htm" TargetMode="External"/><Relationship Id="rId55" Type="http://schemas.openxmlformats.org/officeDocument/2006/relationships/hyperlink" Target="https://www.sec.gov/Archives/edgar/data/1867072/000110465921134456/tm2131654d1_ex3-1.htm" TargetMode="External"/><Relationship Id="rId56" Type="http://schemas.openxmlformats.org/officeDocument/2006/relationships/hyperlink" Target="https://www.sec.gov/Archives/edgar/data/1867072/000155837023000663/kd-20230125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2024-11-07T15:49:40Z</dcterms:created>
  <dcterms:modified xsi:type="dcterms:W3CDTF">2024-11-07T15:49:40Z</dcterms:modified>
</cp:coreProperties>
</file>