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left="26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left="26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left="2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6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1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tc>
        <w:tc>
          <w:tcPr>
            <w:tcW w:w="14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p>
        </w:tc>
        <w:tc>
          <w:tcPr>
            <w:tcW w:w="216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1300" w:type="dxa"/>
            <w:vAlign w:val="bottom"/>
            <w:vMerge w:val="restart"/>
          </w:tcPr>
          <w:p>
            <w:pPr>
              <w:ind w:left="120"/>
              <w:spacing w:after="0" w:line="207" w:lineRule="exact"/>
              <w:rPr>
                <w:sz w:val="20"/>
                <w:szCs w:val="20"/>
                <w:color w:val="auto"/>
              </w:rPr>
            </w:pP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 xml:space="preserve"> Form N-CSR</w:t>
            </w: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4"/>
                <w:szCs w:val="24"/>
                <w:color w:val="auto"/>
              </w:rPr>
            </w:pPr>
          </w:p>
        </w:tc>
        <w:tc>
          <w:tcPr>
            <w:tcW w:w="1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14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2160" w:type="dxa"/>
            <w:vAlign w:val="bottom"/>
          </w:tcPr>
          <w:p>
            <w:pPr>
              <w:ind w:left="6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Period Ended: December 31, 2025</w:t>
      </w:r>
    </w:p>
    <w:p>
      <w:pPr>
        <w:spacing w:after="0" w:line="225" w:lineRule="exact"/>
        <w:rPr>
          <w:sz w:val="24"/>
          <w:szCs w:val="24"/>
          <w:color w:val="auto"/>
        </w:rPr>
      </w:pPr>
    </w:p>
    <w:p>
      <w:pPr>
        <w:ind w:left="680" w:hanging="65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680" w:hanging="65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680" w:hanging="65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680" w:hanging="659"/>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 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-104140</wp:posOffset>
            </wp:positionH>
            <wp:positionV relativeFrom="paragraph">
              <wp:posOffset>-118110</wp:posOffset>
            </wp:positionV>
            <wp:extent cx="128587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574040"/>
                    </a:xfrm>
                    <a:prstGeom prst="rect">
                      <a:avLst/>
                    </a:prstGeom>
                    <a:noFill/>
                  </pic:spPr>
                </pic:pic>
              </a:graphicData>
            </a:graphic>
          </wp:anchor>
        </w:drawing>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50155Q100</w:t>
      </w:r>
    </w:p>
    <w:p>
      <w:pPr>
        <w:spacing w:after="0" w:line="4731" w:lineRule="exact"/>
        <w:rPr>
          <w:sz w:val="24"/>
          <w:szCs w:val="24"/>
          <w:color w:val="auto"/>
        </w:rPr>
      </w:pPr>
    </w:p>
    <w:p>
      <w:pPr>
        <w:sectPr>
          <w:pgSz w:w="11900" w:h="16838" w:orient="portrait"/>
          <w:cols w:equalWidth="0" w:num="2">
            <w:col w:w="8660" w:space="720"/>
            <w:col w:w="1660"/>
          </w:cols>
          <w:pgMar w:left="320" w:top="711" w:right="539" w:bottom="1440" w:gutter="0" w:footer="0" w:header="0"/>
        </w:sectPr>
      </w:pPr>
    </w:p>
    <w:p>
      <w:pPr>
        <w:spacing w:after="0" w:line="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711" w:right="5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Vanderbilt Avenue, 15th Floor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540" w:hanging="236"/>
        <w:spacing w:after="0"/>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jc w:val="both"/>
        <w:ind w:left="1300" w:hanging="1292"/>
        <w:spacing w:after="0" w:line="261" w:lineRule="auto"/>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9" w:lineRule="exact"/>
        <w:rPr>
          <w:rFonts w:ascii="MS PGothic" w:cs="MS PGothic" w:eastAsia="MS PGothic" w:hAnsi="MS PGothic"/>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Kyndryl Holdings, Inc. (the “Company”) is unable to file within the prescribed time period, without unreasonable effort and expense, its Quarterly Report on Form 10-Q for the quarter ended December 31, 2025 (the “Quarterly Report”).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Audit Committee of its Board of Directors, is reviewing its cash management practices, related disclosures (including regarding the drivers of the Company’s adjusted free cash flow metric), the efficacy of the Company’s internal control over financial reporting, and certain other matters following the Company’s receipt of voluntary document requests from the Division of Enforcement of the Securities and Exchange Commission (“SEC”) relating to such matters. Due to this review, the finalization of the Quarterly Report, including the Company’s assessment of internal control over financial reporting, requires additional time to complete.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time of this filing, the Company does not anticipate an impact to the Company’s consolidated balance sheets, consolidated income statements, consolidated statements of comprehensive income (loss), consolidated statements of cash flows or 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filing of the Quarterly Report, when made, the Company anticipates reporting material weaknesses in the Company’s internal control over financial reporting for the period covered in the Quarterly Report, as well as for the full fiscal year ended March 31, 2025, and the first two fiscal quarters of fiscal year 2026, which are expected to include, but may not be limited to, the effectiveness and strength of certain functions at the Company, including with respect to controls related to information and communication and tone at the top. As a result, the Company notes that its assessment of internal control over financial reporting and the related opinion of PricewaterhouseCoopers LLP only with respect to the effectiveness of the Company’s internal control over financial reporting as of March 31, 2025 included in the Company’s Annual Report on Form 10-K for the full fiscal year ended March 31, 2025 should no longer be relied upon.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a remediation plan that will be described further in the Quarterly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IV – OTHER INFORMATION</w:t>
            </w:r>
          </w:p>
        </w:tc>
        <w:tc>
          <w:tcPr>
            <w:tcW w:w="338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380" w:type="dxa"/>
            <w:vAlign w:val="bottom"/>
          </w:tcPr>
          <w:p>
            <w:pPr>
              <w:spacing w:after="0"/>
              <w:rPr>
                <w:sz w:val="24"/>
                <w:szCs w:val="24"/>
                <w:color w:val="auto"/>
              </w:rPr>
            </w:pPr>
          </w:p>
        </w:tc>
      </w:tr>
      <w:tr>
        <w:trPr>
          <w:trHeight w:val="432"/>
        </w:trPr>
        <w:tc>
          <w:tcPr>
            <w:tcW w:w="33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Martin J. Schroeter</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855</w:t>
            </w:r>
          </w:p>
        </w:tc>
        <w:tc>
          <w:tcPr>
            <w:tcW w:w="338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596-3795</w:t>
            </w:r>
          </w:p>
        </w:tc>
      </w:tr>
      <w:tr>
        <w:trPr>
          <w:trHeight w:val="228"/>
        </w:trPr>
        <w:tc>
          <w:tcPr>
            <w:tcW w:w="33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3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firstLine="8"/>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notification on Form 12b-25 contains “forward-looking statements” within the meaning of the Private Securities Litigation Reform Act of 1995. All statements other than statements of historical fact included in this notification on Form 12b-25 are forward-looking statements. You can identify forward-looking statements by the fact that they do not relate strictly to historical or current facts. Such forward-looking statements contain words such as “anticipate,” “developing,” “will,” “expect,” “plan,” “intend,” “may,” “objectives,” “opportunity,” “plan,” “position,” “would,” and other similar words or expressions or the negative thereof or other variations thereon. Forward-looking statements are based on the Company’s current assumptions and beliefs regarding future business and financial performance and the matters discussed in this notification on Form 12b-25. For example, all statements the Company makes relating to (i) the ongoing review of the Company’s cash management practices, related disclosures, internal control over financial reporting and certain other matters, and the SEC matter, (ii) the timing and process to finalize the Company’s and its auditors’ processes related to the Quarterly Report, (iii) the impact of the ongoing review and the assessment of internal control over financial reporting and (iv) expected material weaknesses in the Company’s internal control over financial reporting, are all forward-looking statements. The Company’s actual business, financial condition, results of operations, reputation or prospects may differ materially from those suggested by forward-looking statements as a result of risks and uncertainties which include, among others: the timing, scope and completion of the review of the Company’s cash management practices, related disclosures, internal control over financial reporting and certain other matters, and the SEC matter and any results thereof; and the timing of the finalization of the Company’s financial statements to be included in the Quarterly Report and the Company’s assessment of internal control over financial reporting and the results thereof. Additional risks and uncertainties include, among others, those risks and uncertainties described in the “Risk Factors” section of the Company’s Annual Report on Form 10-K for the fiscal year ended March 31, 2025, as such factors may be updated from time to time in the Company’s subsequent filings with the SEC. Any forward-looking statement in this notification on Form 12b-25 speaks only as of the date on which it is made. Except as required by law, the Company assumes no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19685</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211"/>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Martin J. Schroeter</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2026-02-09T05:47:10Z</dcterms:created>
  <dcterms:modified xsi:type="dcterms:W3CDTF">2026-02-09T05:47:10Z</dcterms:modified>
</cp:coreProperties>
</file>