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754380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 w:lineRule="exact"/>
        <w:rPr>
          <w:sz w:val="24"/>
          <w:szCs w:val="24"/>
          <w:color w:val="auto"/>
        </w:rPr>
      </w:pPr>
    </w:p>
    <w:p>
      <w:pPr>
        <w:ind w:left="2120" w:hanging="210"/>
        <w:spacing w:after="0"/>
        <w:tabs>
          <w:tab w:leader="none" w:pos="2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15" w:lineRule="exact"/>
        <w:rPr>
          <w:rFonts w:ascii="MS PGothic" w:cs="MS PGothic" w:eastAsia="MS PGothic" w:hAnsi="MS PGothic"/>
          <w:sz w:val="18"/>
          <w:szCs w:val="18"/>
          <w:color w:val="auto"/>
        </w:rPr>
      </w:pPr>
    </w:p>
    <w:p>
      <w:pPr>
        <w:ind w:left="2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200" w:lineRule="exact"/>
        <w:rPr>
          <w:sz w:val="24"/>
          <w:szCs w:val="24"/>
          <w:color w:val="auto"/>
        </w:rPr>
      </w:pPr>
    </w:p>
    <w:p>
      <w:pPr>
        <w:spacing w:after="0" w:line="217" w:lineRule="exact"/>
        <w:rPr>
          <w:sz w:val="24"/>
          <w:szCs w:val="24"/>
          <w:color w:val="auto"/>
        </w:rPr>
      </w:pPr>
    </w:p>
    <w:p>
      <w:pPr>
        <w:ind w:left="2100" w:hanging="195"/>
        <w:spacing w:after="0"/>
        <w:tabs>
          <w:tab w:leader="none" w:pos="21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 TO _________________</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001-40853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4" w:lineRule="exact"/>
        <w:rPr>
          <w:sz w:val="24"/>
          <w:szCs w:val="24"/>
          <w:color w:val="auto"/>
        </w:rPr>
      </w:pPr>
    </w:p>
    <w:tbl>
      <w:tblPr>
        <w:tblLayout w:type="fixed"/>
        <w:tblInd w:w="300" w:type="dxa"/>
        <w:tblCellMar>
          <w:top w:w="0" w:type="dxa"/>
          <w:left w:w="0" w:type="dxa"/>
          <w:bottom w:w="0" w:type="dxa"/>
          <w:right w:w="0" w:type="dxa"/>
        </w:tblCellMar>
      </w:tblP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40" w:type="dxa"/>
            <w:vAlign w:val="bottom"/>
          </w:tcPr>
          <w:p>
            <w:pPr>
              <w:jc w:val="right"/>
              <w:ind w:right="715"/>
              <w:spacing w:after="0"/>
              <w:rPr>
                <w:sz w:val="20"/>
                <w:szCs w:val="20"/>
                <w:color w:val="auto"/>
              </w:rPr>
            </w:pPr>
            <w:r>
              <w:rPr>
                <w:rFonts w:ascii="Times New Roman" w:cs="Times New Roman" w:eastAsia="Times New Roman" w:hAnsi="Times New Roman"/>
                <w:sz w:val="18"/>
                <w:szCs w:val="18"/>
                <w:b w:val="1"/>
                <w:bCs w:val="1"/>
                <w:color w:val="auto"/>
              </w:rPr>
              <w:t>86-1185492</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416"/>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9"/>
              </w:rPr>
              <w:t>One Vanderbilt Avenue, 15th Floor</w:t>
            </w:r>
          </w:p>
        </w:tc>
        <w:tc>
          <w:tcPr>
            <w:tcW w:w="3140" w:type="dxa"/>
            <w:vAlign w:val="bottom"/>
          </w:tcPr>
          <w:p>
            <w:pPr>
              <w:spacing w:after="0"/>
              <w:rPr>
                <w:sz w:val="24"/>
                <w:szCs w:val="24"/>
                <w:color w:val="auto"/>
              </w:rPr>
            </w:pPr>
          </w:p>
        </w:tc>
      </w:t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40" w:type="dxa"/>
            <w:vAlign w:val="bottom"/>
          </w:tcPr>
          <w:p>
            <w:pPr>
              <w:jc w:val="right"/>
              <w:ind w:right="915"/>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212-896-2098</w:t>
      </w:r>
    </w:p>
    <w:p>
      <w:pPr>
        <w:spacing w:after="0" w:line="3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3020" w:type="dxa"/>
            <w:vAlign w:val="bottom"/>
            <w:gridSpan w:val="3"/>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60" w:type="dxa"/>
            <w:vAlign w:val="bottom"/>
          </w:tcPr>
          <w:p>
            <w:pPr>
              <w:spacing w:after="0"/>
              <w:rPr>
                <w:sz w:val="18"/>
                <w:szCs w:val="18"/>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KD</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60" w:right="179"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ind w:left="60" w:right="99"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232" w:lineRule="exact"/>
        <w:rPr>
          <w:sz w:val="24"/>
          <w:szCs w:val="24"/>
          <w:color w:val="auto"/>
        </w:rPr>
      </w:pPr>
    </w:p>
    <w:p>
      <w:pPr>
        <w:ind w:left="14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63" w:lineRule="exact"/>
        <w:rPr>
          <w:sz w:val="24"/>
          <w:szCs w:val="24"/>
          <w:color w:val="auto"/>
        </w:rPr>
      </w:pPr>
    </w:p>
    <w:p>
      <w:pPr>
        <w:ind w:left="150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319"/>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30"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34" w:lineRule="exact"/>
        <w:rPr>
          <w:sz w:val="24"/>
          <w:szCs w:val="24"/>
          <w:color w:val="auto"/>
        </w:rPr>
      </w:pPr>
    </w:p>
    <w:p>
      <w:pPr>
        <w:sectPr>
          <w:pgSz w:w="11900" w:h="16838" w:orient="portrait"/>
          <w:cols w:equalWidth="0" w:num="2">
            <w:col w:w="5040" w:space="720"/>
            <w:col w:w="3259"/>
          </w:cols>
          <w:pgMar w:left="1440" w:top="661" w:right="1440" w:bottom="1440" w:gutter="0" w:footer="0" w:header="0"/>
          <w:type w:val="continuous"/>
        </w:sectPr>
      </w:pPr>
    </w:p>
    <w:p>
      <w:pPr>
        <w:ind w:left="60" w:right="239"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 w:right="1319" w:firstLine="648"/>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left="60" w:right="499" w:firstLine="648"/>
        <w:spacing w:after="0" w:line="275" w:lineRule="auto"/>
        <w:rPr>
          <w:sz w:val="20"/>
          <w:szCs w:val="20"/>
          <w:color w:val="auto"/>
        </w:rPr>
      </w:pPr>
      <w:r>
        <w:rPr>
          <w:rFonts w:ascii="Times New Roman" w:cs="Times New Roman" w:eastAsia="Times New Roman" w:hAnsi="Times New Roman"/>
          <w:sz w:val="16"/>
          <w:szCs w:val="16"/>
          <w:color w:val="auto"/>
        </w:rPr>
        <w:t>The number of shares of the registrant’s Common Stock, par value $0.01 per share, outstanding at October 28, 2022 was 226,790,063.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466725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46990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89535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Index</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3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6220" w:type="dxa"/>
            <w:vAlign w:val="bottom"/>
            <w:gridSpan w:val="13"/>
            <w:vMerge w:val="restart"/>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2360" w:type="dxa"/>
            <w:vAlign w:val="bottom"/>
            <w:tcBorders>
              <w:bottom w:val="single" w:sz="8" w:color="0000EE"/>
            </w:tcBorders>
            <w:gridSpan w:val="11"/>
            <w:vMerge w:val="continue"/>
          </w:tcPr>
          <w:p>
            <w:pPr>
              <w:spacing w:after="0"/>
              <w:rPr>
                <w:sz w:val="13"/>
                <w:szCs w:val="13"/>
                <w:color w:val="auto"/>
              </w:rPr>
            </w:pPr>
          </w:p>
        </w:tc>
        <w:tc>
          <w:tcPr>
            <w:tcW w:w="6220" w:type="dxa"/>
            <w:vAlign w:val="bottom"/>
            <w:gridSpan w:val="13"/>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Item 1. Consolidated Financial Statements (Unaudited):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Income Statement for the three and six months ended September 30, 2022 and 2021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Statement of Comprehensive Income (Loss) for the three and six months ended September 30, 2022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and 2021</w:t>
            </w:r>
          </w:p>
        </w:tc>
        <w:tc>
          <w:tcPr>
            <w:tcW w:w="7340" w:type="dxa"/>
            <w:vAlign w:val="bottom"/>
            <w:tcBorders>
              <w:top w:val="single" w:sz="8" w:color="0000EE"/>
            </w:tcBorders>
            <w:gridSpan w:val="18"/>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Balance Sheet at September 30, 2022 and March 31, 2022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Statement of Cash Flows for the six months ended September 30, 2022 and 202</w:t>
            </w:r>
            <w:r>
              <w:rPr>
                <w:rFonts w:ascii="Times New Roman" w:cs="Times New Roman" w:eastAsia="Times New Roman" w:hAnsi="Times New Roman"/>
                <w:sz w:val="18"/>
                <w:szCs w:val="18"/>
                <w:color w:val="000000"/>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Statement of Equity for the three and six months ended September 30, 2022 and 2021</w:t>
            </w:r>
          </w:p>
        </w:tc>
        <w:tc>
          <w:tcPr>
            <w:tcW w:w="106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08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Item 2. Management’s Discussion and Analysis of Financial Condition and Results of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300" w:type="dxa"/>
            <w:vAlign w:val="bottom"/>
            <w:tcBorders>
              <w:bottom w:val="single" w:sz="8" w:color="0000EE"/>
            </w:tcBorders>
            <w:gridSpan w:val="16"/>
          </w:tcPr>
          <w:p>
            <w:pPr>
              <w:ind w:left="60"/>
              <w:spacing w:after="0"/>
              <w:rPr>
                <w:sz w:val="20"/>
                <w:szCs w:val="20"/>
                <w:color w:val="auto"/>
              </w:rPr>
            </w:pPr>
            <w:r>
              <w:rPr>
                <w:rFonts w:ascii="Times New Roman" w:cs="Times New Roman" w:eastAsia="Times New Roman" w:hAnsi="Times New Roman"/>
                <w:sz w:val="18"/>
                <w:szCs w:val="18"/>
                <w:b w:val="1"/>
                <w:bCs w:val="1"/>
                <w:color w:val="0000EE"/>
                <w:w w:val="99"/>
              </w:rPr>
              <w:t>Item 3. Quantitative and Qualitative Disclosures About Market Risk</w:t>
            </w:r>
          </w:p>
        </w:tc>
        <w:tc>
          <w:tcPr>
            <w:tcW w:w="316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Item 4. Controls and Procedures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6400" w:type="dxa"/>
            <w:vAlign w:val="bottom"/>
            <w:gridSpan w:val="15"/>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Item 1. Legal Proceedings</w:t>
            </w:r>
          </w:p>
        </w:tc>
        <w:tc>
          <w:tcPr>
            <w:tcW w:w="64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Item 1A. Risk Factors</w:t>
            </w:r>
          </w:p>
        </w:tc>
        <w:tc>
          <w:tcPr>
            <w:tcW w:w="672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Item 2. Unregistered Sales of Equity Securities and Use of Proceeds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9"/>
              </w:rPr>
              <w:t>Item 3. Defaults Upon Senior Securities</w:t>
            </w:r>
          </w:p>
        </w:tc>
        <w:tc>
          <w:tcPr>
            <w:tcW w:w="2120" w:type="dxa"/>
            <w:vAlign w:val="bottom"/>
            <w:tcBorders>
              <w:top w:val="single" w:sz="8" w:color="0000EE"/>
            </w:tcBorders>
            <w:gridSpan w:val="3"/>
          </w:tcPr>
          <w:p>
            <w:pPr>
              <w:spacing w:after="0"/>
              <w:rPr>
                <w:sz w:val="24"/>
                <w:szCs w:val="24"/>
                <w:color w:val="auto"/>
              </w:rPr>
            </w:pPr>
          </w:p>
        </w:tc>
        <w:tc>
          <w:tcPr>
            <w:tcW w:w="326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rPr>
              <w:t>Item 4. Mine Safety Disclosures</w:t>
            </w:r>
          </w:p>
        </w:tc>
        <w:tc>
          <w:tcPr>
            <w:tcW w:w="592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Item 5. Other Information</w:t>
            </w:r>
          </w:p>
        </w:tc>
        <w:tc>
          <w:tcPr>
            <w:tcW w:w="638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7"/>
              </w:rPr>
              <w:t>Item 6. Exhibits</w:t>
            </w:r>
          </w:p>
        </w:tc>
        <w:tc>
          <w:tcPr>
            <w:tcW w:w="718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w:t>
            </w:r>
          </w:p>
        </w:tc>
        <w:tc>
          <w:tcPr>
            <w:tcW w:w="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4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4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699" w:hanging="10"/>
        <w:spacing w:after="0" w:line="269" w:lineRule="auto"/>
        <w:tabs>
          <w:tab w:leader="none" w:pos="26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related-party revenue of $82 and $144 for the three months ended September 30, 2022 and 2021, respectively, and including related-party revenue of $287 and $291 for the six months ended September 30, 2022 and 2021, respectively.</w:t>
      </w:r>
    </w:p>
    <w:p>
      <w:pPr>
        <w:ind w:left="60" w:right="139"/>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Including related-party cost of services of $421 and $966 for the three months ended September 30, 2022 and 2021, respectively, and including related-party cost of services of $1,382 and $1,872 for the six months ended September 30, 2022 and 2021,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5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unrealized gains (losses) on cash flow hedges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retirement-related benefit plans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194"/>
        </w:trPr>
        <w:tc>
          <w:tcPr>
            <w:tcW w:w="4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tax (expense) benefit related to items of other</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38"/>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0"/>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0"/>
        </w:trPr>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w:t>
            </w:r>
          </w:p>
        </w:tc>
        <w:tc>
          <w:tcPr>
            <w:tcW w:w="48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allowances of $33 at September 30, 2022 and $44 at March 31,</w:t>
            </w: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costs (current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4,964</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right-of-use assets, net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costs (noncurrent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Pension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11,629</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13,442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1,594</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Value-added tax and income tax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debt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contract costs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4,579</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3,101</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Retirement and nonpension postretirement benefit obligations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(noncurrent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 portion)</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9,882</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par value $0.01 per share, and additional paid-in capital</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 authorized: 1,000.0; shares issued: September 30, 2022 – 228.1, March 31, 2022 –</w:t>
            </w:r>
          </w:p>
        </w:tc>
        <w:tc>
          <w:tcPr>
            <w:tcW w:w="42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48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0" w:type="dxa"/>
            <w:vAlign w:val="bottom"/>
          </w:tcPr>
          <w:p>
            <w:pPr>
              <w:spacing w:after="0"/>
              <w:rPr>
                <w:sz w:val="1"/>
                <w:szCs w:val="1"/>
                <w:color w:val="auto"/>
              </w:rPr>
            </w:pPr>
          </w:p>
        </w:tc>
      </w:tr>
      <w:tr>
        <w:trPr>
          <w:trHeight w:val="171"/>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224.5)</w:t>
            </w:r>
          </w:p>
        </w:tc>
        <w:tc>
          <w:tcPr>
            <w:tcW w:w="42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Treasury stock, at cost (shares: September 30, 2022 – 1.3, March 31, 2022 – 0.2)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stockholders’ equity before non-controlling interests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1,650</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1,746</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11,629</w:t>
            </w: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079" w:hanging="10"/>
        <w:spacing w:after="0" w:line="298" w:lineRule="auto"/>
        <w:tabs>
          <w:tab w:leader="none" w:pos="34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related-party accounts receivable of $343 at March 31, 2022. ** Including related-party accounts payable of $806 at March 31, 2022.</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by operating activities: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of right-of-use assets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transition costs and prepaid software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capitalized contract costs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taxes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(gain) loss on asset sales and other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costs (excluding amortization)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Right-of-use assets and liabilities (excluding depreciation)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Workforce rebalancing liabilities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Receivables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(including items settled with former Parent in prior-year period)</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Other assets and other liabilities</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disposition of property and equipment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Debt repayments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issuance of debt, net of debt issuance costs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transfers from Parent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Common stock repurchases for tax withholdings</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April 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4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September 30</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2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data</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paid, net of refunds received</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 on debt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ind w:left="4120"/>
        <w:spacing w:after="0" w:line="224"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6"/>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0" w:type="dxa"/>
            <w:vAlign w:val="bottom"/>
          </w:tcPr>
          <w:p>
            <w:pPr>
              <w:spacing w:after="0"/>
              <w:rPr>
                <w:sz w:val="15"/>
                <w:szCs w:val="15"/>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94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5"/>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July 1, 2022</w:t>
            </w:r>
          </w:p>
        </w:tc>
        <w:tc>
          <w:tcPr>
            <w:tcW w:w="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226.7</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gridSpan w:val="3"/>
            <w:shd w:val="clear" w:color="auto" w:fill="CCEEFF"/>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4,341</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(1,353)</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(855)</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gridSpan w:val="5"/>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5"/>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gridSpan w:val="5"/>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September 30, 2022</w:t>
            </w: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226.8</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gridSpan w:val="3"/>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4,370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(1,567)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6"/>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2"/>
                <w:szCs w:val="12"/>
                <w:color w:val="auto"/>
              </w:rPr>
            </w:pPr>
          </w:p>
        </w:tc>
        <w:tc>
          <w:tcPr>
            <w:tcW w:w="90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9"/>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July 1, 2021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6,040</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(1,161)</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gridSpan w:val="5"/>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(115)</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auto"/>
              </w:rPr>
              <w:t>Net transfers from Parent</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5"/>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September 30, 2021</w:t>
            </w:r>
          </w:p>
        </w:tc>
        <w:tc>
          <w:tcPr>
            <w:tcW w:w="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7,102</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(1,614)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6"/>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0" w:type="dxa"/>
            <w:vAlign w:val="bottom"/>
          </w:tcPr>
          <w:p>
            <w:pPr>
              <w:spacing w:after="0"/>
              <w:rPr>
                <w:sz w:val="15"/>
                <w:szCs w:val="15"/>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94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5"/>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2022</w:t>
            </w:r>
          </w:p>
        </w:tc>
        <w:tc>
          <w:tcPr>
            <w:tcW w:w="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224.5</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gridSpan w:val="3"/>
            <w:shd w:val="clear" w:color="auto" w:fill="CCEEFF"/>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4,315</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(1,089)</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(605)</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gridSpan w:val="5"/>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(478)</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5"/>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gridSpan w:val="5"/>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960" w:type="dxa"/>
            <w:vAlign w:val="bottom"/>
            <w:gridSpan w:val="4"/>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Borders>
              <w:bottom w:val="single" w:sz="8" w:color="CCEEFF"/>
            </w:tcBorders>
            <w:gridSpan w:val="5"/>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gridSpan w:val="5"/>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September 30, 2022</w:t>
            </w:r>
          </w:p>
        </w:tc>
        <w:tc>
          <w:tcPr>
            <w:tcW w:w="8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226.8</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gridSpan w:val="3"/>
            <w:shd w:val="clear" w:color="auto" w:fill="CCEEFF"/>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4,370</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(1,567)</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(1,136)</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6"/>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9"/>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2021</w:t>
            </w:r>
          </w:p>
        </w:tc>
        <w:tc>
          <w:tcPr>
            <w:tcW w:w="8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6,027</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(1,182)</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4,902</w:t>
            </w: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2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Net transfers from Parent</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September 30, 2021</w:t>
            </w:r>
          </w:p>
        </w:tc>
        <w:tc>
          <w:tcPr>
            <w:tcW w:w="2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7,102</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(1,614)</w:t>
            </w: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0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Kyndryl Holdings, Inc. (“we”, “the Company” or “Kyndryl”) is a leading technology services company and the largest infrastructure services provider in the world, serving as a partner to thousands of enterprise customers whose operations span over 100 countries. Prior to November 3, 2021, the Company was wholly owned by International Business Machines Corporation (“IBM”, “Parent” or “former Parent”).</w:t>
      </w:r>
    </w:p>
    <w:p>
      <w:pPr>
        <w:spacing w:after="0" w:line="13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In October 2021, the Board of Directors of IBM approved the spin-off (the “Separation” or the “Spin-off”) of the infrastructure services unit (the “Kyndryl Businesses”) of its Global Technology Services (“GTS”) segment through the distribution of shares of Kyndryl’s common stock to IBM stockholders. In conjunction with the Separation, Kyndryl underwent an internal reorganization following which it became the holder, directly or through its subsidiaries, of the Kyndryl Businesses. On November 3, 2021, the Separation was achieved through the Parent’s pro rata distribution of</w:t>
      </w:r>
    </w:p>
    <w:p>
      <w:pPr>
        <w:spacing w:after="0" w:line="3"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80.1% of the shares of common stock of Kyndryl to holders of the Parent’s common stock as of the close of business on the record date of October 25, 2021. The Parent retained 19.9% of the shares of the Company’s common stock upon the Spin-off. The Parent’s stockholders of record received one share of the Company’s common stock for every five shares of the Parent’s common stock. Based on IBM’s Quarterly Reports filed with the SEC on July 25, 2022 and October 25, 2022, as of September 30, 2022, IBM had transferred all of its 19.9% retained interest in Kyndryl common stock pursuant to exchange agreements with a third-party financial institution.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Prior to the Separation on November 3, 2021 (the “pre-Separation periods”), our historical financial statements were prepared on a combined basis and were derived from the consolidated financial statements of IBM. For the period subsequent to November 3, 2021, the financial statements are presented on a consolidated basis as the Company became a standalone public company. Management believes the accompanying financial statements include all adjustments necessary to present fairly the Company’s financial position and its results of operations for all the periods presented. The financial statements should be read in conjunction with the consolidated financial statements and notes thereto included in the report on Form 8-K/A we filed with the U.S. Securities and Exchange Commission (“SEC”) on May 27, 2022 (the “8-K/A”) and our transition report for the three months ended March 31, 2022 filed on Form 10-QT.</w:t>
      </w:r>
    </w:p>
    <w:p>
      <w:pPr>
        <w:spacing w:after="0" w:line="16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8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For the pre-Separation periods, the accompanying financial statements were derived from the consolidated financial statements and accounting records of the Parent as if the Company operated on a standalone basis during the periods presented and were prepared in accordance with Generally Accepted Accounting Principles in the United States (“U.S. GAAP”) and pursuant to the rules and regulations of the SEC.</w:t>
      </w:r>
    </w:p>
    <w:p>
      <w:pPr>
        <w:spacing w:after="0" w:line="153"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All significant intercompany transactions during the pre-Separation periods between Kyndryl and IBM have been included in the consolidated financial statements. Intercompany transactions between Kyndryl and IBM were considered to be effectively settled in the consolidated financial statements at the time the transaction was recorded. The total net effect of the settlement of these intercompany transactions is reflected as Net transfers from Parent in the financing activities section in the Consolidated Statement of Cash Flows and in the Consolidated Balance Sheet within Net Parent investment.</w:t>
      </w:r>
    </w:p>
    <w:p>
      <w:pPr>
        <w:spacing w:after="0" w:line="12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After the Separation on November 3, 2021, the Company’s consolidated financial statements are based on our reported results as a standalone company. All significant transactions and intercompany accounts between Kyndryl entities were eliminated.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deferred transition costs and other matters. Estimates were also used in determining the allocation of costs and expenses from IBM for the pre-Separation periods. These estimates are based on management’s knowledge of current events, historical experience and actions that the Company may undertake in the future and on various other assumptions that are believed to be reasonable under the circumstances. Actual results may be different from these estimates.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Transition Period</w:t>
      </w:r>
    </w:p>
    <w:p>
      <w:pPr>
        <w:spacing w:after="0" w:line="18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January 2022, the Board of Directors of Kyndryl approved a change to the fiscal year-end of the Company from December 31 to March 31. The Company’s 2023 fiscal year began on April 1, 2022 and will end on March 31, 2023. The Company filed a Transition Report on Form 10-QT for the period of January 1 to March 31, 2022 with the SEC on May 13,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CHANGES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Standards Implemented</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Standards Board (“FASB”) issued guidance (“Revenue Contracts with Customers Acquired in a Business Combination”) which requires that an acquirer recognize and measure contract assets and liabilities acquired in a business combination as if the acquirer had originated the contracts,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Deferred revenue acquired in a business combination is no longer required to be measured at its fair value, which had historically resulted in a deferred revenue impairment at the date of acquisition. The guidance is effective January 1, 2023, and early adoption is permitted. The Company has early adopted the guidance as of January 1, 2022. Our adoption did not materially affect our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 Standards to be Implemented</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September 2022, the FASB amended its guidance related to supplier finance programs. The amended guidance requires additional disclosures surrounding the use of supplier finance programs to purchase goods or services, including disclosing the key terms of the programs, the amount of obligations outstanding at the end of the reporting period, and a roll-forward of those obligations. The new guidance, except the roll-forward information, is effective for fiscal years beginning after December 15, 2022, including interim periods within those fiscal years. The roll-forward information is effective for fiscal years beginning after December 15, 2023. Early adoption is permitted. The Company is currently evaluating the impact that this amended guidance will have on the Company's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views its segment results to be the best view of disaggregated revenue. Refer to Note 4 – Segments.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remaining performance obligation (“RPO”) represents the aggregate amount of contractual deliverables yet to be recognized as revenue at the end of the reporting period. It is intended to be a statement of overall work 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contract that has not yet been performed and does not include contracts in which the customer is not committed. The customer is not considered committed when it is able to terminate for convenience without payment of a substantive penalty. The RPO also includes estimates of variable consideration. Additionally, as a practical expedient, the Company does not include contracts that have an original duration of one year or less. RPO estimates are subject to change and are affected by several factors, including terminations, changes in the scope of contracts, periodic revalidations, adjustments for revenue that has not materialized and adjustments for currency.</w:t>
      </w:r>
    </w:p>
    <w:p>
      <w:pPr>
        <w:spacing w:after="0" w:line="187"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2022, the aggregate amount of RPO related to customer contracts that are unsatisfied or partially unsatisfied was $39.8 billion. Approximately 57 percent of the amount is expected to be recognized as revenue in the next two years, approximately 35 percent in the subsequent three years, and the balance thereafter.</w:t>
      </w:r>
    </w:p>
    <w:p>
      <w:pPr>
        <w:spacing w:after="0" w:line="176"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September 30, 2022, revenue was increased by $4 million and $3 million, respectively, for performance obligations satisfied (or partially satisfied) in previous periods, mainly due to changes in estimates on contracts with cost-to-cost measures of progress.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deferred income balances: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1"/>
        </w:trPr>
        <w:tc>
          <w:tcPr>
            <w:tcW w:w="55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(net of allowances of $33 at September 30, 2022 and</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 at March 31, 2022) *</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(current)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(noncurrent)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unbilled receivable balances of $482 million at September 30, 2022 and $473 million at March 31, 2022.</w:t>
      </w:r>
    </w:p>
    <w:p>
      <w:pPr>
        <w:spacing w:after="0" w:line="4" w:lineRule="exact"/>
        <w:rPr>
          <w:sz w:val="20"/>
          <w:szCs w:val="20"/>
          <w:color w:val="auto"/>
        </w:rPr>
      </w:pPr>
    </w:p>
    <w:p>
      <w:pPr>
        <w:ind w:left="380" w:right="279" w:hanging="330"/>
        <w:spacing w:after="0" w:line="233" w:lineRule="auto"/>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assets represent services performed by the Company prior to billing the client, which give the Company the right to consideration that is typically subject to milestone completion or client acceptance. They are included within prepaid expenses and other current assets in the Consolidated Balance Sheet.</w:t>
      </w:r>
    </w:p>
    <w:p>
      <w:pPr>
        <w:spacing w:after="0" w:line="181" w:lineRule="exact"/>
        <w:rPr>
          <w:sz w:val="20"/>
          <w:szCs w:val="20"/>
          <w:color w:val="auto"/>
        </w:rPr>
      </w:pPr>
    </w:p>
    <w:p>
      <w:pPr>
        <w:ind w:left="60" w:right="219" w:firstLine="648"/>
        <w:spacing w:after="0" w:line="312" w:lineRule="auto"/>
        <w:rPr>
          <w:sz w:val="20"/>
          <w:szCs w:val="20"/>
          <w:color w:val="auto"/>
        </w:rPr>
      </w:pPr>
      <w:r>
        <w:rPr>
          <w:rFonts w:ascii="Times New Roman" w:cs="Times New Roman" w:eastAsia="Times New Roman" w:hAnsi="Times New Roman"/>
          <w:sz w:val="17"/>
          <w:szCs w:val="17"/>
          <w:color w:val="auto"/>
        </w:rPr>
        <w:t>The amount of revenue recognized during the three and six months ended September 30, 2022 that was included within the deferred income balance at the beginning of the period was $184 million and $367 million, respectively.</w:t>
      </w:r>
    </w:p>
    <w:p>
      <w:pPr>
        <w:spacing w:after="0" w:line="140"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roll-forwards of the accounts receivable allowance for expected credit losses for the six months ended September 30, 2022 and the six months ended September 30, 2021.</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3"/>
                <w:szCs w:val="13"/>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7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5"/>
                <w:szCs w:val="15"/>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(releases)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w:t>
            </w:r>
          </w:p>
        </w:tc>
        <w:tc>
          <w:tcPr>
            <w:tcW w:w="1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currency translation adjustments</w:t>
      </w:r>
      <w:r>
        <w:rPr>
          <w:rFonts w:ascii="Times New Roman" w:cs="Times New Roman" w:eastAsia="Times New Roman" w:hAnsi="Times New Roman"/>
          <w:sz w:val="12"/>
          <w:szCs w:val="12"/>
          <w:color w:val="auto"/>
        </w:rPr>
        <w:t>.</w:t>
      </w: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contract assets allowance for expected credit losses was not material in any of the periods presented.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Clients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No single client represented more than 10 percent of the Company’s total revenue during the three and six months ended September 30, 2022 and 2021. Other than the former Parent (see Note 13 – Related-Party Transactions), no single client represented more than 10 percent of the Company’s total accounts receivable balance as of September 30, 2022 and March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three to six years. For contracts with an estimated amortization period of less than one year, we elected the practical expedient to expense incremental costs immediately.</w:t>
      </w:r>
    </w:p>
    <w:p>
      <w:pPr>
        <w:spacing w:after="0" w:line="183" w:lineRule="exact"/>
        <w:rPr>
          <w:sz w:val="20"/>
          <w:szCs w:val="20"/>
          <w:color w:val="auto"/>
        </w:rPr>
      </w:pPr>
    </w:p>
    <w:p>
      <w:pPr>
        <w:ind w:left="60" w:right="259"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amounts of capitalized costs to acquire and fulfill customer contracts at September 30, 2022 and March 31, 2022:</w:t>
      </w:r>
    </w:p>
    <w:tbl>
      <w:tblPr>
        <w:tblLayout w:type="fixed"/>
        <w:tblInd w:w="40" w:type="dxa"/>
        <w:tblCellMar>
          <w:top w:w="0" w:type="dxa"/>
          <w:left w:w="0" w:type="dxa"/>
          <w:bottom w:w="0" w:type="dxa"/>
          <w:right w:w="0" w:type="dxa"/>
        </w:tblCellMar>
      </w:tblPr>
      <w:tr>
        <w:trPr>
          <w:trHeight w:val="149"/>
        </w:trPr>
        <w:tc>
          <w:tcPr>
            <w:tcW w:w="5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transition costs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costs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costs to fulfill contracts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costs to obtain contracts</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costs *</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159" w:hanging="330"/>
        <w:spacing w:after="0" w:line="261" w:lineRule="auto"/>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total deferred costs, $973 million was current and $1,156 million was noncurrent at September 30, 2022, and $1,143 million was current and $1,244 million was noncurrent at March 31, 2022.</w:t>
      </w:r>
    </w:p>
    <w:p>
      <w:pPr>
        <w:spacing w:after="0" w:line="16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amount of total deferred costs amortized for the three months ended September 30, 2022 was $401 million, composed of $85 million of amortization of deferred transition costs, $206 million of amortization of prepaid software and $111 million of amortization of capitalized contract costs. The amount of total deferred costs amortized for the six months ended September 30, 2022 was $806 million, composed of $172 million of amortization of deferred transition costs, $412 million of amortization of prepaid software and $222 million of amortization of capitalized contract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SEGMENTS</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Our reportable segments correspond to how the chief operating decision maker (“CODM”) reviews performance and allocates resources. Our four reportable segments consist of the following:</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United States: </w:t>
      </w:r>
      <w:r>
        <w:rPr>
          <w:rFonts w:ascii="Times New Roman" w:cs="Times New Roman" w:eastAsia="Times New Roman" w:hAnsi="Times New Roman"/>
          <w:sz w:val="18"/>
          <w:szCs w:val="18"/>
          <w:color w:val="auto"/>
        </w:rPr>
        <w:t>This reportable segment is comprised of Kyndryl’s operations in the United States.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Japan: </w:t>
      </w:r>
      <w:r>
        <w:rPr>
          <w:rFonts w:ascii="Times New Roman" w:cs="Times New Roman" w:eastAsia="Times New Roman" w:hAnsi="Times New Roman"/>
          <w:sz w:val="18"/>
          <w:szCs w:val="18"/>
          <w:color w:val="auto"/>
        </w:rPr>
        <w:t>This reportable segment is comprised of Kyndryl’s operations in Japan.</w:t>
      </w:r>
    </w:p>
    <w:p>
      <w:pPr>
        <w:spacing w:after="0" w:line="225" w:lineRule="exact"/>
        <w:rPr>
          <w:sz w:val="20"/>
          <w:szCs w:val="20"/>
          <w:color w:val="auto"/>
        </w:rPr>
      </w:pPr>
    </w:p>
    <w:p>
      <w:pPr>
        <w:ind w:left="60" w:right="49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Markets: </w:t>
      </w:r>
      <w:r>
        <w:rPr>
          <w:rFonts w:ascii="Times New Roman" w:cs="Times New Roman" w:eastAsia="Times New Roman" w:hAnsi="Times New Roman"/>
          <w:sz w:val="18"/>
          <w:szCs w:val="18"/>
          <w:color w:val="auto"/>
        </w:rPr>
        <w:t>This reportable segment represents the aggregation of our operations in Australia /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Zealand, Canada, France, Germany, India, Italy, Spain / Portugal, and the United Kingdom / Ireland.</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Strategic Markets: </w:t>
      </w:r>
      <w:r>
        <w:rPr>
          <w:rFonts w:ascii="Times New Roman" w:cs="Times New Roman" w:eastAsia="Times New Roman" w:hAnsi="Times New Roman"/>
          <w:sz w:val="18"/>
          <w:szCs w:val="18"/>
          <w:color w:val="auto"/>
        </w:rPr>
        <w:t>This reportable segment is comprised of our operations in all other countries in which we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operate.</w:t>
      </w:r>
    </w:p>
    <w:p>
      <w:pPr>
        <w:spacing w:after="0" w:line="207" w:lineRule="exact"/>
        <w:rPr>
          <w:sz w:val="20"/>
          <w:szCs w:val="20"/>
          <w:color w:val="auto"/>
        </w:rPr>
      </w:pPr>
    </w:p>
    <w:p>
      <w:pPr>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The measure of segment operating performance used by Kyndryl’s CODM is adjusted EBITDA. Adjusted EBITDA is defined as net income (loss) excluding net interest expense, depreciation and amortization (excluding depreciation of right-of-use assets and amortization of capitalized contract costs), transaction-related costs, pension costs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other than pension servicing costs and multi-employer plan costs, stock-based compensation expense, workforce rebalancing charges, impairment expense, significant litigation costs, and foreign currency impacts of highly inflationary countries. The use of revenue and adjusted EBITDA aligns with how the CODM assesses performance and allocates resources for the Company’s segments. The Company has recast the prior-period results to reflect the change in segment structure that became effective in the fourth quarter of 2021. In addition, during the three months ended March 31, 2022, the Company updated certain allocation methodologies related to its measure of segment adjusted EBITDA and has accordingly recast the prior-period information to reflect these updates, which did not change the aggregate amount of segment adjusted EBITDA.</w:t>
      </w:r>
    </w:p>
    <w:p>
      <w:pPr>
        <w:spacing w:after="0" w:line="192"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Our geographic markets frequently work together to sell and implement certain contracts.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reflects the results of the Company’s segments: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16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0" w:type="dxa"/>
            <w:vAlign w:val="bottom"/>
          </w:tcPr>
          <w:p>
            <w:pPr>
              <w:spacing w:after="0"/>
              <w:rPr>
                <w:sz w:val="1"/>
                <w:szCs w:val="1"/>
                <w:color w:val="auto"/>
              </w:rPr>
            </w:pPr>
          </w:p>
        </w:tc>
      </w:tr>
      <w:tr>
        <w:trPr>
          <w:trHeight w:val="197"/>
        </w:trPr>
        <w:tc>
          <w:tcPr>
            <w:tcW w:w="420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0"/>
        </w:trPr>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reconciles consolidated pretax income (loss) to segment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16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4200" w:type="dxa"/>
            <w:vAlign w:val="bottom"/>
            <w:gridSpan w:val="3"/>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(loss)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6"/>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Corporate expense not allocated to the segments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 *</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251"/>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costs other than pension servicing costs and multi-employer plan costs.</w:t>
      </w: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TAXES</w:t>
      </w:r>
    </w:p>
    <w:p>
      <w:pPr>
        <w:spacing w:after="0" w:line="229" w:lineRule="exact"/>
        <w:rPr>
          <w:sz w:val="20"/>
          <w:szCs w:val="20"/>
          <w:color w:val="auto"/>
        </w:rPr>
      </w:pPr>
    </w:p>
    <w:p>
      <w:pPr>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For the three months ended September 30, 2022, the Company’s effective tax rate was (27.9%), compared to (48.0%) for the three months ended September 30, 2021. For the six months ended September 30, 2022, the Company’s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effective tax rate was (25.1%), compared to (38.4%) for the six months ended September 30, 2021. The Company’s negative effective tax rates in 2022 and 2021 reflect a tax expense on a pretax book loss in both periods. For the three and six months ended September 30, 2022, income taxes are computed using the estimated annual effective tax rate applicable to the fiscal year ending March 31, 2023. For the three and six months ended September 30, 2021, income taxes were calculated as if Kyndryl had filed income tax returns on a standalone basis, as our operations were historically included in certain tax returns filed by IBM.</w:t>
      </w:r>
    </w:p>
    <w:p>
      <w:pPr>
        <w:spacing w:after="0" w:line="18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and six months ended September 30, 2022 was lower than the Company’s statutory tax rate primarily due to taxes on foreign operations and an increase in valuation allowances in certain jurisdictions against deferred tax assets that are not more likely than not to be realized. For the three and six months ended September 30, 2022 the additions to valuation allowance primarily relate to a partial valuation allowance established against certain deferred tax assets in the United States.</w:t>
      </w:r>
    </w:p>
    <w:p>
      <w:pPr>
        <w:spacing w:after="0" w:line="183" w:lineRule="exact"/>
        <w:rPr>
          <w:sz w:val="20"/>
          <w:szCs w:val="20"/>
          <w:color w:val="auto"/>
        </w:rPr>
      </w:pPr>
    </w:p>
    <w:p>
      <w:pPr>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The Company’s effective tax rate for the three and six months ended September 30, 2021, was lower than the Company’s statutory tax rate primarily due to the geographic mix of pretax income, changes in valuation allowances and tax charges related to the transfer of Kyndryl’s operations from IBM in contemplation of the Company’s Separation.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NET LOSS PER SHARE</w:t>
      </w:r>
    </w:p>
    <w:p>
      <w:pPr>
        <w:spacing w:after="0" w:line="229" w:lineRule="exact"/>
        <w:rPr>
          <w:sz w:val="20"/>
          <w:szCs w:val="20"/>
          <w:color w:val="auto"/>
        </w:rPr>
      </w:pPr>
    </w:p>
    <w:p>
      <w:pPr>
        <w:ind w:left="60" w:right="159" w:firstLine="648"/>
        <w:spacing w:after="0" w:line="312" w:lineRule="auto"/>
        <w:rPr>
          <w:sz w:val="20"/>
          <w:szCs w:val="20"/>
          <w:color w:val="auto"/>
        </w:rPr>
      </w:pPr>
      <w:r>
        <w:rPr>
          <w:rFonts w:ascii="Times New Roman" w:cs="Times New Roman" w:eastAsia="Times New Roman" w:hAnsi="Times New Roman"/>
          <w:sz w:val="17"/>
          <w:szCs w:val="17"/>
          <w:color w:val="auto"/>
        </w:rPr>
        <w:t>We did not declare any stock dividends in the periods presented. The following tables provide the computation of basic and diluted earnings per share of common stock for the three and six months ended September 30, 2022 and 2021.</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426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 (loss) on which basic and diluted earnings</w:t>
            </w: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is calculated</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Number of shares on which basic and diluted earnings</w:t>
            </w: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 share is calculated</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Prior to the Separation, the Company did not have any publicly-traded common stock or equivalents issued and outstanding. Accordingly, the net loss per share for the three and six months ended September 30, 2021 is calculated based on the 224.1 million shares distributed on the Separation Date.</w:t>
      </w:r>
    </w:p>
    <w:p>
      <w:pPr>
        <w:spacing w:after="0" w:line="176"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September 30, 2022, the Company’s basic and diluted weighted-average shares outstanding were the same. The following securities were not included in the computation of diluted net loss per share because they would have been anti-dilutive:</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Nonvested restricted stock units issued and outstanding</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Nonvested performance-based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Nonvested market-conditioned performance awards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options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11.0</w:t>
      </w:r>
    </w:p>
    <w:p>
      <w:pPr>
        <w:spacing w:after="0" w:line="27"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9"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3"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3.7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-937895</wp:posOffset>
            </wp:positionH>
            <wp:positionV relativeFrom="paragraph">
              <wp:posOffset>34290</wp:posOffset>
            </wp:positionV>
            <wp:extent cx="11830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7840" w:space="720"/>
            <w:col w:w="459"/>
          </w:cols>
          <w:pgMar w:left="1440" w:top="513" w:right="1440" w:bottom="1440" w:gutter="0" w:footer="0" w:header="0"/>
          <w:type w:val="continuous"/>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FINANCIAL ASSETS AND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p>
      <w:pPr>
        <w:spacing w:after="0" w:line="176" w:lineRule="exact"/>
        <w:rPr>
          <w:sz w:val="20"/>
          <w:szCs w:val="20"/>
          <w:color w:val="auto"/>
        </w:rPr>
      </w:pPr>
    </w:p>
    <w:p>
      <w:pPr>
        <w:ind w:left="1040" w:right="239" w:hanging="315"/>
        <w:spacing w:after="0" w:line="283"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1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Quoted prices (unadjusted) in active markets for identical assets or liabilities that can be accessed at the measurement date.</w:t>
      </w:r>
    </w:p>
    <w:p>
      <w:pPr>
        <w:spacing w:after="0" w:line="158" w:lineRule="exact"/>
        <w:rPr>
          <w:rFonts w:ascii="Times New Roman" w:cs="Times New Roman" w:eastAsia="Times New Roman" w:hAnsi="Times New Roman"/>
          <w:sz w:val="18"/>
          <w:szCs w:val="18"/>
          <w:color w:val="auto"/>
        </w:rPr>
      </w:pPr>
    </w:p>
    <w:p>
      <w:pPr>
        <w:ind w:left="1040" w:right="119" w:hanging="315"/>
        <w:spacing w:after="0" w:line="283"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Inputs other than quoted prices included within Level 1 that are observable for the asset or liability, either directly or indirectly.</w:t>
      </w:r>
    </w:p>
    <w:p>
      <w:pPr>
        <w:spacing w:after="0" w:line="15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3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Unobservable inputs for the asset or liability.</w:t>
      </w:r>
    </w:p>
    <w:p>
      <w:pPr>
        <w:spacing w:after="0" w:line="226"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level of an asset or liability within the fair value hierarchy is determined based on the lowest level of any input that is significant to the fair value measurement.</w:t>
      </w:r>
    </w:p>
    <w:p>
      <w:pPr>
        <w:spacing w:after="0" w:line="162"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certain financial instruments, the Company considers certain market valuation adjustments to the “base valuations” using the methodologies described below for several parameters that market participants would consider in determining fair value:</w:t>
      </w:r>
    </w:p>
    <w:p>
      <w:pPr>
        <w:spacing w:after="0" w:line="176" w:lineRule="exact"/>
        <w:rPr>
          <w:sz w:val="20"/>
          <w:szCs w:val="20"/>
          <w:color w:val="auto"/>
        </w:rPr>
      </w:pPr>
    </w:p>
    <w:p>
      <w:pPr>
        <w:ind w:left="1040" w:right="359" w:hanging="315"/>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 adjustments are applied to certain financial instruments, taking into account the actual credit risk of a counterparty as observed in the credit default swap market to determine the true fair value of such an instrument.</w:t>
      </w:r>
    </w:p>
    <w:p>
      <w:pPr>
        <w:spacing w:after="0" w:line="17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adjustments are applied to reflect the Company’s own credit risk when valuing certain liabilities measured at fair value. The methodology is consistent with that applied in developing counterparty credit risk adjustments, but incorporates the Company’s credit risk as observed in the credit default swap market.</w:t>
      </w:r>
    </w:p>
    <w:p>
      <w:pPr>
        <w:spacing w:after="0" w:line="17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Certain non-financial assets such as property, plant and equipment, operating right-of-use assets, land, goodwill and intangible assets are recorded at fair value or at cost, as appropriate, in the period they are initially recognized, and such fair value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w:t>
      </w:r>
    </w:p>
    <w:p>
      <w:pPr>
        <w:spacing w:after="0" w:line="183"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perform a qualitative assessment of asset impairments on a periodic basis and recognize an impairment if there are sufficient indicators that the fair value is less than carrying value. There were no impairments of non-financial assets recognized for the three and six months ended September 30, 2022 and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gross balances of derivative assets contained within prepaid expenses and other current assets in the Consolidated Balance Sheet were $50 million at September 30, 2022 and $9 million at March 31, 2022. The gross balances of derivative liabilities contained within other accrued expenses and liabilities, and other liabilities in the Consolidated Balance Sheet were $16 million at September 30, 2022 and $2 million at March 31, 2022. The fair value of derivatives is the difference between the contractual forward price and the current available forward price for the residual maturity of the contract using observable market rates and is categorized as Level 2 in the fair value hierarchy.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 Company may enter into master netting agreements with certain counterparties that allow for netting of exposures in the event of default or breach. However, in the Consolidated Balance Sheet, the Company does not offset derivative assets against liabilities with counterparties in master netting arrangements by counterparty, and there was no derivative instruments activity impacted by master netting agreements at September 30, 2022 and March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spacing w:after="0" w:line="180" w:lineRule="exact"/>
        <w:rPr>
          <w:sz w:val="20"/>
          <w:szCs w:val="20"/>
          <w:color w:val="auto"/>
        </w:rPr>
      </w:pPr>
    </w:p>
    <w:p>
      <w:pPr>
        <w:ind w:left="60" w:right="79" w:firstLine="693"/>
        <w:spacing w:after="0" w:line="258" w:lineRule="auto"/>
        <w:rPr>
          <w:sz w:val="20"/>
          <w:szCs w:val="20"/>
          <w:color w:val="auto"/>
        </w:rPr>
      </w:pPr>
      <w:r>
        <w:rPr>
          <w:rFonts w:ascii="Times New Roman" w:cs="Times New Roman" w:eastAsia="Times New Roman" w:hAnsi="Times New Roman"/>
          <w:sz w:val="18"/>
          <w:szCs w:val="18"/>
          <w:color w:val="auto"/>
        </w:rPr>
        <w:t>The Company has time deposits that have maturities of 90 days or less, and their carrying values approximate fair value. The balance of these time deposits with maturities of 90 days or less contained within cash and cash equivalents in the Consolidated Balance Sheet at September 30, 2022 and March 31, 2022 was $623 million and $972 million, respectively. If measured at fair value in the consolidated financial statements, time deposits with maturities of 90 days or less would be categorized as Level 2 in the fair value hierarchy.</w:t>
      </w:r>
    </w:p>
    <w:p>
      <w:pPr>
        <w:spacing w:after="0" w:line="183"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 fair value of our outstanding debt (excluding finance lease obligations) is based on various methodologies, including quoted prices in active markets for identical debt instruments, which is a Level 1 measurement, and calculated fair value using an expected present value technique that uses rates currently available to the Company for debt in active markets with similar terms and remaining maturities, which is a Level 2 measurement. Our outstanding debt (excluding finance lease obligations) had a carrying value of $3.0 billion as of each of September 30, 2022 and March 31, 2022, and an estimated fair value of $2.3 billion and $2.7 billion as of September 30, 2022 and March 31, 2022, respectively.</w:t>
      </w:r>
    </w:p>
    <w:p>
      <w:pPr>
        <w:spacing w:after="0" w:line="187" w:lineRule="exact"/>
        <w:rPr>
          <w:sz w:val="20"/>
          <w:szCs w:val="20"/>
          <w:color w:val="auto"/>
        </w:rPr>
      </w:pPr>
    </w:p>
    <w:p>
      <w:pPr>
        <w:ind w:left="60" w:right="719" w:firstLine="648"/>
        <w:spacing w:after="0" w:line="312" w:lineRule="auto"/>
        <w:rPr>
          <w:sz w:val="20"/>
          <w:szCs w:val="20"/>
          <w:color w:val="auto"/>
        </w:rPr>
      </w:pPr>
      <w:r>
        <w:rPr>
          <w:rFonts w:ascii="Times New Roman" w:cs="Times New Roman" w:eastAsia="Times New Roman" w:hAnsi="Times New Roman"/>
          <w:sz w:val="17"/>
          <w:szCs w:val="17"/>
          <w:color w:val="auto"/>
        </w:rPr>
        <w:t>Financial assets are measured for impairment on a recurring basis by comparing their fair value with their amortized cost basis. There were no impairments of financial assets recognized for any of the periods presented.</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has entered into arrangements with third-party financial institutions to sell certain financial assets (primarily trade receivables) without recourse. The Company determined these are true sales, derecognized the carrying value of the financial asset transferred and recognized a net gain or loss on the sale. The proceeds from these arrangements are reflected as cash provided by operating activities in the Consolidated Statement of Cash Flows. Proceeds from receivables sold to third parties under this program were $722 million and $1.3 billion for the three and six months ended September 30, 2022, respectively. Prior to the Separation, the gross amount of the Company’s receivables sold to third parties and the financing division of our former Parent was $537 million and $1.3 billion for the three and six months ended September 30, 2021, respectively. The fees associated with the transfers of receivables were $12 million and $20 million for the three and six months ended September 30, 2022, respectively, and immaterial for the three and six months ended September 30, 2021, respectively.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Anticipated Cost Transactions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has foreign exchange derivative financial instruments designated as cash flow hedges to manage foreign currency risk. Changes in fair value of derivatives designated as cash flow hedges are recorded, net of applicable taxes, in other comprehensive income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jc w:val="both"/>
        <w:ind w:left="60" w:right="119"/>
        <w:spacing w:after="0" w:line="289" w:lineRule="auto"/>
        <w:rPr>
          <w:sz w:val="20"/>
          <w:szCs w:val="20"/>
          <w:color w:val="auto"/>
        </w:rPr>
      </w:pPr>
      <w:r>
        <w:rPr>
          <w:rFonts w:ascii="Times New Roman" w:cs="Times New Roman" w:eastAsia="Times New Roman" w:hAnsi="Times New Roman"/>
          <w:sz w:val="17"/>
          <w:szCs w:val="17"/>
          <w:color w:val="auto"/>
        </w:rPr>
        <w:t>Cash Flows. Through the pre-Separation periods, derivatives designated as cash flow hedges were deemed to be associated with the Company’s operations and were allocated to the Company’s Consolidated Income Statement based on its pro rata share of the underlying items hedged, where applicable, with the remainder allocated on a pro rata basis of revenue.</w:t>
      </w:r>
    </w:p>
    <w:p>
      <w:pPr>
        <w:spacing w:after="0" w:line="15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At September 30, 2022 and March 31, 2022, the total notional amount of forward contracts designated as cash flow hedges of forecasted foreign currency cost transactions was $282 million and $216 million, respectively. The notional amounts of derivative instruments do not necessarily represent the amounts exchanged by the Company with third parties and are not necessarily a direct measure of the financial exposure. The maximum remaining length of time over which the Company hedged its exposure is approximately one year. At September 30, 2022 and March 31, 2022, the weighted-average remaining maturity of these instruments was approximately 0.5 years.</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At September 30, 2022, in connection with cash flow hedges of foreign currency cost transactions, the Company had net deferred losses of $2 million (before taxes) in accumulated other comprehensive income (“AOCI”). At March 31, 2022, in connection with cash flow hedges of foreign currency cost transactions, the Company had net deferred gains of $3 million (before taxes) in AOCI. The Company estimates that $2 million (before taxes) of deferred net losses on derivatives in AOCI at September 30, 2022 will be reclassified to net income within the next twelve months, providing an offsetting economic impact against the underlying anticipated transactions.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Subsidiary Cash and Foreign Currency Asset / Liability Management</w:t>
      </w:r>
    </w:p>
    <w:p>
      <w:pPr>
        <w:spacing w:after="0" w:line="22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The Company uses global treasury centers to manage the cash of its subsidiaries. These centers principally use currency swaps to convert cash flows in a cost-effective manner. Changes in fair value of derivatives not designated as hedges are reported in earnings in other (income) and expense. Cash flows from derivatives not designated as hedges are reported in cash flows from investing activities in the Consolidated Statement of Cash Flows. The terms of these swap contracts are generally less than one year. The changes in the fair values of these contracts and of the underlying hedged exposures are generally offsetting and are recorded in other (income) and expense in the Consolidated Income Statement. At September 30, 2022 and March 31, 2022, the total notional amount of derivative instruments in economic hedges of foreign currency exposure was $1.1 billion and $945 million,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in the Consolidated Income Statement</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total amounts of income and expense line items presented in the Consolidated Income Statement in which the effects of cash flow hedges and derivatives not designated as hedging instruments are recorded, and the total effect of hedge activity on these income and expense line items are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3"/>
                <w:szCs w:val="13"/>
                <w:color w:val="auto"/>
              </w:rPr>
            </w:pPr>
          </w:p>
        </w:tc>
        <w:tc>
          <w:tcPr>
            <w:tcW w:w="11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4"/>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Gains (Losses) from</w:t>
            </w:r>
          </w:p>
        </w:tc>
        <w:tc>
          <w:tcPr>
            <w:tcW w:w="0" w:type="dxa"/>
            <w:vAlign w:val="bottom"/>
          </w:tcPr>
          <w:p>
            <w:pPr>
              <w:spacing w:after="0"/>
              <w:rPr>
                <w:sz w:val="1"/>
                <w:szCs w:val="1"/>
                <w:color w:val="auto"/>
              </w:rPr>
            </w:pPr>
          </w:p>
        </w:tc>
      </w:tr>
      <w:tr>
        <w:trPr>
          <w:trHeight w:val="148"/>
        </w:trPr>
        <w:tc>
          <w:tcPr>
            <w:tcW w:w="4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4"/>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Hedge Activity</w:t>
            </w:r>
          </w:p>
        </w:tc>
        <w:tc>
          <w:tcPr>
            <w:tcW w:w="0" w:type="dxa"/>
            <w:vAlign w:val="bottom"/>
          </w:tcPr>
          <w:p>
            <w:pPr>
              <w:spacing w:after="0"/>
              <w:rPr>
                <w:sz w:val="1"/>
                <w:szCs w:val="1"/>
                <w:color w:val="auto"/>
              </w:rPr>
            </w:pPr>
          </w:p>
        </w:tc>
      </w:tr>
      <w:tr>
        <w:trPr>
          <w:trHeight w:val="25"/>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00" w:type="dxa"/>
            <w:vAlign w:val="bottom"/>
            <w:tcBorders>
              <w:bottom w:val="single" w:sz="8" w:color="auto"/>
            </w:tcBorders>
            <w:gridSpan w:val="11"/>
          </w:tcPr>
          <w:p>
            <w:pPr>
              <w:jc w:val="center"/>
              <w:ind w:left="605"/>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vMerge w:val="continue"/>
          </w:tcPr>
          <w:p>
            <w:pPr>
              <w:spacing w:after="0"/>
              <w:rPr>
                <w:sz w:val="10"/>
                <w:szCs w:val="10"/>
                <w:color w:val="auto"/>
              </w:rPr>
            </w:pPr>
          </w:p>
        </w:tc>
        <w:tc>
          <w:tcPr>
            <w:tcW w:w="2120" w:type="dxa"/>
            <w:vAlign w:val="bottom"/>
          </w:tcPr>
          <w:p>
            <w:pPr>
              <w:jc w:val="center"/>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40" w:type="dxa"/>
            <w:vAlign w:val="bottom"/>
          </w:tcPr>
          <w:p>
            <w:pPr>
              <w:spacing w:after="0"/>
              <w:rPr>
                <w:sz w:val="10"/>
                <w:szCs w:val="10"/>
                <w:color w:val="auto"/>
              </w:rPr>
            </w:pPr>
          </w:p>
        </w:tc>
        <w:tc>
          <w:tcPr>
            <w:tcW w:w="2340" w:type="dxa"/>
            <w:vAlign w:val="bottom"/>
            <w:gridSpan w:val="6"/>
          </w:tcPr>
          <w:p>
            <w:pPr>
              <w:jc w:val="center"/>
              <w:ind w:right="510"/>
              <w:spacing w:after="0" w:line="118" w:lineRule="exact"/>
              <w:rPr>
                <w:sz w:val="20"/>
                <w:szCs w:val="20"/>
                <w:color w:val="auto"/>
              </w:rPr>
            </w:pPr>
            <w:r>
              <w:rPr>
                <w:rFonts w:ascii="Times New Roman" w:cs="Times New Roman" w:eastAsia="Times New Roman" w:hAnsi="Times New Roman"/>
                <w:sz w:val="13"/>
                <w:szCs w:val="13"/>
                <w:b w:val="1"/>
                <w:bCs w:val="1"/>
                <w:color w:val="auto"/>
              </w:rPr>
              <w:t>Recognized on</w:t>
            </w:r>
          </w:p>
        </w:tc>
        <w:tc>
          <w:tcPr>
            <w:tcW w:w="1960" w:type="dxa"/>
            <w:vAlign w:val="bottom"/>
            <w:gridSpan w:val="4"/>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Attributable to Risk</w:t>
            </w:r>
          </w:p>
        </w:tc>
        <w:tc>
          <w:tcPr>
            <w:tcW w:w="0" w:type="dxa"/>
            <w:vAlign w:val="bottom"/>
          </w:tcPr>
          <w:p>
            <w:pPr>
              <w:spacing w:after="0"/>
              <w:rPr>
                <w:sz w:val="1"/>
                <w:szCs w:val="1"/>
                <w:color w:val="auto"/>
              </w:rPr>
            </w:pPr>
          </w:p>
        </w:tc>
      </w:tr>
      <w:tr>
        <w:trPr>
          <w:trHeight w:val="149"/>
        </w:trPr>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21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40" w:type="dxa"/>
            <w:vAlign w:val="bottom"/>
          </w:tcPr>
          <w:p>
            <w:pPr>
              <w:spacing w:after="0"/>
              <w:rPr>
                <w:sz w:val="12"/>
                <w:szCs w:val="12"/>
                <w:color w:val="auto"/>
              </w:rPr>
            </w:pPr>
          </w:p>
        </w:tc>
        <w:tc>
          <w:tcPr>
            <w:tcW w:w="1260" w:type="dxa"/>
            <w:vAlign w:val="bottom"/>
            <w:gridSpan w:val="3"/>
          </w:tcPr>
          <w:p>
            <w:pPr>
              <w:jc w:val="center"/>
              <w:ind w:left="402"/>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left="362"/>
              <w:spacing w:after="0" w:line="149" w:lineRule="exact"/>
              <w:rPr>
                <w:sz w:val="20"/>
                <w:szCs w:val="20"/>
                <w:color w:val="auto"/>
              </w:rPr>
            </w:pPr>
            <w:r>
              <w:rPr>
                <w:rFonts w:ascii="Times New Roman" w:cs="Times New Roman" w:eastAsia="Times New Roman" w:hAnsi="Times New Roman"/>
                <w:sz w:val="14"/>
                <w:szCs w:val="14"/>
                <w:b w:val="1"/>
                <w:bCs w:val="1"/>
                <w:color w:val="auto"/>
              </w:rPr>
              <w:t>Being Hedged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120" w:type="dxa"/>
            <w:vAlign w:val="bottom"/>
            <w:vMerge w:val="restart"/>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40" w:type="dxa"/>
            <w:vAlign w:val="bottom"/>
            <w:tcBorders>
              <w:bottom w:val="single" w:sz="8" w:color="auto"/>
            </w:tcBorders>
            <w:vMerge w:val="continue"/>
          </w:tcPr>
          <w:p>
            <w:pPr>
              <w:spacing w:after="0"/>
              <w:rPr>
                <w:sz w:val="12"/>
                <w:szCs w:val="12"/>
                <w:color w:val="auto"/>
              </w:rPr>
            </w:pPr>
          </w:p>
        </w:tc>
        <w:tc>
          <w:tcPr>
            <w:tcW w:w="21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9"/>
        </w:trPr>
        <w:tc>
          <w:tcPr>
            <w:tcW w:w="5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 not designated as hedging instruments: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3"/>
                <w:szCs w:val="13"/>
                <w:color w:val="auto"/>
              </w:rPr>
            </w:pPr>
          </w:p>
        </w:tc>
        <w:tc>
          <w:tcPr>
            <w:tcW w:w="11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4"/>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Gains (Losses) from</w:t>
            </w:r>
          </w:p>
        </w:tc>
        <w:tc>
          <w:tcPr>
            <w:tcW w:w="0" w:type="dxa"/>
            <w:vAlign w:val="bottom"/>
          </w:tcPr>
          <w:p>
            <w:pPr>
              <w:spacing w:after="0"/>
              <w:rPr>
                <w:sz w:val="1"/>
                <w:szCs w:val="1"/>
                <w:color w:val="auto"/>
              </w:rPr>
            </w:pPr>
          </w:p>
        </w:tc>
      </w:tr>
      <w:tr>
        <w:trPr>
          <w:trHeight w:val="148"/>
        </w:trPr>
        <w:tc>
          <w:tcPr>
            <w:tcW w:w="4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4"/>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Hedge Activity</w:t>
            </w:r>
          </w:p>
        </w:tc>
        <w:tc>
          <w:tcPr>
            <w:tcW w:w="0" w:type="dxa"/>
            <w:vAlign w:val="bottom"/>
          </w:tcPr>
          <w:p>
            <w:pPr>
              <w:spacing w:after="0"/>
              <w:rPr>
                <w:sz w:val="1"/>
                <w:szCs w:val="1"/>
                <w:color w:val="auto"/>
              </w:rPr>
            </w:pPr>
          </w:p>
        </w:tc>
      </w:tr>
      <w:tr>
        <w:trPr>
          <w:trHeight w:val="25"/>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September 30:</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14"/>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20" w:type="dxa"/>
            <w:vAlign w:val="bottom"/>
            <w:gridSpan w:val="3"/>
          </w:tcPr>
          <w:p>
            <w:pPr>
              <w:jc w:val="center"/>
              <w:ind w:right="319"/>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3"/>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Recognized on</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80" w:type="dxa"/>
            <w:vAlign w:val="bottom"/>
            <w:gridSpan w:val="6"/>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Attributable to Risk</w:t>
            </w:r>
          </w:p>
        </w:tc>
        <w:tc>
          <w:tcPr>
            <w:tcW w:w="0" w:type="dxa"/>
            <w:vAlign w:val="bottom"/>
          </w:tcPr>
          <w:p>
            <w:pPr>
              <w:spacing w:after="0"/>
              <w:rPr>
                <w:sz w:val="1"/>
                <w:szCs w:val="1"/>
                <w:color w:val="auto"/>
              </w:rPr>
            </w:pPr>
          </w:p>
        </w:tc>
      </w:tr>
      <w:tr>
        <w:trPr>
          <w:trHeight w:val="148"/>
        </w:trPr>
        <w:tc>
          <w:tcPr>
            <w:tcW w:w="2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six months</w:t>
            </w:r>
          </w:p>
        </w:tc>
        <w:tc>
          <w:tcPr>
            <w:tcW w:w="80" w:type="dxa"/>
            <w:vAlign w:val="bottom"/>
          </w:tcPr>
          <w:p>
            <w:pPr>
              <w:spacing w:after="0"/>
              <w:rPr>
                <w:sz w:val="12"/>
                <w:szCs w:val="12"/>
                <w:color w:val="auto"/>
              </w:rPr>
            </w:pPr>
          </w:p>
        </w:tc>
        <w:tc>
          <w:tcPr>
            <w:tcW w:w="1820" w:type="dxa"/>
            <w:vAlign w:val="bottom"/>
            <w:gridSpan w:val="4"/>
          </w:tcPr>
          <w:p>
            <w:pPr>
              <w:jc w:val="center"/>
              <w:ind w:left="122"/>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3"/>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5"/>
          </w:tcPr>
          <w:p>
            <w:pPr>
              <w:jc w:val="cente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Being Hedged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gridSpan w:val="3"/>
            <w:vMerge w:val="restart"/>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38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 not designated as hedging instruments: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0" w:type="dxa"/>
            <w:vAlign w:val="bottom"/>
          </w:tcPr>
          <w:p>
            <w:pPr>
              <w:spacing w:after="0"/>
              <w:rPr>
                <w:sz w:val="18"/>
                <w:szCs w:val="18"/>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Other expense (income)</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tcPr>
          <w:p>
            <w:pPr>
              <w:jc w:val="center"/>
              <w:ind w:right="5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9"/>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3"/>
              </w:rPr>
              <w:t>(16)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1"/>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 and Other Comprehensive Income</w:t>
            </w:r>
          </w:p>
        </w:tc>
        <w:tc>
          <w:tcPr>
            <w:tcW w:w="0" w:type="dxa"/>
            <w:vAlign w:val="bottom"/>
          </w:tcPr>
          <w:p>
            <w:pPr>
              <w:spacing w:after="0"/>
              <w:rPr>
                <w:sz w:val="1"/>
                <w:szCs w:val="1"/>
                <w:color w:val="auto"/>
              </w:rPr>
            </w:pPr>
          </w:p>
        </w:tc>
      </w:tr>
      <w:tr>
        <w:trPr>
          <w:trHeight w:val="117"/>
        </w:trPr>
        <w:tc>
          <w:tcPr>
            <w:tcW w:w="2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20" w:type="dxa"/>
            <w:vAlign w:val="bottom"/>
            <w:gridSpan w:val="3"/>
          </w:tcPr>
          <w:p>
            <w:pPr>
              <w:jc w:val="center"/>
              <w:ind w:right="279"/>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3"/>
          </w:tcPr>
          <w:p>
            <w:pPr>
              <w:jc w:val="cente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5"/>
          </w:tcPr>
          <w:p>
            <w:pPr>
              <w:jc w:val="cente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six months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3"/>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in OCI</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3"/>
          </w:tcPr>
          <w:p>
            <w:pPr>
              <w:jc w:val="cente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5"/>
          </w:tcPr>
          <w:p>
            <w:pPr>
              <w:jc w:val="cente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from AOCI</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3"/>
            <w:vMerge w:val="restart"/>
          </w:tcPr>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0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 in cash flow hedges: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80" w:type="dxa"/>
            <w:vAlign w:val="bottom"/>
            <w:gridSpan w:val="2"/>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6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gridSpan w:val="2"/>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20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September 30, 2022 and 2021, there were no gains or losses excluded from the assessment of hedge effectiveness for cash flow hedges, or associated with an underlying exposure that did not or was not expected to occur, nor are there any anticipated in the normal course of business. For the three months ended September 30, 2022 and 2021, amounts recognized in OCI and reclassified from AOCI were immaterial, as the gains and losses from maturing and revalued cash flow hedges on various currencies offset each other.</w:t>
      </w:r>
    </w:p>
    <w:p>
      <w:pPr>
        <w:spacing w:after="0" w:line="183"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Prior to the third quarter of 2021, Kyndryl did not independently execute derivative financial instruments to manage its foreign currency risk and instead participated in a centralized foreign currency hedging program administered by IBM. The hedging activity allocated to Kyndryl was for the former Parent’s forecasted currency exposures. In the third quarter of 2021, we began to execute trades to hedge certain of the Company’s foreign exchange exposures.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INTANGIBLE ASSETS INCLUDING GOODWILL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February 1, 2022, the Company completed two business combinations, consisting of an immaterial acquisition in our Strategic Markets segment and a transfer of a majority interest (51%) of a managed infrastructure services joint venture in Japan (the “Exa transaction”) from our former Parent that could not be completed prior to the Separation due to local regulatory approvals. The non-controlling interest acquired in the Exa transaction represents the fair value of the joint venture prorated by the non-controlling shareholder’s percentage of ownership (49%). The Company closed the Exa transaction for consideration of $48 million, net of cash acquired of $59 million. Acquisition costs associated with these two acquisitions were immaterial and expensed as incurred. The Exa transaction enabled us to seamlessly continue our relationships with certain key customers in Japan. The purchase price allocation for the business combinations is preliminary, and there may be changes in the allocation of consideration to assets acquired and liabilities assumed, including intangible assets and goodwill, for up to twelve months from the acquisition closing dates.</w:t>
      </w:r>
    </w:p>
    <w:p>
      <w:pPr>
        <w:spacing w:after="0" w:line="194"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consideration transferred, fair value of net assets acquired, net liabilities assumed and goodwill for the Exa transaction:</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3"/>
                <w:szCs w:val="13"/>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73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enterprise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liabilities assumed, excluding cash</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arising from acquired intangibles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2"/>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wp:posOffset>
            </wp:positionV>
            <wp:extent cx="141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1"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Intangible assets acquired consist of $16 million of patents and trademarks and $91 million of customer relationships.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present the Company’s intangible asset balances by major asset class.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At September 30, 2022</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March 31, 2022</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6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9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0"/>
                <w:szCs w:val="10"/>
                <w:color w:val="auto"/>
              </w:rPr>
            </w:pPr>
          </w:p>
        </w:tc>
        <w:tc>
          <w:tcPr>
            <w:tcW w:w="9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 w:type="dxa"/>
            <w:vAlign w:val="bottom"/>
          </w:tcPr>
          <w:p>
            <w:pPr>
              <w:spacing w:after="0"/>
              <w:rPr>
                <w:sz w:val="10"/>
                <w:szCs w:val="10"/>
                <w:color w:val="auto"/>
              </w:rPr>
            </w:pPr>
          </w:p>
        </w:tc>
        <w:tc>
          <w:tcPr>
            <w:tcW w:w="108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2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Amounts at September 30, 2022 include effects from foreign currency translation.</w:t>
      </w:r>
    </w:p>
    <w:p>
      <w:pPr>
        <w:spacing w:after="0" w:line="208"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net carrying amount of intangible assets decreased by $6 million during the six months ended September 30, 2022, primarily due to amortizations of previously acquired intangible assets and foreign currency translation partially offset by additions to capitalized software. The aggregate intangible asset amortization expense was $10 million and $25 million for the three and six months ended September 30, 2022, compared to $9 million and $19 million for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three and six months ended September 30, 2021. The amortization expense for these periods all relate to assets acquired via business combinations.</w:t>
      </w:r>
    </w:p>
    <w:p>
      <w:pPr>
        <w:spacing w:after="0" w:line="16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future amortization expense relating to intangible assets currently recorded in the Consolidated Balance Sheet was estimated to be the following at September 30, 2022:</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1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2023 (remaining six months)</w:t>
            </w:r>
          </w:p>
        </w:tc>
        <w:tc>
          <w:tcPr>
            <w:tcW w:w="134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changes in the goodwill balances by segment for the six months ended September 30, 2022 were as follows: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7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17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Additions and</w:t>
            </w:r>
          </w:p>
        </w:tc>
        <w:tc>
          <w:tcPr>
            <w:tcW w:w="160" w:type="dxa"/>
            <w:vAlign w:val="bottom"/>
          </w:tcPr>
          <w:p>
            <w:pPr>
              <w:spacing w:after="0"/>
              <w:rPr>
                <w:sz w:val="13"/>
                <w:szCs w:val="13"/>
                <w:color w:val="auto"/>
              </w:rPr>
            </w:pPr>
          </w:p>
        </w:tc>
        <w:tc>
          <w:tcPr>
            <w:tcW w:w="14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4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5"/>
                <w:szCs w:val="15"/>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5"/>
                <w:szCs w:val="15"/>
                <w:color w:val="auto"/>
              </w:rPr>
            </w:pPr>
          </w:p>
        </w:tc>
        <w:tc>
          <w:tcPr>
            <w:tcW w:w="17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10"/>
        </w:trPr>
        <w:tc>
          <w:tcPr>
            <w:tcW w:w="3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Markets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Strategic Markets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Primarily related to foreign currency translation.</w:t>
      </w:r>
    </w:p>
    <w:p>
      <w:pPr>
        <w:spacing w:after="0" w:line="194"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Management reviews goodwill for impairment annually during the fourth quarter of the fiscal year and whenever events or changes in circumstances indicate the carrying value of goodwill may not be recoverable by first assessing qualitative factors to determine if it is more likely than not that fair value is less than carrying value. There were no goodwill impairment losses recorded for the six months ended September 30, 2022 and 2021. Cumulatively, the Company has recorded $469 million in goodwill impairment charges within its former EMEA ($293 million) and current United States ($176 million) reporting units.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BORROWINGS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our debt:</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820" w:type="dxa"/>
            <w:vAlign w:val="bottom"/>
            <w:gridSpan w:val="3"/>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floating-rate term loan</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 loan agreement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July 2026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2026</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2028</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2.70%</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2031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2041</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4.10%</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2041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2022-2027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right="2079" w:hanging="10"/>
        <w:spacing w:after="0" w:line="261" w:lineRule="auto"/>
        <w:tabs>
          <w:tab w:leader="none" w:pos="27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Floating rate calculated as of September 30, 2022, using a rate equal to one-month U.S. dollar LIBOR plus 1.125%. ** Finance lease obligations presented using the weighted-average interest rate and calendar-year maturity dates.</w:t>
      </w:r>
    </w:p>
    <w:p>
      <w:pPr>
        <w:spacing w:after="0" w:line="167" w:lineRule="exact"/>
        <w:rPr>
          <w:sz w:val="20"/>
          <w:szCs w:val="20"/>
          <w:color w:val="auto"/>
        </w:rPr>
      </w:pPr>
    </w:p>
    <w:p>
      <w:pPr>
        <w:ind w:left="60" w:right="839" w:firstLine="648"/>
        <w:spacing w:after="0" w:line="282" w:lineRule="auto"/>
        <w:rPr>
          <w:sz w:val="20"/>
          <w:szCs w:val="20"/>
          <w:color w:val="auto"/>
        </w:rPr>
      </w:pPr>
      <w:r>
        <w:rPr>
          <w:rFonts w:ascii="Times New Roman" w:cs="Times New Roman" w:eastAsia="Times New Roman" w:hAnsi="Times New Roman"/>
          <w:sz w:val="18"/>
          <w:szCs w:val="18"/>
          <w:color w:val="auto"/>
        </w:rPr>
        <w:t>Contractual obligations of long-term debt outstanding at September 30, 2022, exclusive of finance lease obligations,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2023 (remaining six months)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0"/>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Contractual obligations approximate scheduled repayments.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Revolving Credit Agreement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October 2021, we entered into a $3.15 billion multi-currency revolving credit agreement (the “Revolving Credit Agreement”) for our future liquidity needs.</w:t>
      </w:r>
    </w:p>
    <w:p>
      <w:pPr>
        <w:spacing w:after="0" w:line="162" w:lineRule="exact"/>
        <w:rPr>
          <w:sz w:val="20"/>
          <w:szCs w:val="20"/>
          <w:color w:val="auto"/>
        </w:rPr>
      </w:pPr>
    </w:p>
    <w:p>
      <w:pPr>
        <w:jc w:val="both"/>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The Revolving Credit Agreement expires, unless extended, in October 2026. Interest rates on borrowings under the Revolving Credit Agreements are based on prevailing market interest rates, plus a margin, as further described in the Revolving Credit Agreement. The total expense recorded by the Company for the Revolving Credit Agreement was not material in any of the periods presented.</w:t>
      </w:r>
    </w:p>
    <w:p>
      <w:pPr>
        <w:spacing w:after="0" w:line="180"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We may voluntarily prepay borrowings under the Revolving Credit Agreement without premium or penalty, subject to customary “breakage” costs. The Revolving Credit Agreement includes certain customary mandatory prepayment provisions.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on Debt</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Interest expense for the three and six months ended September 30, 2022 was $19 million and $38 million, compared to $17 million and $32 million for the three and six months ended September 30, 2021. Most of the interest for the pre-Separation period presented in the historical Consolidated Income Statement reflects the allocation of interest expense associated with debt issued by IBM for which a portion of the proceeds benefited Kyndryl.</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guarantees certain loans and financial commitments. The maximum potential future payment under these financial guarantees and the fair value of these guarantees recognized in the Consolidated Balance Sheet at September 30, 2022 and March 31, 2022 were not material. Additionally, the Company has contractual commitments that are noncancellable with certain software, hardware and cloud partners used in the delivery of services to customers. Certain of these commitments were allocated to the Company as part of the Separation from its former Parent. The Company has determined that these commitments may exceed the Company’s needs over the next four to six years. If the Company is unable to satisfy, reduce or amend its contractual commitments, it would record the future charges for any payments related to excess commitments as cost of services. There were no significant changes to the overall contractual commitments as presented in our Annual Report on Form 10-K for the fiscal year ended December 31, 2021 (the “2021 Annual Report”), as revised and updated by the 8-K/A.</w:t>
      </w:r>
    </w:p>
    <w:p>
      <w:pPr>
        <w:spacing w:after="0" w:line="19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a company with approximately 90,000 employees and with clients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spacing w:after="0" w:line="196"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 including the experience of other companies in the industry, and investor, customer and employee relations considerations.</w:t>
      </w:r>
    </w:p>
    <w:p>
      <w:pPr>
        <w:spacing w:after="0" w:line="18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spacing w:after="0" w:line="18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spacing w:after="0" w:line="18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July 2017, BMC Software, Inc. (“BMC”) filed suit against IBM in the U.S. Court for the Southern District of Texas in a dispute involving various aspects of IBM’s business, including its managed infrastructure business. BMC alleged IBM’s removal of BMC software from one of its client’s sites at the client’s request constituted breach of contract, fraudulent inducement and trade secret misappropriation. In May 2022, the trial court entered a judgment against IBM and awarded BMC $717 million in direct damages and $717 million in punitive damages, plus interest. IBM has appealed the judgment and has stated publicly that it intends to seek a complete reversal on appeal. IBM may seek an indemnity from the Company in connection with this matter. Until there is a final and conclusive judgment in the case after all appeals and proceedings are concluded, until the amount of any applicable insurance is determined, and until a definitive assessment of Kyndryl’s indemnity obligations (if any) occurs, which in the aggregate will likely take several years, the amount of indemnity obligation (if any) that the Company may owe to IBM is indeterminate.</w:t>
      </w:r>
    </w:p>
    <w:p>
      <w:pPr>
        <w:spacing w:after="0" w:line="194"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Separately, certain contractual disputes have arisen between Kyndryl and IBM. IBM and Kyndryl have commenced arbitration proceedings related to certain of these matters. Kyndryl intends to vigorously pursue its interests and defenses in these matters, including asserting its own claims in arbitration if necessary.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EQUITY</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reclassifications and taxes related to items of other comprehensive income (loss) for the three and six months ended September 30, 2022 and 2021:</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173"/>
        </w:trPr>
        <w:tc>
          <w:tcPr>
            <w:tcW w:w="41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80" w:right="119" w:hanging="330"/>
        <w:spacing w:after="0" w:line="261"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12 – Retirement-Related Benefits for additional information.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40" w:type="dxa"/>
            <w:vAlign w:val="bottom"/>
          </w:tcPr>
          <w:p>
            <w:pPr>
              <w:spacing w:after="0"/>
              <w:rPr>
                <w:sz w:val="13"/>
                <w:szCs w:val="13"/>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40" w:type="dxa"/>
            <w:vAlign w:val="bottom"/>
          </w:tcPr>
          <w:p>
            <w:pPr>
              <w:spacing w:after="0"/>
              <w:rPr>
                <w:sz w:val="15"/>
                <w:szCs w:val="15"/>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 2022:</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Pr>
          <w:p>
            <w:pPr>
              <w:jc w:val="right"/>
              <w:ind w:right="73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(488)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900" w:type="dxa"/>
            <w:vAlign w:val="bottom"/>
          </w:tcPr>
          <w:p>
            <w:pPr>
              <w:jc w:val="right"/>
              <w:ind w:right="73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90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900" w:type="dxa"/>
            <w:vAlign w:val="bottom"/>
          </w:tcPr>
          <w:p>
            <w:pPr>
              <w:jc w:val="right"/>
              <w:ind w:right="73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900" w:type="dxa"/>
            <w:vAlign w:val="bottom"/>
            <w:tcBorders>
              <w:top w:val="single" w:sz="8" w:color="auto"/>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0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(474)</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 2021:</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90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90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(losses) gains arising during the period</w:t>
            </w:r>
          </w:p>
        </w:tc>
        <w:tc>
          <w:tcPr>
            <w:tcW w:w="900" w:type="dxa"/>
            <w:vAlign w:val="bottom"/>
          </w:tcPr>
          <w:p>
            <w:pPr>
              <w:jc w:val="right"/>
              <w:ind w:right="73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90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0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27" w:lineRule="exact"/>
        <w:rPr>
          <w:sz w:val="20"/>
          <w:szCs w:val="20"/>
          <w:color w:val="auto"/>
        </w:rPr>
      </w:pPr>
    </w:p>
    <w:p>
      <w:pPr>
        <w:ind w:left="380" w:right="119" w:hanging="330"/>
        <w:spacing w:after="0" w:line="261" w:lineRule="auto"/>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12 – Retirement-Related Benefits for additional information.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net of taxes: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on Cash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6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(957)</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Gain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on Cash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6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transfers from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9"/>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27"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translation adjustments are presented gross.</w:t>
      </w:r>
    </w:p>
    <w:p>
      <w:pPr>
        <w:spacing w:after="0" w:line="4" w:lineRule="exact"/>
        <w:rPr>
          <w:sz w:val="20"/>
          <w:szCs w:val="20"/>
          <w:color w:val="auto"/>
        </w:rPr>
      </w:pPr>
    </w:p>
    <w:p>
      <w:pPr>
        <w:ind w:left="380" w:hanging="330"/>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amounts were reclassified from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RETIREMENT-RELATED BENEFITS</w:t>
      </w:r>
    </w:p>
    <w:p>
      <w:pPr>
        <w:spacing w:after="0" w:line="18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components of net periodic benefit cost for the retirement-related benefit plans recognized in the Consolidated Income Statement, excluding defined contribution plans, for the three and six months ended September 30, 2022 and 2021.</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Nonpension Postretirement Benefit Plans</w:t>
            </w:r>
          </w:p>
        </w:tc>
      </w:tr>
      <w:tr>
        <w:trPr>
          <w:trHeight w:val="142"/>
        </w:trPr>
        <w:tc>
          <w:tcPr>
            <w:tcW w:w="33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40" w:type="dxa"/>
            <w:vAlign w:val="bottom"/>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Interest cost</w:t>
            </w:r>
            <w:r>
              <w:rPr>
                <w:rFonts w:ascii="Times New Roman" w:cs="Times New Roman" w:eastAsia="Times New Roman" w:hAnsi="Times New Roman"/>
                <w:sz w:val="25"/>
                <w:szCs w:val="25"/>
                <w:color w:val="auto"/>
                <w:vertAlign w:val="superscript"/>
              </w:rPr>
              <w:t>(1)</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Expected return on plan assets</w:t>
            </w:r>
            <w:r>
              <w:rPr>
                <w:rFonts w:ascii="Times New Roman" w:cs="Times New Roman" w:eastAsia="Times New Roman" w:hAnsi="Times New Roman"/>
                <w:sz w:val="25"/>
                <w:szCs w:val="25"/>
                <w:color w:val="auto"/>
                <w:vertAlign w:val="superscript"/>
              </w:rPr>
              <w:t>(1)</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Recognized actuarial losses (gains)</w:t>
            </w:r>
            <w:r>
              <w:rPr>
                <w:rFonts w:ascii="Times New Roman" w:cs="Times New Roman" w:eastAsia="Times New Roman" w:hAnsi="Times New Roman"/>
                <w:sz w:val="25"/>
                <w:szCs w:val="25"/>
                <w:color w:val="auto"/>
                <w:vertAlign w:val="superscript"/>
              </w:rPr>
              <w:t>(1)</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Multi-employer plans and other costs</w:t>
            </w:r>
            <w:r>
              <w:rPr>
                <w:rFonts w:ascii="Times New Roman" w:cs="Times New Roman" w:eastAsia="Times New Roman" w:hAnsi="Times New Roman"/>
                <w:sz w:val="25"/>
                <w:szCs w:val="25"/>
                <w:color w:val="auto"/>
                <w:vertAlign w:val="superscript"/>
              </w:rPr>
              <w:t>(2)</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4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r>
      <w:tr>
        <w:trPr>
          <w:trHeight w:val="574"/>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Nonpension Postretirement Benefit Plans</w:t>
            </w:r>
          </w:p>
        </w:tc>
      </w:tr>
      <w:tr>
        <w:trPr>
          <w:trHeight w:val="142"/>
        </w:trPr>
        <w:tc>
          <w:tcPr>
            <w:tcW w:w="33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For the six months ended September 30:</w:t>
            </w:r>
          </w:p>
        </w:tc>
        <w:tc>
          <w:tcPr>
            <w:tcW w:w="840" w:type="dxa"/>
            <w:vAlign w:val="bottom"/>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3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Interest cost</w:t>
            </w:r>
            <w:r>
              <w:rPr>
                <w:rFonts w:ascii="Times New Roman" w:cs="Times New Roman" w:eastAsia="Times New Roman" w:hAnsi="Times New Roman"/>
                <w:sz w:val="25"/>
                <w:szCs w:val="25"/>
                <w:color w:val="auto"/>
                <w:vertAlign w:val="superscript"/>
              </w:rPr>
              <w:t>(1)</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Expected return on plan assets</w:t>
            </w:r>
            <w:r>
              <w:rPr>
                <w:rFonts w:ascii="Times New Roman" w:cs="Times New Roman" w:eastAsia="Times New Roman" w:hAnsi="Times New Roman"/>
                <w:sz w:val="25"/>
                <w:szCs w:val="25"/>
                <w:color w:val="auto"/>
                <w:vertAlign w:val="superscript"/>
              </w:rPr>
              <w:t>(1)</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Recognized actuarial losses (gains)</w:t>
            </w:r>
            <w:r>
              <w:rPr>
                <w:rFonts w:ascii="Times New Roman" w:cs="Times New Roman" w:eastAsia="Times New Roman" w:hAnsi="Times New Roman"/>
                <w:sz w:val="25"/>
                <w:szCs w:val="25"/>
                <w:color w:val="auto"/>
                <w:vertAlign w:val="superscript"/>
              </w:rPr>
              <w:t>(1)</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Multi-employer plans and other costs</w:t>
            </w:r>
            <w:r>
              <w:rPr>
                <w:rFonts w:ascii="Times New Roman" w:cs="Times New Roman" w:eastAsia="Times New Roman" w:hAnsi="Times New Roman"/>
                <w:sz w:val="25"/>
                <w:szCs w:val="25"/>
                <w:color w:val="auto"/>
                <w:vertAlign w:val="superscript"/>
              </w:rPr>
              <w:t>(2)</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4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72"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components of net periodic benefit cost are included in other expense (income) in the Consolidated Income Statement.</w:t>
      </w:r>
    </w:p>
    <w:p>
      <w:pPr>
        <w:spacing w:after="0" w:line="3" w:lineRule="exact"/>
        <w:rPr>
          <w:rFonts w:ascii="Times New Roman" w:cs="Times New Roman" w:eastAsia="Times New Roman" w:hAnsi="Times New Roman"/>
          <w:sz w:val="14"/>
          <w:szCs w:val="14"/>
          <w:color w:val="auto"/>
        </w:rPr>
      </w:pPr>
    </w:p>
    <w:p>
      <w:pPr>
        <w:ind w:left="380" w:right="219" w:hanging="330"/>
        <w:spacing w:after="0" w:line="239" w:lineRule="auto"/>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Multi-employer plan costs represent required contributions for the period to multi-employer plans, which are plans sponsored by third parties. The Company recognizes expense in connection with multi-employer plans as operating costs as contributions are funded.</w:t>
      </w:r>
    </w:p>
    <w:p>
      <w:pPr>
        <w:spacing w:after="0" w:line="181"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contributions to its defined benefit pension plans, multi-employer plans and nonpension postretirement benefit plans for fiscal year 2023 to be approximately $43 million. These amounts generally represent legally mandated minimum contributions. During the three and six months ended September 30, 2022, Company contributions paid to the defined benefit pension plans, multi-employer plans and nonpension postretirement benefit plans were $9 million, and $13 million,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RELATED-PARTY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 in Beneficial Ownership</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Based on IBM’s Quarterly Reports filed with the SEC on July 25, 2022 and October 25, 2022, IBM transferred all of its 19.9% retained interest in Kyndryl common stock to a third-party financial institution through two transactions pursuant to exchange agreements on May 19, 2022 and August 11, 2022. Effective August 11, 2022, IBM ceased to be a related party of Kyndryl. Transactions conducted on arms-length basis between Kyndryl and IBM after August 11, 2022 are no longer reported as related-party activities.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Related-Party Revenue and Purchases</w:t>
      </w:r>
    </w:p>
    <w:p>
      <w:pPr>
        <w:spacing w:after="0" w:line="22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Kyndryl provides various services to IBM, including those related to hosting data centers and servicing IBM’s information technology infrastructure, which are reported as revenue in the Company’s Consolidated Income Statement. Revenue generated from these services was $82 million and $144 million for the three months ended September 30, 2022 and 2021, respectively. Revenue generated from these services was $287 million and $291 million for the six months ended September 30, 2022 and 2021,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Kyndryl utilizes various IBM products and services, recognized as costs of services, in the fulfillment of services contracts. Total cost of services recognized from these related-party transactions in the Company’s Consolidated Income Statement was $421 million and $966 million for the three months ended September 30, 2022 and 2021, respectively. Related-party cost of $421 million for the current quarter includes outsourcing goods and services provided by the former Parent to Kyndryl’s customers post-Separation. Related-party cost of $966 million for the quarter ended September 30, 2021 was related to pre-Separation services, including costs incurred by Kyndryl to provide services to the former Parent for networking and IT services of $114 million; costs for the usage of IBM-branded software allocated to Kyndryl by the former Parent of $739 million; and depreciation charges related to IBM hardware allocated to Kyndryl of $114 million. Total cost of services recognized from these related-party transactions in the Company’s Consolidated Income Statement was $1,382 million and $1,872 million for the six months ended September 30, 2022 and 2021, respectively. Related-party cost of $1,382 million for the current six-month period includes outsourcing goods and services provided by the former Parent to Kyndryl’s customers post-Separation. Related-party cost of $1,872 million for the six months ended September 30, 2021 was related to pre-Separation services, including costs incurred by Kyndryl to provide services to the former Parent for networking and IT services of $229 million; costs for the usage of IBM-branded software allocated to Kyndryl by the former Parent of $1,420 million; and depreciation charges related to IBM hardware allocated to Kyndryl of $223 million.</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Expenditures with Former Parent</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Capital expenditures for purchases of IBM hardware were reflected as payments for property and equipment within the investing section of the Company’s Consolidated Statement of Cash Flows in the amounts of $89 million and $197 million for the six months ended September 30, 2022 and 2021, respectively. Additionally, as part of the Separation, IBM has committed to provide Kyndryl, at no cost, approximately $265 million of upgraded hardware over a two-year period. The amounts committed by IBM are reflected within other assets (noncurrent) within the Consolidated Balance Sheet. For the three and six months ended September 30, 2022, $21 million of the upgraded hardware committed by IBM was delivered to Kyndryl. Accordingly, such balance was derecognized in other assets (noncurrent) and recognized as property and equipment on the Balance Sheet and non-cash investing activity. The Company intends to recognize depreciation expense related to such equipment over its useful life of five years, consistent with our depreciation policy.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Related Party Agreements</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On November 2, 2021, in connection with the Separation, the Company entered into several agreements with IBM that govern the relationship of the parties following the Separation. Such agreements were described in our 2021 Annual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Allocation of Corporate Expenses</w:t>
      </w:r>
    </w:p>
    <w:p>
      <w:pPr>
        <w:spacing w:after="0" w:line="229" w:lineRule="exact"/>
        <w:rPr>
          <w:sz w:val="20"/>
          <w:szCs w:val="20"/>
          <w:color w:val="auto"/>
        </w:rPr>
      </w:pPr>
    </w:p>
    <w:p>
      <w:pPr>
        <w:ind w:left="60" w:right="159" w:firstLine="648"/>
        <w:spacing w:after="0" w:line="312" w:lineRule="auto"/>
        <w:rPr>
          <w:sz w:val="20"/>
          <w:szCs w:val="20"/>
          <w:color w:val="auto"/>
        </w:rPr>
      </w:pPr>
      <w:r>
        <w:rPr>
          <w:rFonts w:ascii="Times New Roman" w:cs="Times New Roman" w:eastAsia="Times New Roman" w:hAnsi="Times New Roman"/>
          <w:sz w:val="17"/>
          <w:szCs w:val="17"/>
          <w:color w:val="auto"/>
        </w:rPr>
        <w:t>Post-Separation, general corporate expenses from IBM were no longer allocated to Kyndryl; therefore, no related amounts were reflected on the Company’s financial statements for the three and six months ended September 30, 2022.</w:t>
      </w:r>
    </w:p>
    <w:p>
      <w:pPr>
        <w:spacing w:after="0" w:line="14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Prior to the Separation, IBM allocated certain general corporate expenses that would have been incurred by Kyndryl had it been a separate, standalone company. These allocated general corporate expenses from IBM were recorded in the historical Consolidated Income Statement, Consolidated Statement of Comprehensive Income (Loss) and Consolidated Statement of Cash Flows. Allocations for management costs and corporate support services provided to Kyndryl for the three months ended September 30, 2021 totaled $310 million, consisting of $2 million of allocated other (income) and expense, $17 million of allocated interest expense and $291 million of allocated selling, general and administrative expense, which primarily represents expenses for corporate functions including, but not limited to, senior management, legal, human resources, finance and accounting, treasury, information technology and other shared services. Allocations for management costs and corporate support services provided to Kyndryl for the six months ended September 30, 2021 totaled $640 million, consisting of $3 million of allocated other (income) and expense, $32 million of allocated interest expense and $604 million of allocated selling, general and administrative expense, which primarily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represents expenses for corporate functions including, but not limited to, senior management, legal, human resources, finance and accounting, treasury, information technology and other shared services. All such amounts have been deemed to have been incurred and settled by Kyndryl through net Parent investment in the period in which the costs were recorded. These costs were allocated based on direct usage as applicable, with the remainder allocated on a pro-rata basis of gross profit, headcount, assets or other measures.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Parent Investment</w:t>
      </w:r>
    </w:p>
    <w:p>
      <w:pPr>
        <w:spacing w:after="0" w:line="229" w:lineRule="exact"/>
        <w:rPr>
          <w:sz w:val="20"/>
          <w:szCs w:val="20"/>
          <w:color w:val="auto"/>
        </w:rPr>
      </w:pPr>
    </w:p>
    <w:p>
      <w:pPr>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As a result of the Separation, net Parent investment in the Consolidated Balance Sheet and Consolidated Statement of Equity was fully settled on November 3, 2021. As such, there was no balance in net Parent investment at March 31, 2022, and there was no activity within the account during the three and six months ended September 30, 2022.</w:t>
      </w:r>
    </w:p>
    <w:p>
      <w:pPr>
        <w:spacing w:after="0" w:line="15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Prior to the Separation, net Parent investment in the historical Balance Sheet and Statement of Equity represented IBM’s historical investment in Kyndryl, the net effect of transactions with and allocations from IBM, and Kyndryl’s accumulated earnings. The net Parent investment balance at September 30, 2021 was $7.0 billion. The amount of transfer activities from Parent recorded within net Parent investment during the three months ended September 30, 2021 was $1.8 billion, which included cash pooling and general financing activities, allocation of IBM’s corporate expenses, related party sales and purchases, related party intangible asset fees and income taxes. During the three months ended September 30, 2021, there were $660 million of non-cash transfers from Parent, including income taxes, allocation of Parent’s stock-based compensation, depreciation and other non-cash items. The amount of transfer activities from Parent recorded within net Parent investment during the six months ended September 30, 2021 was $2.2 billion, which included cash pooling and general financing activities, allocation of IBM’s corporate expenses, related party sales and purchases, related party intangible asset fees and income taxes. During the six months ended September 30, 2021, there were $820 million of non-cash transfers from Parent, including income taxes, allocation of Parent’s stock-based compensation, depreciation and other non-cash items. This resulted in a net transfer from Parent of $1.3 billion on the historical Statement of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 Guarantees</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Kyndryl has 59 lease agreements with third parties with an estimated aggregate lease liability of $122 million that are guaranteed by IBM as of September 30,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REVISION OF PRIOR-PERIOD FINANCIAL STATEMENTS</w:t>
      </w:r>
    </w:p>
    <w:p>
      <w:pPr>
        <w:spacing w:after="0" w:line="189" w:lineRule="exact"/>
        <w:rPr>
          <w:sz w:val="20"/>
          <w:szCs w:val="20"/>
          <w:color w:val="auto"/>
        </w:rPr>
      </w:pPr>
    </w:p>
    <w:p>
      <w:pPr>
        <w:ind w:left="60" w:right="339"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2022, the Company identified and corrected an $87 million over-accrual in its accrued contract costs balance that related to a majority-owned, consolidated joint venture in our Principal Markets segment. This over-accrual was predominantly built up over the pre-Separation periods of January 1, 2012, to November 3, 2021, resulting in overstatements of cost of services and accrued contract costs, and corresponding understatements of pretax and net income. The Company concluded that such impacts were not material to any prior annual or interim period. The Company further determined that the correction of the over-accrual within the transition period ended March 31, 2022 would be significant to the three-month results. As a result, we recorded an immaterial revision to portions of our 2021 Annual Report and are recording immaterial revisions to prior interim periods in this Quarterly Report as well as our subsequent Quarterly Reports on Form 10-Q.</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A summary of the impact of the revision to the accompanying prior-period consolidated financial statements is presented in the tables below.</w:t>
      </w:r>
    </w:p>
    <w:p>
      <w:pPr>
        <w:sectPr>
          <w:pgSz w:w="11900" w:h="16838" w:orient="portrait"/>
          <w:cols w:equalWidth="0" w:num="1">
            <w:col w:w="9019"/>
          </w:cols>
          <w:pgMar w:left="1440" w:top="513" w:right="1440" w:bottom="1440" w:gutter="0" w:footer="0" w:header="0"/>
        </w:sectPr>
      </w:pP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Income Statement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services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costs and expenses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Income Statement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services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costs and expenses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Statement of Comprehensive Income (Loss)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 before tax</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comprehensive income (loss)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Statement of Comprehensive Income (Loss)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 before tax</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comprehensive income (loss)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contract costs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Parent investment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Accumulated other comprehensive income/(loss)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Net Parent investment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equity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5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7"/>
              </w:rPr>
              <w:t>As Revised</w:t>
            </w:r>
          </w:p>
        </w:tc>
        <w:tc>
          <w:tcPr>
            <w:tcW w:w="20" w:type="dxa"/>
            <w:vAlign w:val="bottom"/>
          </w:tcPr>
          <w:p>
            <w:pPr>
              <w:spacing w:after="0"/>
              <w:rPr>
                <w:sz w:val="12"/>
                <w:szCs w:val="12"/>
                <w:color w:val="auto"/>
              </w:rPr>
            </w:pPr>
          </w:p>
        </w:tc>
      </w:tr>
      <w:tr>
        <w:trPr>
          <w:trHeight w:val="191"/>
        </w:trPr>
        <w:tc>
          <w:tcPr>
            <w:tcW w:w="5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4,074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6"/>
                <w:szCs w:val="16"/>
                <w:color w:val="auto"/>
              </w:rPr>
            </w:pPr>
          </w:p>
        </w:tc>
        <w:tc>
          <w:tcPr>
            <w:tcW w:w="360" w:type="dxa"/>
            <w:vAlign w:val="bottom"/>
            <w:tcBorders>
              <w:top w:val="single" w:sz="8" w:color="auto"/>
            </w:tcBorders>
          </w:tcPr>
          <w:p>
            <w:pPr>
              <w:jc w:val="right"/>
              <w:ind w:right="1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4,071</w:t>
            </w:r>
          </w:p>
        </w:tc>
        <w:tc>
          <w:tcPr>
            <w:tcW w:w="2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r>
      <w:tr>
        <w:trPr>
          <w:trHeight w:val="378"/>
        </w:trPr>
        <w:tc>
          <w:tcPr>
            <w:tcW w:w="5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Six Months Ended September 30, 2021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5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2"/>
                <w:szCs w:val="12"/>
                <w:color w:val="auto"/>
              </w:rPr>
            </w:pPr>
          </w:p>
        </w:tc>
        <w:tc>
          <w:tcPr>
            <w:tcW w:w="102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7"/>
              </w:rPr>
              <w:t>As Revised</w:t>
            </w:r>
          </w:p>
        </w:tc>
        <w:tc>
          <w:tcPr>
            <w:tcW w:w="20" w:type="dxa"/>
            <w:vAlign w:val="bottom"/>
          </w:tcPr>
          <w:p>
            <w:pPr>
              <w:spacing w:after="0"/>
              <w:rPr>
                <w:sz w:val="12"/>
                <w:szCs w:val="12"/>
                <w:color w:val="auto"/>
              </w:rPr>
            </w:pPr>
          </w:p>
        </w:tc>
      </w:tr>
      <w:tr>
        <w:trPr>
          <w:trHeight w:val="191"/>
        </w:trPr>
        <w:tc>
          <w:tcPr>
            <w:tcW w:w="5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8,241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6"/>
                <w:szCs w:val="16"/>
                <w:color w:val="auto"/>
              </w:rPr>
            </w:pPr>
          </w:p>
        </w:tc>
        <w:tc>
          <w:tcPr>
            <w:tcW w:w="360" w:type="dxa"/>
            <w:vAlign w:val="bottom"/>
            <w:tcBorders>
              <w:top w:val="single" w:sz="8" w:color="auto"/>
            </w:tcBorders>
          </w:tcPr>
          <w:p>
            <w:pPr>
              <w:jc w:val="right"/>
              <w:ind w:right="1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8,233</w:t>
            </w:r>
          </w:p>
        </w:tc>
        <w:tc>
          <w:tcPr>
            <w:tcW w:w="2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(1,079)</w:t>
            </w:r>
          </w:p>
        </w:tc>
      </w:tr>
      <w:tr>
        <w:trPr>
          <w:trHeight w:val="378"/>
        </w:trPr>
        <w:tc>
          <w:tcPr>
            <w:tcW w:w="5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5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2"/>
                <w:szCs w:val="12"/>
                <w:color w:val="auto"/>
              </w:rPr>
            </w:pPr>
          </w:p>
        </w:tc>
        <w:tc>
          <w:tcPr>
            <w:tcW w:w="102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7"/>
              </w:rPr>
              <w:t>As Revised</w:t>
            </w:r>
          </w:p>
        </w:tc>
        <w:tc>
          <w:tcPr>
            <w:tcW w:w="20" w:type="dxa"/>
            <w:vAlign w:val="bottom"/>
          </w:tcPr>
          <w:p>
            <w:pPr>
              <w:spacing w:after="0"/>
              <w:rPr>
                <w:sz w:val="12"/>
                <w:szCs w:val="12"/>
                <w:color w:val="auto"/>
              </w:rPr>
            </w:pPr>
          </w:p>
        </w:tc>
      </w:tr>
      <w:tr>
        <w:trPr>
          <w:trHeight w:val="191"/>
        </w:trPr>
        <w:tc>
          <w:tcPr>
            <w:tcW w:w="5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6"/>
                <w:szCs w:val="16"/>
                <w:color w:val="auto"/>
              </w:rPr>
            </w:pPr>
          </w:p>
        </w:tc>
        <w:tc>
          <w:tcPr>
            <w:tcW w:w="360" w:type="dxa"/>
            <w:vAlign w:val="bottom"/>
            <w:tcBorders>
              <w:top w:val="single" w:sz="8" w:color="auto"/>
            </w:tcBorders>
          </w:tcPr>
          <w:p>
            <w:pPr>
              <w:jc w:val="right"/>
              <w:ind w:right="1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(690)</w:t>
            </w:r>
          </w:p>
        </w:tc>
        <w:tc>
          <w:tcPr>
            <w:tcW w:w="2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5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5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234"/>
        </w:trPr>
        <w:tc>
          <w:tcPr>
            <w:tcW w:w="5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w:t>
            </w:r>
          </w:p>
        </w:tc>
      </w:tr>
      <w:tr>
        <w:trPr>
          <w:trHeight w:val="378"/>
        </w:trPr>
        <w:tc>
          <w:tcPr>
            <w:tcW w:w="5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Six Months Ended September 30, 2021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5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2"/>
                <w:szCs w:val="12"/>
                <w:color w:val="auto"/>
              </w:rPr>
            </w:pPr>
          </w:p>
        </w:tc>
        <w:tc>
          <w:tcPr>
            <w:tcW w:w="102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7"/>
              </w:rPr>
              <w:t>As Revised</w:t>
            </w:r>
          </w:p>
        </w:tc>
        <w:tc>
          <w:tcPr>
            <w:tcW w:w="20" w:type="dxa"/>
            <w:vAlign w:val="bottom"/>
          </w:tcPr>
          <w:p>
            <w:pPr>
              <w:spacing w:after="0"/>
              <w:rPr>
                <w:sz w:val="12"/>
                <w:szCs w:val="12"/>
                <w:color w:val="auto"/>
              </w:rPr>
            </w:pPr>
          </w:p>
        </w:tc>
      </w:tr>
      <w:tr>
        <w:trPr>
          <w:trHeight w:val="191"/>
        </w:trPr>
        <w:tc>
          <w:tcPr>
            <w:tcW w:w="5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6"/>
                <w:szCs w:val="16"/>
                <w:color w:val="auto"/>
              </w:rPr>
            </w:pPr>
          </w:p>
        </w:tc>
        <w:tc>
          <w:tcPr>
            <w:tcW w:w="360" w:type="dxa"/>
            <w:vAlign w:val="bottom"/>
            <w:tcBorders>
              <w:top w:val="single" w:sz="8" w:color="auto"/>
            </w:tcBorders>
          </w:tcPr>
          <w:p>
            <w:pPr>
              <w:jc w:val="right"/>
              <w:ind w:right="1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(1,079)</w:t>
            </w:r>
          </w:p>
        </w:tc>
        <w:tc>
          <w:tcPr>
            <w:tcW w:w="2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5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(1,173)</w:t>
            </w:r>
          </w:p>
        </w:tc>
      </w:tr>
      <w:tr>
        <w:trPr>
          <w:trHeight w:val="378"/>
        </w:trPr>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At September 30, 2021</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5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2"/>
                <w:szCs w:val="12"/>
                <w:color w:val="auto"/>
              </w:rPr>
            </w:pPr>
          </w:p>
        </w:tc>
        <w:tc>
          <w:tcPr>
            <w:tcW w:w="102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7"/>
              </w:rPr>
              <w:t>As Revised</w:t>
            </w:r>
          </w:p>
        </w:tc>
        <w:tc>
          <w:tcPr>
            <w:tcW w:w="20" w:type="dxa"/>
            <w:vAlign w:val="bottom"/>
          </w:tcPr>
          <w:p>
            <w:pPr>
              <w:spacing w:after="0"/>
              <w:rPr>
                <w:sz w:val="12"/>
                <w:szCs w:val="12"/>
                <w:color w:val="auto"/>
              </w:rPr>
            </w:pPr>
          </w:p>
        </w:tc>
      </w:tr>
      <w:tr>
        <w:trPr>
          <w:trHeight w:val="191"/>
        </w:trPr>
        <w:tc>
          <w:tcPr>
            <w:tcW w:w="5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6"/>
                <w:szCs w:val="16"/>
                <w:color w:val="auto"/>
              </w:rPr>
            </w:pPr>
          </w:p>
        </w:tc>
        <w:tc>
          <w:tcPr>
            <w:tcW w:w="360" w:type="dxa"/>
            <w:vAlign w:val="bottom"/>
            <w:tcBorders>
              <w:top w:val="single" w:sz="8" w:color="auto"/>
            </w:tcBorders>
          </w:tcPr>
          <w:p>
            <w:pPr>
              <w:jc w:val="right"/>
              <w:ind w:right="1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494</w:t>
            </w:r>
          </w:p>
        </w:tc>
        <w:tc>
          <w:tcPr>
            <w:tcW w:w="2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(1,614)</w:t>
            </w:r>
          </w:p>
        </w:tc>
      </w:tr>
      <w:tr>
        <w:trPr>
          <w:trHeight w:val="216"/>
        </w:trPr>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-4971415</wp:posOffset>
            </wp:positionV>
            <wp:extent cx="56489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-4697095</wp:posOffset>
            </wp:positionV>
            <wp:extent cx="56489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-5253990</wp:posOffset>
            </wp:positionV>
            <wp:extent cx="564896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-3933825</wp:posOffset>
            </wp:positionV>
            <wp:extent cx="564896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-3660140</wp:posOffset>
            </wp:positionV>
            <wp:extent cx="56489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-4217035</wp:posOffset>
            </wp:positionV>
            <wp:extent cx="564896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-2896870</wp:posOffset>
            </wp:positionV>
            <wp:extent cx="56489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-2622550</wp:posOffset>
            </wp:positionV>
            <wp:extent cx="564896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-3179445</wp:posOffset>
            </wp:positionV>
            <wp:extent cx="564896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-1859915</wp:posOffset>
            </wp:positionV>
            <wp:extent cx="56489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-1585595</wp:posOffset>
            </wp:positionV>
            <wp:extent cx="56489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-2142490</wp:posOffset>
            </wp:positionV>
            <wp:extent cx="564896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-822325</wp:posOffset>
            </wp:positionV>
            <wp:extent cx="56489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-548005</wp:posOffset>
            </wp:positionV>
            <wp:extent cx="56489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-273685</wp:posOffset>
            </wp:positionV>
            <wp:extent cx="56489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-1105535</wp:posOffset>
            </wp:positionV>
            <wp:extent cx="564896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4699"/>
          </w:cols>
          <w:pgMar w:left="1440" w:top="513"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7"/>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rPr>
              <w:t>Six Months Ended September 30, 2021</w:t>
            </w:r>
          </w:p>
        </w:tc>
        <w:tc>
          <w:tcPr>
            <w:tcW w:w="10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2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Statement of Cash Flows</w:t>
            </w:r>
          </w:p>
        </w:tc>
        <w:tc>
          <w:tcPr>
            <w:tcW w:w="15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2"/>
                <w:szCs w:val="12"/>
                <w:color w:val="auto"/>
              </w:rPr>
            </w:pPr>
          </w:p>
        </w:tc>
        <w:tc>
          <w:tcPr>
            <w:tcW w:w="10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r>
      <w:tr>
        <w:trPr>
          <w:trHeight w:val="209"/>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0" w:type="dxa"/>
            <w:vAlign w:val="bottom"/>
          </w:tcPr>
          <w:p>
            <w:pPr>
              <w:spacing w:after="0"/>
              <w:rPr>
                <w:sz w:val="18"/>
                <w:szCs w:val="18"/>
                <w:color w:val="auto"/>
              </w:rPr>
            </w:pPr>
          </w:p>
        </w:tc>
      </w:tr>
      <w:tr>
        <w:trPr>
          <w:trHeight w:val="198"/>
        </w:trPr>
        <w:tc>
          <w:tcPr>
            <w:tcW w:w="42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cash</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Taxes (including items settled with former Parent)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 and other liabilities</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r>
      <w:tr>
        <w:trPr>
          <w:trHeight w:val="37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March 31, 2021</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2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Statement of Equity</w:t>
            </w:r>
          </w:p>
        </w:tc>
        <w:tc>
          <w:tcPr>
            <w:tcW w:w="15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2"/>
                <w:szCs w:val="12"/>
                <w:color w:val="auto"/>
              </w:rPr>
            </w:pPr>
          </w:p>
        </w:tc>
        <w:tc>
          <w:tcPr>
            <w:tcW w:w="10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r>
      <w:tr>
        <w:trPr>
          <w:trHeight w:val="210"/>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20" w:type="dxa"/>
            <w:vAlign w:val="bottom"/>
          </w:tcPr>
          <w:p>
            <w:pPr>
              <w:spacing w:after="0"/>
              <w:rPr>
                <w:sz w:val="18"/>
                <w:szCs w:val="18"/>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5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Parent investment</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20" w:type="dxa"/>
            <w:vAlign w:val="bottom"/>
          </w:tcPr>
          <w:p>
            <w:pPr>
              <w:spacing w:after="0"/>
              <w:rPr>
                <w:sz w:val="18"/>
                <w:szCs w:val="18"/>
                <w:color w:val="auto"/>
              </w:rPr>
            </w:pPr>
          </w:p>
        </w:tc>
      </w:tr>
      <w:tr>
        <w:trPr>
          <w:trHeight w:val="23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20" w:type="dxa"/>
            <w:vAlign w:val="bottom"/>
          </w:tcPr>
          <w:p>
            <w:pPr>
              <w:spacing w:after="0"/>
              <w:rPr>
                <w:sz w:val="20"/>
                <w:szCs w:val="20"/>
                <w:color w:val="auto"/>
              </w:rPr>
            </w:pPr>
          </w:p>
        </w:tc>
      </w:tr>
      <w:tr>
        <w:trPr>
          <w:trHeight w:val="37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At June 30, 2021</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2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Statement of Equity</w:t>
            </w:r>
          </w:p>
        </w:tc>
        <w:tc>
          <w:tcPr>
            <w:tcW w:w="15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2"/>
                <w:szCs w:val="12"/>
                <w:color w:val="auto"/>
              </w:rPr>
            </w:pPr>
          </w:p>
        </w:tc>
        <w:tc>
          <w:tcPr>
            <w:tcW w:w="10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r>
      <w:tr>
        <w:trPr>
          <w:trHeight w:val="210"/>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20" w:type="dxa"/>
            <w:vAlign w:val="bottom"/>
          </w:tcPr>
          <w:p>
            <w:pPr>
              <w:spacing w:after="0"/>
              <w:rPr>
                <w:sz w:val="18"/>
                <w:szCs w:val="18"/>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5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Parent investment</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20" w:type="dxa"/>
            <w:vAlign w:val="bottom"/>
          </w:tcPr>
          <w:p>
            <w:pPr>
              <w:spacing w:after="0"/>
              <w:rPr>
                <w:sz w:val="18"/>
                <w:szCs w:val="18"/>
                <w:color w:val="auto"/>
              </w:rPr>
            </w:pPr>
          </w:p>
        </w:tc>
      </w:tr>
      <w:tr>
        <w:trPr>
          <w:trHeight w:val="23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0" w:type="dxa"/>
            <w:vAlign w:val="bottom"/>
          </w:tcPr>
          <w:p>
            <w:pPr>
              <w:spacing w:after="0"/>
              <w:rPr>
                <w:sz w:val="20"/>
                <w:szCs w:val="20"/>
                <w:color w:val="auto"/>
              </w:rPr>
            </w:pPr>
          </w:p>
        </w:tc>
      </w:tr>
      <w:tr>
        <w:trPr>
          <w:trHeight w:val="36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At September 30, 2021</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2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Statement of Equity</w:t>
            </w:r>
          </w:p>
        </w:tc>
        <w:tc>
          <w:tcPr>
            <w:tcW w:w="15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2"/>
                <w:szCs w:val="12"/>
                <w:color w:val="auto"/>
              </w:rPr>
            </w:pPr>
          </w:p>
        </w:tc>
        <w:tc>
          <w:tcPr>
            <w:tcW w:w="10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r>
      <w:tr>
        <w:trPr>
          <w:trHeight w:val="210"/>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20" w:type="dxa"/>
            <w:vAlign w:val="bottom"/>
          </w:tcPr>
          <w:p>
            <w:pPr>
              <w:spacing w:after="0"/>
              <w:rPr>
                <w:sz w:val="18"/>
                <w:szCs w:val="18"/>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5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Parent investment</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0" w:type="dxa"/>
            <w:vAlign w:val="bottom"/>
          </w:tcPr>
          <w:p>
            <w:pPr>
              <w:spacing w:after="0"/>
              <w:rPr>
                <w:sz w:val="18"/>
                <w:szCs w:val="18"/>
                <w:color w:val="auto"/>
              </w:rPr>
            </w:pPr>
          </w:p>
        </w:tc>
      </w:tr>
      <w:tr>
        <w:trPr>
          <w:trHeight w:val="23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FOR THE THREE AND SIX MONTHS ENDED SEPTEMBER 30, 2022</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5"/>
                <w:szCs w:val="15"/>
                <w:color w:val="auto"/>
              </w:rPr>
            </w:pPr>
          </w:p>
        </w:tc>
        <w:tc>
          <w:tcPr>
            <w:tcW w:w="27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56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324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4,579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8,467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9,330</w:t>
            </w:r>
          </w:p>
        </w:tc>
        <w:tc>
          <w:tcPr>
            <w:tcW w:w="0" w:type="dxa"/>
            <w:vAlign w:val="bottom"/>
          </w:tcPr>
          <w:p>
            <w:pPr>
              <w:spacing w:after="0"/>
              <w:rPr>
                <w:sz w:val="1"/>
                <w:szCs w:val="1"/>
                <w:color w:val="auto"/>
              </w:rPr>
            </w:pPr>
          </w:p>
        </w:tc>
      </w:tr>
      <w:tr>
        <w:trPr>
          <w:trHeight w:val="243"/>
        </w:trPr>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 growth (GAAP)</w:t>
            </w: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24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Revenue growth in constant currency</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43"/>
        </w:trPr>
        <w:tc>
          <w:tcPr>
            <w:tcW w:w="324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6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4"/>
          <w:szCs w:val="14"/>
          <w:color w:val="auto"/>
        </w:rPr>
        <w:t>(1)</w:t>
        <w:tab/>
        <w:t>Revenue growth in constant currency and adjusted EBITDA are non-GAAP financial metrics. For definitions of these metrics and a reconciliation of</w:t>
      </w:r>
    </w:p>
    <w:p>
      <w:pPr>
        <w:spacing w:after="0" w:line="55" w:lineRule="exact"/>
        <w:rPr>
          <w:sz w:val="20"/>
          <w:szCs w:val="20"/>
          <w:color w:val="auto"/>
        </w:rPr>
      </w:pPr>
    </w:p>
    <w:p>
      <w:pPr>
        <w:ind w:left="380" w:right="319"/>
        <w:spacing w:after="0" w:line="282" w:lineRule="auto"/>
        <w:rPr>
          <w:sz w:val="20"/>
          <w:szCs w:val="20"/>
          <w:color w:val="auto"/>
        </w:rPr>
      </w:pPr>
      <w:r>
        <w:rPr>
          <w:rFonts w:ascii="Times New Roman" w:cs="Times New Roman" w:eastAsia="Times New Roman" w:hAnsi="Times New Roman"/>
          <w:sz w:val="14"/>
          <w:szCs w:val="14"/>
          <w:color w:val="auto"/>
        </w:rPr>
        <w:t>adjusted EBITDA to the most directly comparable financial measure calculated and presented in accordance with U.S. GAAP, see “ Segment Results.”</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3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Organization of Information</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Kyndryl Holdings, Inc. was formed as a wholly-owned subsidiary of IBM in September 2021 to hold the operations of the managed infrastructure services unit of IBM’s Global Technology Services segment. On November 3, 2021, IBM distributed shares representing 80.1% of Kyndryl’s outstanding common stock to holders of record of IBM’s common stock as of the close of business on October 25, 2021 in a spin-off that is tax-free for U.S. federal tax purposes. Following the distribution, Kyndryl became an independent, publicly-traded company and is the world’s leading managed infrastructure services provider. Based on IBM’s Quarterly Reports filed with the SEC on July 25, 2022 and October 25, 2022, as of September 30, 2022, IBM had transferred all of its 19.9% retained interest in Kyndryl common stock pursuant to exchange agreements with a third-party financial institution.</w:t>
      </w:r>
    </w:p>
    <w:p>
      <w:pPr>
        <w:spacing w:after="0" w:line="192"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Kyndryl utilized allocations and carve-out methodologies through November 3, 2021 to prepare historical financial statements. The consolidated financial statements for the pre-Separation periods herein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For additional information, see “Basis of Presentation” in Note 1 – Significant Accounting Policies in the accompanying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Macro Dynamics</w:t>
      </w:r>
    </w:p>
    <w:p>
      <w:pPr>
        <w:spacing w:after="0" w:line="22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In 2021, we saw a broad-based macroeconomic recovery in most regions of the world. Demand for technology services rebounded, as large organizations again demonstrated a need for assistance in designing, building, managing and modernizing their technology systems. Thus far in 2022, we have seen continuing demand for information technology services, as well as, declining economic growth, increased geopolitical tensions, lingering effects of the COVID-19 pandemic, inflationary pressures and government efforts to stem inflation. Although the risk of economic</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slowdowns in certain geographies has recently increased, most economists, including the International Monetary Fund, expect positive global macroeconomic growth in 2022 and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2022, we reported $4.2 billion in revenue, a decline of 9 percent when compared to the prior-year period, primarily driven by a 10-point negative impact from currency. United States revenue declined 2 percent, Japan revenue declined 16 percent, Principal Markets revenue declined 16 percent and Strategic Markets revenue increased 2 percent compared to the three months ended September 30, 2021. Net loss of $281 million improved by $409 million versus the prior year, primarily driven by lower tax expense, transaction-related costs and cost of services as a percentage of revenue.</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For the six months ended September 30, 2022, we reported $8.5 billion in revenue, a decline of 9 percent when compared to the prior-year period, primarily driven by an 8-point negative impact from currency. United States revenue declined 3 percent, Japan revenue declined 15 percent, Principal Markets revenue declined 17 percent and Strategic Markets revenue increased 2 percent compared to the six months ended September 30, 2021. Net loss of $531 million improved by $548 million versus the prior year, primarily driven by lower tax expense, transaction-related costs and cost of services as a percentage of revenue.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the fourth quarter of 2021, the Company implemented a new operating model and reporting structure resulting in four reportable segments: United States, Japan, Principal Markets and Strategic Markets. Principal Markets consists of our operations in Australia/New Zealand, Canada, France, Germany, Italy, India, Spain/Portugal and United Kingdom/Ireland. Strategic Markets consists of our operations in all other countries in which we operate. In addition to this change, the measures of segment operating performance changed to revenue and adjusted EBITDA. The Company has recast the prior-period results to reflect this change in segment structure. During the three months ended March 31, 2022, the Company updated certain allocation methodologies among segments related to its measure of adjusted EBITDA and has accordingly recast the prior-period information to reflect these updates, which did not change the aggregate amount of adjusted EBITDA. See Note 14 – Revision of Prior-Period Financial Statements regarding immaterial revisions we made to the historical periods.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reportable segments’ revenue and adjusted EBITDA for the three and six months ended September 30, 2022 and 2021 and has incorporated the aforementioned updates in the historical periods presented. Segment revenue and revenue growth in constant currency exclude any transactions between the segments.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220" w:type="dxa"/>
            <w:vAlign w:val="bottom"/>
          </w:tcPr>
          <w:p>
            <w:pPr>
              <w:spacing w:after="0"/>
              <w:rPr>
                <w:sz w:val="15"/>
                <w:szCs w:val="15"/>
                <w:color w:val="auto"/>
              </w:rPr>
            </w:pPr>
          </w:p>
        </w:tc>
        <w:tc>
          <w:tcPr>
            <w:tcW w:w="21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0" w:type="dxa"/>
            <w:vAlign w:val="bottom"/>
          </w:tcPr>
          <w:p>
            <w:pPr>
              <w:spacing w:after="0"/>
              <w:rPr>
                <w:sz w:val="1"/>
                <w:szCs w:val="1"/>
                <w:color w:val="auto"/>
              </w:rPr>
            </w:pPr>
          </w:p>
        </w:tc>
      </w:tr>
      <w:tr>
        <w:trPr>
          <w:trHeight w:val="187"/>
        </w:trPr>
        <w:tc>
          <w:tcPr>
            <w:tcW w:w="2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21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0" w:type="dxa"/>
            <w:vAlign w:val="bottom"/>
          </w:tcPr>
          <w:p>
            <w:pPr>
              <w:spacing w:after="0"/>
              <w:rPr>
                <w:sz w:val="1"/>
                <w:szCs w:val="1"/>
                <w:color w:val="auto"/>
              </w:rPr>
            </w:pPr>
          </w:p>
        </w:tc>
      </w:tr>
      <w:tr>
        <w:trPr>
          <w:trHeight w:val="142"/>
        </w:trPr>
        <w:tc>
          <w:tcPr>
            <w:tcW w:w="2260" w:type="dxa"/>
            <w:vAlign w:val="bottom"/>
            <w:gridSpan w:val="3"/>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09"/>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1,149</w:t>
            </w:r>
          </w:p>
        </w:tc>
        <w:tc>
          <w:tcPr>
            <w:tcW w:w="1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1,175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2,317</w:t>
            </w:r>
          </w:p>
        </w:tc>
        <w:tc>
          <w:tcPr>
            <w:tcW w:w="16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8"/>
              </w:rPr>
              <w:t>2,384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98"/>
              </w:rPr>
              <w:t>1,477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20" w:type="dxa"/>
            <w:vAlign w:val="bottom"/>
          </w:tcPr>
          <w:p>
            <w:pPr>
              <w:spacing w:after="0"/>
              <w:rPr>
                <w:sz w:val="18"/>
                <w:szCs w:val="18"/>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1,472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1,748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2,988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8"/>
              </w:rPr>
              <w:t>3,590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926</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1,914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98"/>
              </w:rPr>
              <w:t>1,879</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9"/>
        </w:trPr>
        <w:tc>
          <w:tcPr>
            <w:tcW w:w="22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4,179</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4,579</w:t>
            </w: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8,467</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98"/>
              </w:rPr>
              <w:t>9,330</w:t>
            </w:r>
          </w:p>
        </w:tc>
        <w:tc>
          <w:tcPr>
            <w:tcW w:w="1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39"/>
        </w:trPr>
        <w:tc>
          <w:tcPr>
            <w:tcW w:w="2260" w:type="dxa"/>
            <w:vAlign w:val="bottom"/>
            <w:gridSpan w:val="3"/>
            <w:shd w:val="clear" w:color="auto" w:fill="CCEEFF"/>
          </w:tcPr>
          <w:p>
            <w:pPr>
              <w:ind w:left="220"/>
              <w:spacing w:after="0" w:line="139" w:lineRule="exact"/>
              <w:rPr>
                <w:sz w:val="20"/>
                <w:szCs w:val="20"/>
                <w:color w:val="auto"/>
              </w:rPr>
            </w:pPr>
            <w:r>
              <w:rPr>
                <w:rFonts w:ascii="Times New Roman" w:cs="Times New Roman" w:eastAsia="Times New Roman" w:hAnsi="Times New Roman"/>
                <w:sz w:val="16"/>
                <w:szCs w:val="16"/>
                <w:b w:val="1"/>
                <w:bCs w:val="1"/>
                <w:color w:val="auto"/>
              </w:rPr>
              <w:t>Revenue growth in</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260" w:type="dxa"/>
            <w:vAlign w:val="bottom"/>
            <w:gridSpan w:val="3"/>
            <w:shd w:val="clear" w:color="auto" w:fill="CCEEFF"/>
          </w:tcPr>
          <w:p>
            <w:pPr>
              <w:ind w:left="220"/>
              <w:spacing w:after="0" w:line="246" w:lineRule="exact"/>
              <w:rPr>
                <w:sz w:val="20"/>
                <w:szCs w:val="20"/>
                <w:color w:val="auto"/>
              </w:rPr>
            </w:pPr>
            <w:r>
              <w:rPr>
                <w:rFonts w:ascii="Times New Roman" w:cs="Times New Roman" w:eastAsia="Times New Roman" w:hAnsi="Times New Roman"/>
                <w:sz w:val="18"/>
                <w:szCs w:val="18"/>
                <w:b w:val="1"/>
                <w:bCs w:val="1"/>
                <w:color w:val="auto"/>
              </w:rPr>
              <w:t>constant currency</w:t>
            </w:r>
            <w:r>
              <w:rPr>
                <w:rFonts w:ascii="Times New Roman" w:cs="Times New Roman" w:eastAsia="Times New Roman" w:hAnsi="Times New Roman"/>
                <w:sz w:val="26"/>
                <w:szCs w:val="26"/>
                <w:b w:val="1"/>
                <w:bCs w:val="1"/>
                <w:color w:val="auto"/>
                <w:vertAlign w:val="superscript"/>
              </w:rPr>
              <w:t>(1)</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6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(1)</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tcPr>
          <w:p>
            <w:pPr>
              <w:spacing w:after="0"/>
              <w:rPr>
                <w:sz w:val="18"/>
                <w:szCs w:val="18"/>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2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20" w:type="dxa"/>
            <w:vAlign w:val="bottom"/>
          </w:tcPr>
          <w:p>
            <w:pPr>
              <w:spacing w:after="0"/>
              <w:rPr>
                <w:sz w:val="18"/>
                <w:szCs w:val="18"/>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26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66"/>
        </w:trPr>
        <w:tc>
          <w:tcPr>
            <w:tcW w:w="2260" w:type="dxa"/>
            <w:vAlign w:val="bottom"/>
            <w:gridSpan w:val="3"/>
          </w:tcPr>
          <w:p>
            <w:pPr>
              <w:ind w:left="220"/>
              <w:spacing w:after="0" w:line="166" w:lineRule="exact"/>
              <w:rPr>
                <w:sz w:val="20"/>
                <w:szCs w:val="20"/>
                <w:color w:val="auto"/>
              </w:rPr>
            </w:pPr>
            <w:r>
              <w:rPr>
                <w:rFonts w:ascii="Times New Roman" w:cs="Times New Roman" w:eastAsia="Times New Roman" w:hAnsi="Times New Roman"/>
                <w:sz w:val="18"/>
                <w:szCs w:val="18"/>
                <w:b w:val="1"/>
                <w:bCs w:val="1"/>
                <w:color w:val="auto"/>
              </w:rPr>
              <w:t>Total adjusted</w:t>
            </w: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14"/>
                <w:szCs w:val="1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tcPr>
          <w:p>
            <w:pPr>
              <w:spacing w:after="0"/>
              <w:rPr>
                <w:sz w:val="14"/>
                <w:szCs w:val="14"/>
                <w:color w:val="auto"/>
              </w:rPr>
            </w:pPr>
          </w:p>
        </w:tc>
        <w:tc>
          <w:tcPr>
            <w:tcW w:w="340" w:type="dxa"/>
            <w:vAlign w:val="bottom"/>
            <w:tcBorders>
              <w:top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w w:val="98"/>
              </w:rPr>
              <w:t>1,072</w:t>
            </w:r>
          </w:p>
        </w:tc>
        <w:tc>
          <w:tcPr>
            <w:tcW w:w="140" w:type="dxa"/>
            <w:vAlign w:val="bottom"/>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8"/>
        </w:trPr>
        <w:tc>
          <w:tcPr>
            <w:tcW w:w="2260" w:type="dxa"/>
            <w:vAlign w:val="bottom"/>
            <w:gridSpan w:val="3"/>
          </w:tcPr>
          <w:p>
            <w:pPr>
              <w:ind w:left="220"/>
              <w:spacing w:after="0" w:line="232" w:lineRule="exact"/>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6"/>
                <w:szCs w:val="26"/>
                <w:b w:val="1"/>
                <w:bCs w:val="1"/>
                <w:color w:val="auto"/>
                <w:vertAlign w:val="superscript"/>
              </w:rPr>
              <w:t>(1)</w:t>
            </w: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4" w:lineRule="exact"/>
        <w:rPr>
          <w:sz w:val="20"/>
          <w:szCs w:val="20"/>
          <w:color w:val="auto"/>
        </w:rPr>
      </w:pPr>
    </w:p>
    <w:p>
      <w:pPr>
        <w:ind w:left="380" w:right="339" w:hanging="330"/>
        <w:spacing w:after="0" w:line="221"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See the information below for definitions of these metrics and a reconciliation of adjusted EBITDA to net income (loss).</w:t>
      </w:r>
    </w:p>
    <w:p>
      <w:pPr>
        <w:ind w:left="380" w:hanging="330"/>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amounts not allocated to segments.</w:t>
      </w:r>
    </w:p>
    <w:p>
      <w:pPr>
        <w:spacing w:after="0" w:line="192"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We also present certain non-GAAP financial measures to provide useful supplemental information to investors. We provide these non-GAAP financial measures as we believe it improves visibility to underlying results and the impact of management decisions on operational performance and enables better comparison to peer companies.</w:t>
      </w:r>
    </w:p>
    <w:p>
      <w:pPr>
        <w:spacing w:after="0" w:line="180"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Additionally, management uses adjusted EBITDA to evaluate our performance. Adjusted EBITDA is a non-GAAP measure and defined as net income (loss) excluding net interest expense, depreciation and amortization (excluding depreciation of right-of-use assets and amortization of capitalized contract costs), pension costs other than pension servicing costs and multi-employer plan costs, early extinguishment of debt charges, workforce rebalancing and restructuring charges, transaction-related and integration-related items, goodwill and long-lived asset impairment charges, foreign currency impacts of highly inflationary countries, significant litigation costs, stock-based compensation expense and income taxes. We believe that adjusted EBITDA is a helpful supplemental measure to assist investors in evaluating our operating results as it excludes certain items whose fluctuation from period to period does not necessarily correspond to changes in the operations of our business. We provide this non-GAAP financial measure as we believe it improves visibility to underlying results and the impact of management decisions on operational performance, enables better comparison to peer companies and allows us to provide a long-term strategic view of the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this measure for comparative purposes.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a reconciliation of U.S. GAAP net income (loss) to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16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4200" w:type="dxa"/>
            <w:vAlign w:val="bottom"/>
            <w:gridSpan w:val="3"/>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6"/>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 *</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40" w:type="dxa"/>
            <w:vAlign w:val="bottom"/>
            <w:tcBorders>
              <w:bottom w:val="single" w:sz="8" w:color="auto"/>
            </w:tcBorders>
          </w:tcPr>
          <w:p>
            <w:pPr>
              <w:spacing w:after="0"/>
              <w:rPr>
                <w:sz w:val="5"/>
                <w:szCs w:val="5"/>
                <w:color w:val="auto"/>
              </w:rPr>
            </w:pPr>
          </w:p>
        </w:tc>
        <w:tc>
          <w:tcPr>
            <w:tcW w:w="1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 other than pension servicing costs and multi-employer plan costs.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19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3"/>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92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25"/>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80" w:type="dxa"/>
            <w:vAlign w:val="bottom"/>
            <w:gridSpan w:val="2"/>
            <w:vMerge w:val="continue"/>
          </w:tcPr>
          <w:p>
            <w:pPr>
              <w:spacing w:after="0"/>
              <w:rPr>
                <w:sz w:val="12"/>
                <w:szCs w:val="12"/>
                <w:color w:val="auto"/>
              </w:rPr>
            </w:pPr>
          </w:p>
        </w:tc>
        <w:tc>
          <w:tcPr>
            <w:tcW w:w="860" w:type="dxa"/>
            <w:vAlign w:val="bottom"/>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88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90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1,149</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   1,175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2,317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   2,384</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21"/>
                <w:szCs w:val="21"/>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Pr>
          <w:p>
            <w:pPr>
              <w:spacing w:after="0"/>
              <w:rPr>
                <w:sz w:val="21"/>
                <w:szCs w:val="21"/>
                <w:color w:val="auto"/>
              </w:rPr>
            </w:pP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three months ended September 30, 2022, United States revenue of $1.1 billion decreased 2 percent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compared to the prior-year quarter, primarily driven by reduced signings in the prior year. Adjusted EBITDA decreased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 million from the prior-year quarter, primarily driven by lower revenues and certain software agreements moving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prepaid and amortized agreements to monthly subscription agreements.</w:t>
      </w:r>
    </w:p>
    <w:p>
      <w:pPr>
        <w:spacing w:after="0" w:line="207" w:lineRule="exact"/>
        <w:rPr>
          <w:sz w:val="20"/>
          <w:szCs w:val="20"/>
          <w:color w:val="auto"/>
        </w:rPr>
      </w:pPr>
    </w:p>
    <w:p>
      <w:pPr>
        <w:ind w:left="60" w:right="379"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September 30, 2022, United States revenue of $2.3 billion decreased 3 percent compared to the prior-year six-month period, primarily driven by reduced signings in the prior year. Adjusted EBITDA decreased $93 million from the prior-year six-month period, primarily driven by lower revenues and certain software agreements moving from prepaid and amortized agreements to monthly subscription agreements. The prior-year period also included a $27 million benefit from a previously-reserved-for customer collection.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180" w:type="dxa"/>
            <w:vAlign w:val="bottom"/>
          </w:tcPr>
          <w:p>
            <w:pPr>
              <w:spacing w:after="0"/>
              <w:rPr>
                <w:sz w:val="13"/>
                <w:szCs w:val="13"/>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5"/>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2"/>
                <w:szCs w:val="12"/>
                <w:color w:val="auto"/>
              </w:rPr>
            </w:pPr>
          </w:p>
        </w:tc>
        <w:tc>
          <w:tcPr>
            <w:tcW w:w="202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25"/>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1,477</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28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Revenue growth in constant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Japan revenue of $614 million decreased 16 percent compared to the prior-year quarter. Revenue decreased due to an unfavorable currency exchange rate impact of 22 points. Adjusted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EBITDA was unchanged from the prior-year quarter, reflecting unfavorable currency impacts, offset by lower costs from our post-Separation commercial agreements with IBM.</w:t>
      </w:r>
    </w:p>
    <w:p>
      <w:pPr>
        <w:spacing w:after="0" w:line="16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September 30, 2022, Japan revenue of $1.2 billion decreased 15 percent compared to the prior-year six-month period. Revenue decreased due to an unfavorable currency exchange rate impact of 18 points. Adjusted EBITDA decreased $26 million from the prior-year six-month period, primarily driven by unfavorable currency impacts, partially offset by lower costs from our post-Separation commercial agreements with IBM.</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 Markets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180" w:type="dxa"/>
            <w:vAlign w:val="bottom"/>
          </w:tcPr>
          <w:p>
            <w:pPr>
              <w:spacing w:after="0"/>
              <w:rPr>
                <w:sz w:val="13"/>
                <w:szCs w:val="13"/>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2"/>
                <w:szCs w:val="12"/>
                <w:color w:val="auto"/>
              </w:rPr>
            </w:pPr>
          </w:p>
        </w:tc>
        <w:tc>
          <w:tcPr>
            <w:tcW w:w="202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25"/>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1,472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1,748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2,988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3,590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8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Revenue growth in constant</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2022, Principal Markets revenue of $1.5 billion decreased 16 percent compared to the prior-year quarter. Revenue decreased due to certain joint ventures not transferring to us in connection with the Separation as well as an unfavorable currency exchange rate impact of 11 points, primarily driven by the strengthening of the U.S. dollar against the Euro and British pound. Adjusted EBITDA decreased $5 million from the prior-year period, driven by unfavorable currency exchange rate movements.</w:t>
      </w:r>
    </w:p>
    <w:p>
      <w:pPr>
        <w:spacing w:after="0" w:line="183"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For the six months ended September 30, 2022, Principal Markets revenue of $3.0 billion decreased 17 percent compared to the prior-year six-month period. Revenue decreased due to certain joint ventures not transferring to us in connection with the Separation as well as an unfavorable currency exchange rate impact of 10 points, primarily driven by the strengthening of the U.S. dollar against the Euro and British pound. Adjusted EBITDA increased $23 million from the prior-year period, primarily due to lower costs from our post-Separation commercial agreements with IBM and despite headwinds from unfavorable currency exchange rates.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Markets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180" w:type="dxa"/>
            <w:vAlign w:val="bottom"/>
          </w:tcPr>
          <w:p>
            <w:pPr>
              <w:spacing w:after="0"/>
              <w:rPr>
                <w:sz w:val="13"/>
                <w:szCs w:val="13"/>
                <w:color w:val="auto"/>
              </w:rPr>
            </w:pPr>
          </w:p>
        </w:tc>
        <w:tc>
          <w:tcPr>
            <w:tcW w:w="196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6"/>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2"/>
                <w:szCs w:val="12"/>
                <w:color w:val="auto"/>
              </w:rPr>
            </w:pPr>
          </w:p>
        </w:tc>
        <w:tc>
          <w:tcPr>
            <w:tcW w:w="1960" w:type="dxa"/>
            <w:vAlign w:val="bottom"/>
            <w:gridSpan w:val="6"/>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25"/>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926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1,879</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2022, Strategic Markets revenue of $944 million increased 2 percent compared to the prior-year quarter driven by recent signings of incremental business, partially offset by a 9-point headwind from currency exchange rates, primarily the Euro. Adjusted EBITDA decreased $66 million from the prior-year quarter, since the majority of Strategic Markets countries were not charged for IBM software pre-Separation and software cost allocations began post-Separation.</w:t>
      </w:r>
    </w:p>
    <w:p>
      <w:pPr>
        <w:spacing w:after="0" w:line="183"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September 30, 2022, Strategic Markets revenue of $1.9 billion increased 2 percent compared to the prior-year six-month period driven by recent signings of incremental business, partially offset by an 8-point headwind from currency exchange rates, primarily the Euro. Adjusted EBITDA decreased $103 million from the prior-year period, since the majority of Strategic Markets countries were not charged for IBM software pre-Separation and software cost allocations began post-Separation.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Corporate and other had an adjusted EBITDA loss of $20 million in the three months ended September 30, 2022, compared to a loss of $37 million in the three months ended September 30, 2021. Corporate and other had an adjusted EBITDA loss of $40 million in the six months ended September 30, 2022, compared to a loss of $85 million in the six months ended September 30,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58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6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09"/>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8"/>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99" w:firstLine="648"/>
        <w:spacing w:after="0" w:line="267" w:lineRule="auto"/>
        <w:rPr>
          <w:sz w:val="20"/>
          <w:szCs w:val="20"/>
          <w:color w:val="auto"/>
        </w:rPr>
      </w:pPr>
      <w:r>
        <w:rPr>
          <w:rFonts w:ascii="Times New Roman" w:cs="Times New Roman" w:eastAsia="Times New Roman" w:hAnsi="Times New Roman"/>
          <w:sz w:val="17"/>
          <w:szCs w:val="17"/>
          <w:color w:val="auto"/>
        </w:rPr>
        <w:t>Cost of services was 86.5% of revenue in the three months ended September 30, 2022, compared to 88.9% in the three months ended September 30, 2021, primarily driven by benefits realized from structural actions taken in prior periods as well as lower costs from our post-Separation commercial agreements with IBM. Selling, general and administrative expenses were 16.9% of revenue in 2022 compared to 15.4% in 2021, driven by costs associated with operating as an independent public company and the impact of currency on revenue compared to our U.S. dollar-denominated expenses. Transaction-related costs were 1.6% of revenue in 2022 compared to 5.9% in 2021, primarily driven by higher employee-retention expense and pre-spin consultancy expense incurred in the prior year. Interest expense was 0.4% of revenue in 2022 compared to 0.4% in 2021, and includes interest expense associated with the indebtedness we incurred in connection with our Separation in the fourth quarter of 2021. Other expense (income) was (0.2)% of revenue in 2022 compared to (0.4)% in 2021, driven by hedging activity to partially offset the unfavorable impacts of currency movements of the U.S.</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dollar against other major currencies.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160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8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8"/>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Cost of services was 86.1% of revenue in the six months ended September 30, 2022, compared to 88.2% in the six months ended September 30, 2021, primarily driven by benefits realized from structural actions taken in prior periods as well as lower costs from our post-Separation commercial agreements with IBM. Selling, general and administrative expenses were 16.5% of revenue in 2022 compared to 15.2% in 2021, driven by costs associated with operating as an independent public company and the impact of currency on revenue compared to our U.S. dollar-denominated expenses. Transaction-related costs were 2.0% of revenue in 2022 compared to 4.7% in 2021, primarily driven by higher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employee-retention expense and pre-spin consultancy expense incurred in the prior year. Interest expense was 0.5% of revenue in 2022 compared to 0.3% in 2021, and includes interest expense associated with the indebtedness we incurred in connection with our Separation in the fourth quarter of 2021. Other expense (income) was (0.2)% of revenue in 2022 compared to (0.1)% in 2021, driven by hedging activity to partially offset the unfavorable impacts of currency movements of the U.S. dollar against other major currencies.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the three months ended September 30, 2022, the Company granted equity and cash-based compensation awards to employees. These awards included 4 million restricted stock units that will vest ratably over four years; 2.4 million performance-conditioned stock units that are based on the attainment of operational milestones; and 0.7 million market-conditioned performance stock units that are based on the performance of the Company’s stock relative to that of its peers. Both types of performance-based awards will cliff vest based on the extent to which the performance criteria have been achieved as soon as practicable following the completion of the performance period on March 31, 2025. The total grant date fair value of the RSUs was determined using the stock price at the grant dates and will be recognized as stock-based compensation expense on a straight-line basis net of estimated forfeitures over the vesting period. The fair value of the performance-conditioned performance stock units ($10.62 per unit) was determined using the stock price at the grant date and will be adjusted and recognized as stock-based compensation expense based upon the probability of achievement of performance targets at each reporting period over the vesting period. The fair value of the market-conditioned performance stock units ($12.51 per unit) was determined at the grant date using a Monte Carlo simulation model and will be recognized as stock-based compensation expense on a straight-line basis net of estimated forfeitures over the vesting period. Dividend equivalents are not paid on the stock awards described above. The expense associated with these awards was $4 million during the three months ended September 30, 2022.</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Transaction-Related Charges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classifies certain expenses related to the Separation, acquisitions and divestitures (if any) as “transaction-related costs” in the Consolidated Income Statement. Transaction-related costs include expenditures incurred to prepare for and execute the Separation and establish Kyndryl as a standalone business. These costs include employee retention expenses, information technology costs, marketing expenses to establish the Kyndryl brand, legal, accounting, consulting and other professional service costs required to prepare for and execute the Separation. Transaction-related charges totaled $68 million and $270 million for the three months ended September 30, 2022 and 2021, respectively. Transaction-related charges totaled $171 million and $443 million for the six months ended September 30, 2022 and 2021,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The provision for income taxes for the three months ended September 30, 2022 was $61 million of expense, compared to $224 million of expense for the three months ended September 30, 2021. The provision for income taxes for the six months ended September 30, 2022 was $107 million of expense, compared to $300 million of expense for the six months ended September 30, 2021. Our income tax expense for the three and six months ended September 30, 2022 was primarily related to taxes on foreign operations and the increase in valuation allowances, primarily in the United States, against deferred tax assets that are not more likely than not to be realized. Our income tax expense for the three and six months ended September 30, 2021 was primarily due to the geographic mix of pretax income, changes in valuation allowances and tax charges related to the transfer of Kyndryl’s operations from IBM in contemplation of the Company’s Separation.</w:t>
      </w:r>
    </w:p>
    <w:p>
      <w:pPr>
        <w:spacing w:after="0" w:line="188"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management considers all available evidence for each jurisdiction, including past operating results, estimates of future taxable income, the reversal of existing temporary differences and the feasibility of ongoing tax planning strategies and actions. Estimates of future taxable income and loss could change, perhaps materially, which may require us to revise our assessment of the recoverability of the deferred tax asset at that time.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Dynamics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Total assets of $11.6 billion decreased by $1.8 billion (and decreased by $738 million adjusted for currency) from March 31, 2022, primarily driven by: a decrease of $692 million in accounts receivable due to collections and sales of accounts receivables outpacing additions to our receivables balance and currency impacts; a decrease in cash and cash equivalents of $246 million primarily due to currency impacts; a decrease in deferred costs of $258 million due to currency impacts and amortization outpacing additions as higher vendor billings for prepaid software typically occurred in the first calendar quarter; a decrease in property and equipment of $242 million due to currency impacts; and a decrease in operating right-of-use assets of $219 million due to payments, streamlining of office space and currency impacts.</w:t>
      </w:r>
    </w:p>
    <w:p>
      <w:pPr>
        <w:spacing w:after="0" w:line="18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Total liabilities of $9.9 billion decreased by $848 million (and decreased by $130 million adjusted for currency) from March 31, 2022, primarily as a result of: a decrease in accrued contract costs of $240 million due to timing of vendors billing Kyndryl for the first time as an independent company in the prior period; a decrease in deferred income of $235 million mainly due to the Company’s advanced annual billing with certain customers in the prior period and currency impacts; a decrease in operating lease liabilities of $210 million due to payments and currency impacts; and a decrease in retirement and nonpension postretirement benefit obligations of $91 million mainly due to currency impacts. Total equity of $1.7 billion decreased $1.0 billion from March 31, 2022 due to our comprehensive loss in the period.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4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4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Working capital decreased $649 million from March 31, 2022. Current assets decreased $1.1 billion (and decreased $668 million adjusted for currency) primarily driven by: a decrease of $692 million in accounts receivable due to collections and sales of accounts receivables outpacing additions and currency impacts; and a decrease of $246 million in cash and cash equivalents primarily due to currency impacts. Current liabilities decreased $479 million (and decreased $8 million adjusted for currency) as a result of a decrease in current accrued contract costs of $240 million, and a decrease in deferred income (current) of $156 million due to advanced billing with certain customers in the prior period and currency impacts.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and Liabilities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Noncurrent assets of $6.7 billion at September 30, 2022 decreased by $685 million (and decreased by $70 million adjusted for currency) compared to March 31, 2022, primarily driven by a decline in property and equipment of $242 million and a decline in right-of-use assets of $219 million.</w:t>
      </w:r>
    </w:p>
    <w:p>
      <w:pPr>
        <w:spacing w:after="0" w:line="17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Noncurrent liabilities of $5.3 billion at September 30, 2022 decreased $369 million (and decreased by $121 million adjusted for currency) compared to March 31, 2022, mainly driven by a decrease in operating lease liabilities (noncurrent portion) of $158 million and a decrease in retirement and nonpension postretirement benefit obligations of $91 million due to currency impacts.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cash flows from operating, investing and financing activities are summarized in the table below.</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$491 million in the six months ended September 30, 2022, compared to net cash used of $397 million in the prior-year period. This change was driven by our reduced net loss and lower accounts receivable.</w:t>
      </w:r>
    </w:p>
    <w:p>
      <w:pPr>
        <w:spacing w:after="0" w:line="176"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Net cash used by investing activities was $516 million in the six months ended September 30, 2022, compared to a net cash use of $325 million in the prior-year period. Capital expenditures consist of payments for property and equipment, and purchased and internally-developed software.</w:t>
      </w:r>
    </w:p>
    <w:p>
      <w:pPr>
        <w:spacing w:after="0" w:line="1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Net cash used by financing activities totaled $69 million in the six months ended September 30, 2022, compared to net cash provided by financing activities of $1.4 billion in the prior-year period. This change was driven by net transfers from former Parent of $1.3 billion in the prior-year period, which did not continue post-Separation, and proceeds of $140 million from a bank loan initiated in the prior-year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Company’s signings for the three and six months ended September 30, 2022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2021.</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31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signings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contract value for the Company’s signings greater than $100 million for new and existing customers for the three and six months ended September 30, 2022 and 2021.</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3420" w:type="dxa"/>
            <w:vAlign w:val="bottom"/>
            <w:gridSpan w:val="2"/>
            <w:vMerge w:val="continue"/>
          </w:tcPr>
          <w:p>
            <w:pPr>
              <w:spacing w:after="0"/>
              <w:rPr>
                <w:sz w:val="12"/>
                <w:szCs w:val="12"/>
                <w:color w:val="auto"/>
              </w:rPr>
            </w:pPr>
          </w:p>
        </w:tc>
        <w:tc>
          <w:tcPr>
            <w:tcW w:w="840" w:type="dxa"/>
            <w:vAlign w:val="bottom"/>
            <w:tcBorders>
              <w:top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customers</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Existing customers</w:t>
            </w:r>
          </w:p>
        </w:tc>
        <w:tc>
          <w:tcPr>
            <w:tcW w:w="840" w:type="dxa"/>
            <w:vAlign w:val="bottom"/>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Signings decreased by $387 million, or 14%, for the three months ended September 30, 2022 compared to the prior-year period, primarily driven by a 9-point negative impact from currency. Signings decreased by $1,209 million, or 18%, for the six months ended September 30, 2022 compared to the prior-year six-month period, in part because our two largest signings in calendar 2021, aggregating $0.9 billion, both occurred in the quarter ended June 30, 2021. Additionally, currency had an 8-point negative impact to signings for the six months ended September 30, 2022. Management uses signings as a tool to monitor the performance of the business including the business’ ability to attract new customers and sell additional scope into our existing customer base. There are no third-party standards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The conversion of signings into revenue may vary based on the types of services and solutions, customer decisions and other factors, which may include, but are not limited to, the macroeconomic environment or external events.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the Revolving Credit Agreement entered into in October 2021 will be sufficient to meet our anticipated cash needs for at least the next twelve months.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“Notes”). The Notes were offered and sold to qualified institutional buyers in reliance on Rule 144A under the Securities Act and to non-U.S. persons in reliance on Regulation S of the Securities Act. The Notes are subject to customary affirmative covenants, negative covenants and events of default for financings of this type and are redeemable at our option in a customary manner.</w:t>
      </w:r>
    </w:p>
    <w:p>
      <w:pPr>
        <w:spacing w:after="0" w:line="19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Notes, we entered into a registration rights agreement with the initial purchasers of the Notes, pursuant to which we completed a registered offer to exchange each series of Notes for new notes with substantially identical terms during the quarter ended September 30,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 and Revolving Credit Facility</w:t>
      </w:r>
    </w:p>
    <w:p>
      <w:pPr>
        <w:spacing w:after="0" w:line="229" w:lineRule="exact"/>
        <w:rPr>
          <w:sz w:val="20"/>
          <w:szCs w:val="20"/>
          <w:color w:val="auto"/>
        </w:rPr>
      </w:pPr>
    </w:p>
    <w:p>
      <w:pPr>
        <w:jc w:val="both"/>
        <w:ind w:left="60" w:right="239" w:firstLine="693"/>
        <w:spacing w:after="0" w:line="266" w:lineRule="auto"/>
        <w:rPr>
          <w:sz w:val="20"/>
          <w:szCs w:val="20"/>
          <w:color w:val="auto"/>
        </w:rPr>
      </w:pPr>
      <w:r>
        <w:rPr>
          <w:rFonts w:ascii="Times New Roman" w:cs="Times New Roman" w:eastAsia="Times New Roman" w:hAnsi="Times New Roman"/>
          <w:sz w:val="18"/>
          <w:szCs w:val="18"/>
          <w:color w:val="auto"/>
        </w:rPr>
        <w:t>In October 2021, we entered into a $500 million three-year variable rate term loan credit agreement (the “Term Loan Credit Agreement”). In November 2021, we drew down the full $500 million available under the Term Loan Credit Agreement.</w:t>
      </w:r>
    </w:p>
    <w:p>
      <w:pPr>
        <w:spacing w:after="0" w:line="176" w:lineRule="exact"/>
        <w:rPr>
          <w:sz w:val="20"/>
          <w:szCs w:val="20"/>
          <w:color w:val="auto"/>
        </w:rPr>
      </w:pPr>
    </w:p>
    <w:p>
      <w:pPr>
        <w:ind w:left="60" w:right="59" w:firstLine="648"/>
        <w:spacing w:after="0" w:line="312" w:lineRule="auto"/>
        <w:rPr>
          <w:sz w:val="20"/>
          <w:szCs w:val="20"/>
          <w:color w:val="auto"/>
        </w:rPr>
      </w:pPr>
      <w:r>
        <w:rPr>
          <w:rFonts w:ascii="Times New Roman" w:cs="Times New Roman" w:eastAsia="Times New Roman" w:hAnsi="Times New Roman"/>
          <w:sz w:val="17"/>
          <w:szCs w:val="17"/>
          <w:color w:val="auto"/>
        </w:rPr>
        <w:t>In October 2021, we entered into a $3.15 billion multi-currency revolving credit agreement (the “Revolving Credit Agreement” and, together with the Term Loan Credit Agreement, the “Credit Agreements”) for our future liquidity needs.</w:t>
      </w:r>
    </w:p>
    <w:p>
      <w:pPr>
        <w:spacing w:after="0" w:line="140"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Revolving Credit Agreement expires, unless extended, in October 2026, and the Term Loan Credit Agreement matures, unless extended, in November 2024. Interest rates on borrowings under the Credit Agreements are based on prevailing market interest rates, plus a margin, as further described in the Credit Agreements.</w:t>
      </w:r>
    </w:p>
    <w:p>
      <w:pPr>
        <w:spacing w:after="0" w:line="176" w:lineRule="exact"/>
        <w:rPr>
          <w:sz w:val="20"/>
          <w:szCs w:val="20"/>
          <w:color w:val="auto"/>
        </w:rPr>
      </w:pPr>
    </w:p>
    <w:p>
      <w:pPr>
        <w:ind w:left="60" w:right="239" w:firstLine="693"/>
        <w:spacing w:after="0" w:line="261" w:lineRule="auto"/>
        <w:rPr>
          <w:sz w:val="20"/>
          <w:szCs w:val="20"/>
          <w:color w:val="auto"/>
        </w:rPr>
      </w:pPr>
      <w:r>
        <w:rPr>
          <w:rFonts w:ascii="Times New Roman" w:cs="Times New Roman" w:eastAsia="Times New Roman" w:hAnsi="Times New Roman"/>
          <w:sz w:val="18"/>
          <w:szCs w:val="18"/>
          <w:color w:val="auto"/>
        </w:rPr>
        <w:t>The Notes and the Credit Agreements were initially guaranteed by IBM. Approximately $900 million of the net proceeds from the term loan and the sale of the Notes was transferred to IBM in conjunction with the Separation. Following the completion of the Separation, the guarantee was released, and the Notes and the Credit Agreements are no longer obligations of IBM.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139" w:firstLine="693"/>
        <w:spacing w:after="0" w:line="258" w:lineRule="auto"/>
        <w:rPr>
          <w:sz w:val="20"/>
          <w:szCs w:val="20"/>
          <w:color w:val="auto"/>
        </w:rPr>
      </w:pPr>
      <w:r>
        <w:rPr>
          <w:rFonts w:ascii="Times New Roman" w:cs="Times New Roman" w:eastAsia="Times New Roman" w:hAnsi="Times New Roman"/>
          <w:sz w:val="18"/>
          <w:szCs w:val="18"/>
          <w:color w:val="auto"/>
        </w:rPr>
        <w:t>We may voluntarily prepay borrowings under the Credit Agreements without premium or penalty, subject to customary “breakage” costs. The Credit Agreements include certain customary mandatory prepayment provisions. In addition, the Credit Agreements include customary events of default and affirmative and negative covenants as well as a maintenance covenant that will require that the ratio of our indebtedness for borrowed money to consolidated EBITDA (as defined in the Credit Agreements) for any period of four consecutive fiscal quarters be no greater than 3.50 to 1.00.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29"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agreements with third-party financial institutions to sell certain financial assets (primarily trade receivables) without recourse. The Company determined these are true sales, derecognized the carrying value of the financial asset transferred and recognized a net gain or loss on the sale. The agreement executed upon Separation enabled us to sell, at any one time, on a revolving basis, up to $1.1 billion of our trade receivables. The initial term of this agreement was 18 months, and the agreement automatically resets to a term of 18 months, after every six months, unless one of the parties elects not to extend. In the quarter ended June 30, 2022, the Company entered into an additional agreement, in which the sale of receivables is contingent on the approval of the counterparty with no defined facility limit. The initial term of this agreement is twelve months.</w:t>
      </w:r>
    </w:p>
    <w:p>
      <w:pPr>
        <w:spacing w:after="0" w:line="192"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proceeds from these arrangements are reflected as cash provided by operating activities in the Consolidated Statement of Cash Flows. Proceeds from receivables sold to third parties under this program were $722 million and $1.3 billion for the three and six months ended September 30, 2022, respectively. Prior to the Separation, the gross amount of the Company’s receivables sold to third parties and the financing division of our former Parent was $537 million and $1.3 billion for the three and six months ended September 30, 2021, respectively. The fees associated with the transfers of receivables were $12 million and $20 million for the three and six months ended September 30, 2022, respectively, and immaterial for the three and six months ended September 30, 2021,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December 31, 2021 (see Amendment No. 1 to our Current Report on Form 8-K/A filed with the SEC on May 27, 2022 (the “8-K/A”) for more information; we refer to the Annual Report on Form 10-K for the fiscal year ended December 31, 2021, revised and updated as set forth on Exhibit 99.1 to the 8-K/A, as the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Such forward-looking statements often contain words such as “will,” “anticipate,” “predict,” “project,” “contemplate,” “plan,” “forecast,” “estimate,” “expect,” “intend,” “target,” “may,” “should,” “would,” “could,” “seek,” “aim”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w:t>
      </w:r>
    </w:p>
    <w:p>
      <w:pPr>
        <w:spacing w:after="0" w:line="194"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spin-off from IBM;</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retain existing customers or sell additional services to customers;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and the Company’s response to such developments;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growth and productivity objectives;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relationships with critical suppliers;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key personnel and other skilled employees;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local legal, economic, political, health and other conditions, including the COVID-19 pandemic;</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economic environment and customer spending budgets;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accurately estimate the cost of services and the timeline for completion of contracts;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delivery issues;</w:t>
      </w:r>
    </w:p>
    <w:p>
      <w:pPr>
        <w:spacing w:after="0" w:line="9" w:lineRule="exact"/>
        <w:rPr>
          <w:rFonts w:ascii="Times New Roman" w:cs="Times New Roman" w:eastAsia="Times New Roman" w:hAnsi="Times New Roman"/>
          <w:sz w:val="18"/>
          <w:szCs w:val="18"/>
          <w:color w:val="auto"/>
        </w:rPr>
      </w:pPr>
    </w:p>
    <w:p>
      <w:pPr>
        <w:ind w:left="720" w:right="55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acquisitions, alliances and dispositions, including integration challenges, failure to achieve objectives, the assumption of liabilities, and higher debt levels;</w:t>
      </w: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business with government customers;</w:t>
      </w:r>
    </w:p>
    <w:p>
      <w:pPr>
        <w:spacing w:after="0" w:line="9" w:lineRule="exact"/>
        <w:rPr>
          <w:rFonts w:ascii="Times New Roman" w:cs="Times New Roman" w:eastAsia="Times New Roman" w:hAnsi="Times New Roman"/>
          <w:sz w:val="18"/>
          <w:szCs w:val="18"/>
          <w:color w:val="auto"/>
        </w:rPr>
      </w:pPr>
    </w:p>
    <w:p>
      <w:pPr>
        <w:ind w:left="720" w:right="63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intellectual property rights to prevent competitive offerings and the failure of the Company to obtain necessary licenses;</w:t>
      </w: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and data privacy;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tax matters and environmental matters;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investigatory risks;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in market liquidity conditions and customer credit risk on receivables;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pension plans;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currency fluctuations;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common stock and the securities market.</w:t>
      </w:r>
    </w:p>
    <w:p>
      <w:pPr>
        <w:spacing w:after="0" w:line="207"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Additional risks and uncertainties include, among others, those risks and uncertainties described in the “Risk Factors” section of our Form 10-K, as such factors may be updated from time to time in the Company’s periodic filings with the SEC. Any forward-looking statement in this report speaks only as of the date on which it is made. Except as required by law, the Company assumes no obligation to update or revise any forward-looking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may use its website and/or social media outlets, such as Facebook, LinkedIn and Twitter, as distribution channels of material company information. Financial and other important information regarding the Company is routinely posted on and accessible through the Company’s website at https://investors.kyndryl.com, its Facebook page at https://www.facebook.com/kyndryl, its LinkedIn page at https://linkedin.com/company/kyndryl and its Twitter account (@Kyndryl) at https://twitter.com/Kyndryl. In addition, you may automatically receive email alerts and other information about the Company when you enroll your email address by visiting the “Investor Email Alerts” section under the “Resources” section at https://investors.kyndryl.com.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For our disclosures about market risk, see the information under the heading “Quantitative and Qualitative Disclosures About Market Risk” in the Form 10-K. There have been no material changes to the Company’s disclosure about market risk in the Form 10-K.</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the end of the period covered by this report. Based on that evaluation, the Chief Executive Officer and Chief Financial Officer have concluded that the Company’s disclosure controls and procedures were effective as of the end of the period covered by this report.</w:t>
      </w:r>
    </w:p>
    <w:p>
      <w:pPr>
        <w:spacing w:after="0" w:line="183"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(as such term is defined in Rule 13a-15(f) of the Exchange Act)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 to Note 10 – Commitments and Contingencies, in the notes to consolidated financial statements in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the heading “Risk Factors” in the Form 10-K. There have been no material changes with respect to the risk factors disclosed in the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7"/>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72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664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The Separation and Distribution Agreement, dated as of November 2, 2021, by and between</w:t>
              </w:r>
            </w:hyperlink>
          </w:p>
        </w:tc>
        <w:tc>
          <w:tcPr>
            <w:tcW w:w="100" w:type="dxa"/>
            <w:vAlign w:val="bottom"/>
            <w:gridSpan w:val="5"/>
          </w:tcPr>
          <w:p>
            <w:pPr>
              <w:spacing w:after="0"/>
              <w:rPr>
                <w:sz w:val="16"/>
                <w:szCs w:val="16"/>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6"/>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International Business Machines Corporation and the registrant was filed as Exhibit 2.1 to</w:t>
              </w:r>
            </w:hyperlink>
          </w:p>
        </w:tc>
      </w:tr>
      <w:tr>
        <w:trPr>
          <w:trHeight w:val="196"/>
        </w:trPr>
        <w:tc>
          <w:tcPr>
            <w:tcW w:w="172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the registrant’s Current Report on Form 8-K filed on November 4, 2021, and is hereby</w:t>
              </w:r>
            </w:hyperlink>
          </w:p>
        </w:tc>
        <w:tc>
          <w:tcPr>
            <w:tcW w:w="260" w:type="dxa"/>
            <w:vAlign w:val="bottom"/>
            <w:tcBorders>
              <w:top w:val="single" w:sz="8" w:color="0000EE"/>
            </w:tcBorders>
            <w:gridSpan w:val="2"/>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incorporated by reference.</w:t>
              </w:r>
            </w:hyperlink>
          </w:p>
        </w:tc>
        <w:tc>
          <w:tcPr>
            <w:tcW w:w="4840" w:type="dxa"/>
            <w:vAlign w:val="bottom"/>
            <w:gridSpan w:val="15"/>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The Amended and Restated Certificate of Incorporation of the registrant was filed as Exhibit</w:t>
              </w:r>
            </w:hyperlink>
          </w:p>
        </w:tc>
        <w:tc>
          <w:tcPr>
            <w:tcW w:w="60" w:type="dxa"/>
            <w:vAlign w:val="bottom"/>
            <w:gridSpan w:val="3"/>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8-K filed on November 4, 2021, and is hereby</w:t>
              </w:r>
            </w:hyperlink>
          </w:p>
        </w:tc>
        <w:tc>
          <w:tcPr>
            <w:tcW w:w="60" w:type="dxa"/>
            <w:vAlign w:val="bottom"/>
            <w:gridSpan w:val="3"/>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incorporated by reference.</w:t>
              </w:r>
            </w:hyperlink>
          </w:p>
        </w:tc>
        <w:tc>
          <w:tcPr>
            <w:tcW w:w="4840" w:type="dxa"/>
            <w:vAlign w:val="bottom"/>
            <w:gridSpan w:val="15"/>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59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The Amended and Restated Bylaws of the registrant was filed as Exhibit 3.2 to the</w:t>
              </w:r>
            </w:hyperlink>
          </w:p>
        </w:tc>
        <w:tc>
          <w:tcPr>
            <w:tcW w:w="780" w:type="dxa"/>
            <w:vAlign w:val="bottom"/>
            <w:gridSpan w:val="10"/>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59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registrant’s Current Report on Form 8-K filed on November 4, 2021, and is hereby</w:t>
              </w:r>
            </w:hyperlink>
          </w:p>
        </w:tc>
        <w:tc>
          <w:tcPr>
            <w:tcW w:w="780" w:type="dxa"/>
            <w:vAlign w:val="bottom"/>
            <w:gridSpan w:val="10"/>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incorporated by reference.</w:t>
              </w:r>
            </w:hyperlink>
          </w:p>
        </w:tc>
        <w:tc>
          <w:tcPr>
            <w:tcW w:w="4840" w:type="dxa"/>
            <w:vAlign w:val="bottom"/>
            <w:gridSpan w:val="15"/>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67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The Amended and Restated Kyndryl 2021 Long-Term Performance Plan was filed as Exhibit</w:t>
              </w:r>
            </w:hyperlink>
          </w:p>
        </w:tc>
        <w:tc>
          <w:tcPr>
            <w:tcW w:w="2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3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to the registrant’s Registration Statement on Form S-8 filed on July 29, 2022, and is</w:t>
              </w:r>
            </w:hyperlink>
          </w:p>
        </w:tc>
        <w:tc>
          <w:tcPr>
            <w:tcW w:w="440" w:type="dxa"/>
            <w:vAlign w:val="bottom"/>
            <w:gridSpan w:val="8"/>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6"/>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hereby incorporated by reference.</w:t>
              </w:r>
            </w:hyperlink>
          </w:p>
        </w:tc>
      </w:tr>
      <w:tr>
        <w:trPr>
          <w:trHeight w:val="20"/>
        </w:trPr>
        <w:tc>
          <w:tcPr>
            <w:tcW w:w="17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The Amendment to the Kyndryl Executive Severance Plan and Executive Retirement Policy</w:t>
              </w:r>
            </w:hyperlink>
          </w:p>
        </w:tc>
        <w:tc>
          <w:tcPr>
            <w:tcW w:w="80" w:type="dxa"/>
            <w:vAlign w:val="bottom"/>
            <w:gridSpan w:val="4"/>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was filed as Exhibit 10.2 to the Registrant’s Current Report on Form 8-K filed on August 1,</w:t>
              </w:r>
            </w:hyperlink>
          </w:p>
        </w:tc>
        <w:tc>
          <w:tcPr>
            <w:tcW w:w="140" w:type="dxa"/>
            <w:vAlign w:val="bottom"/>
            <w:gridSpan w:val="6"/>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6"/>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2022, and is hereby incorporated by reference.</w:t>
              </w:r>
            </w:hyperlink>
          </w:p>
        </w:tc>
      </w:tr>
      <w:tr>
        <w:trPr>
          <w:trHeight w:val="20"/>
        </w:trPr>
        <w:tc>
          <w:tcPr>
            <w:tcW w:w="17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58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LTPP equity award agreement for performance share units (Fiscal 2023)</w:t>
            </w:r>
          </w:p>
        </w:tc>
        <w:tc>
          <w:tcPr>
            <w:tcW w:w="900" w:type="dxa"/>
            <w:vAlign w:val="bottom"/>
            <w:gridSpan w:val="11"/>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302 of the Sarbanes-Oxley</w:t>
            </w:r>
          </w:p>
        </w:tc>
      </w:tr>
      <w:tr>
        <w:trPr>
          <w:trHeight w:val="196"/>
        </w:trPr>
        <w:tc>
          <w:tcPr>
            <w:tcW w:w="1720" w:type="dxa"/>
            <w:vAlign w:val="bottom"/>
          </w:tcPr>
          <w:p>
            <w:pPr>
              <w:spacing w:after="0"/>
              <w:rPr>
                <w:sz w:val="17"/>
                <w:szCs w:val="17"/>
                <w:color w:val="auto"/>
              </w:rPr>
            </w:pPr>
          </w:p>
        </w:tc>
        <w:tc>
          <w:tcPr>
            <w:tcW w:w="67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40" w:type="dxa"/>
            <w:vAlign w:val="bottom"/>
            <w:gridSpan w:val="2"/>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302 of the Sarbanes-Oxley</w:t>
            </w:r>
          </w:p>
        </w:tc>
      </w:tr>
      <w:tr>
        <w:trPr>
          <w:trHeight w:val="196"/>
        </w:trPr>
        <w:tc>
          <w:tcPr>
            <w:tcW w:w="1720" w:type="dxa"/>
            <w:vAlign w:val="bottom"/>
          </w:tcPr>
          <w:p>
            <w:pPr>
              <w:spacing w:after="0"/>
              <w:rPr>
                <w:sz w:val="17"/>
                <w:szCs w:val="17"/>
                <w:color w:val="auto"/>
              </w:rPr>
            </w:pPr>
          </w:p>
        </w:tc>
        <w:tc>
          <w:tcPr>
            <w:tcW w:w="66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100" w:type="dxa"/>
            <w:vAlign w:val="bottom"/>
            <w:gridSpan w:val="5"/>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20" w:type="dxa"/>
            <w:vAlign w:val="bottom"/>
            <w:gridSpan w:val="13"/>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906 of the Sarbanes-Oxley</w:t>
            </w:r>
          </w:p>
        </w:tc>
      </w:tr>
      <w:tr>
        <w:trPr>
          <w:trHeight w:val="196"/>
        </w:trPr>
        <w:tc>
          <w:tcPr>
            <w:tcW w:w="172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Act of 2002 (furnished herewith)</w:t>
            </w:r>
          </w:p>
        </w:tc>
        <w:tc>
          <w:tcPr>
            <w:tcW w:w="4280" w:type="dxa"/>
            <w:vAlign w:val="bottom"/>
            <w:tcBorders>
              <w:top w:val="single" w:sz="8" w:color="0000EE"/>
            </w:tcBorders>
            <w:gridSpan w:val="11"/>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906 of the Sarbanes-Oxley</w:t>
            </w:r>
          </w:p>
        </w:tc>
      </w:tr>
      <w:tr>
        <w:trPr>
          <w:trHeight w:val="196"/>
        </w:trPr>
        <w:tc>
          <w:tcPr>
            <w:tcW w:w="172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Act of 2002 (furnished herewith)</w:t>
            </w:r>
          </w:p>
        </w:tc>
        <w:tc>
          <w:tcPr>
            <w:tcW w:w="4220" w:type="dxa"/>
            <w:vAlign w:val="bottom"/>
            <w:tcBorders>
              <w:top w:val="single" w:sz="8" w:color="0000EE"/>
            </w:tcBorders>
            <w:gridSpan w:val="8"/>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218"/>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101.INS</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on the Interactive Data</w:t>
            </w:r>
          </w:p>
        </w:tc>
      </w:tr>
      <w:tr>
        <w:trPr>
          <w:trHeight w:val="216"/>
        </w:trPr>
        <w:tc>
          <w:tcPr>
            <w:tcW w:w="1720" w:type="dxa"/>
            <w:vAlign w:val="bottom"/>
          </w:tcPr>
          <w:p>
            <w:pPr>
              <w:spacing w:after="0"/>
              <w:rPr>
                <w:sz w:val="18"/>
                <w:szCs w:val="18"/>
                <w:color w:val="auto"/>
              </w:rPr>
            </w:pP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101.SCH</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101.CAL</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101.DEF</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101.LAB</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101.PRE</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w:t>
            </w:r>
          </w:p>
        </w:tc>
      </w:tr>
      <w:tr>
        <w:trPr>
          <w:trHeight w:val="234"/>
        </w:trPr>
        <w:tc>
          <w:tcPr>
            <w:tcW w:w="1720" w:type="dxa"/>
            <w:vAlign w:val="bottom"/>
          </w:tcPr>
          <w:p>
            <w:pPr>
              <w:spacing w:after="0"/>
              <w:rPr>
                <w:sz w:val="20"/>
                <w:szCs w:val="20"/>
                <w:color w:val="auto"/>
              </w:rPr>
            </w:pP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Interactive Data File because its XBRL tags are embedded within the Inline XBRL document</w:t>
            </w:r>
          </w:p>
        </w:tc>
      </w:tr>
    </w:tbl>
    <w:p>
      <w:pPr>
        <w:spacing w:after="0" w:line="19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17145</wp:posOffset>
            </wp:positionV>
            <wp:extent cx="27686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7"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317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Vineet Khurana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88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Vineet Khurana</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 and Authorized</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900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Award Agreement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534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Kyndryl 2021 Long-Term Performance Plan (the “Plan”)</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29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Performance Share Units (PSUs)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884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The purpose of this Award is to retain selected executives. You recognize that this Award represents a potentially</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34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significant benefit to you and is awarded for the purpose stated here.</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Awarded to</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Sample</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Home Country United States (USA) [Employee ID]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Global ID</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[Global ID]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Award</w:t>
            </w:r>
          </w:p>
        </w:tc>
        <w:tc>
          <w:tcPr>
            <w:tcW w:w="884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This Equity Award Agreement, together with the “Terms and Conditions of Your Equity Award Effective November 3,</w:t>
            </w:r>
          </w:p>
        </w:tc>
        <w:tc>
          <w:tcPr>
            <w:tcW w:w="0" w:type="dxa"/>
            <w:vAlign w:val="bottom"/>
          </w:tcPr>
          <w:p>
            <w:pPr>
              <w:spacing w:after="0"/>
              <w:rPr>
                <w:sz w:val="1"/>
                <w:szCs w:val="1"/>
                <w:color w:val="auto"/>
              </w:rPr>
            </w:pPr>
          </w:p>
        </w:tc>
      </w:tr>
      <w:tr>
        <w:trPr>
          <w:trHeight w:val="22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42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2021” (“Terms and Conditions”) document and the Plan</w:t>
            </w:r>
          </w:p>
        </w:tc>
        <w:tc>
          <w:tcPr>
            <w:tcW w:w="10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4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http://w3.kyndryl.net/hr/web/compensation/executive/eq_prospectus/, both of which are incorporated herein by</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884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reference, together constitute the entire agreement between you and Kyndryl with respect to your Award.</w:t>
            </w:r>
          </w:p>
        </w:tc>
        <w:tc>
          <w:tcPr>
            <w:tcW w:w="0" w:type="dxa"/>
            <w:vAlign w:val="bottom"/>
          </w:tcPr>
          <w:p>
            <w:pPr>
              <w:spacing w:after="0"/>
              <w:rPr>
                <w:sz w:val="1"/>
                <w:szCs w:val="1"/>
                <w:color w:val="auto"/>
              </w:rPr>
            </w:pPr>
          </w:p>
        </w:tc>
      </w:tr>
      <w:tr>
        <w:trPr>
          <w:trHeight w:val="229"/>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080" w:type="dxa"/>
            <w:vAlign w:val="bottom"/>
            <w:vMerge w:val="continue"/>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Business</w:t>
            </w:r>
          </w:p>
        </w:tc>
        <w:tc>
          <w:tcPr>
            <w:tcW w:w="118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Business</w:t>
            </w:r>
          </w:p>
        </w:tc>
        <w:tc>
          <w:tcPr>
            <w:tcW w:w="160" w:type="dxa"/>
            <w:vAlign w:val="bottom"/>
          </w:tcPr>
          <w:p>
            <w:pPr>
              <w:spacing w:after="0"/>
              <w:rPr>
                <w:sz w:val="16"/>
                <w:szCs w:val="16"/>
                <w:color w:val="auto"/>
              </w:rPr>
            </w:pPr>
          </w:p>
        </w:tc>
        <w:tc>
          <w:tcPr>
            <w:tcW w:w="1060" w:type="dxa"/>
            <w:vAlign w:val="bottom"/>
            <w:tcBorders>
              <w:right w:val="single" w:sz="8" w:color="auto"/>
            </w:tcBorders>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 PSUs</w:t>
            </w:r>
          </w:p>
        </w:tc>
        <w:tc>
          <w:tcPr>
            <w:tcW w:w="18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Date of Grant</w:t>
            </w:r>
          </w:p>
        </w:tc>
        <w:tc>
          <w:tcPr>
            <w:tcW w:w="1440" w:type="dxa"/>
            <w:vAlign w:val="bottom"/>
            <w:tcBorders>
              <w:right w:val="single" w:sz="8" w:color="auto"/>
            </w:tcBorders>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Borders>
              <w:right w:val="single" w:sz="8" w:color="auto"/>
            </w:tcBorders>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7"/>
              </w:rPr>
              <w:t>Target</w:t>
            </w:r>
          </w:p>
        </w:tc>
        <w:tc>
          <w:tcPr>
            <w:tcW w:w="160" w:type="dxa"/>
            <w:vAlign w:val="bottom"/>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Performance Period</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Date of Payout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7"/>
              </w:rPr>
              <w:t>Target</w:t>
            </w:r>
          </w:p>
        </w:tc>
        <w:tc>
          <w:tcPr>
            <w:tcW w:w="260" w:type="dxa"/>
            <w:vAlign w:val="bottom"/>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6"/>
              </w:rPr>
              <w:t>Awarded</w:t>
            </w:r>
          </w:p>
        </w:tc>
        <w:tc>
          <w:tcPr>
            <w:tcW w:w="18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gridSpan w:val="2"/>
            <w:vMerge w:val="continue"/>
          </w:tcPr>
          <w:p>
            <w:pPr>
              <w:spacing w:after="0"/>
              <w:rPr>
                <w:sz w:val="10"/>
                <w:szCs w:val="10"/>
                <w:color w:val="auto"/>
              </w:rPr>
            </w:pPr>
          </w:p>
        </w:tc>
        <w:tc>
          <w:tcPr>
            <w:tcW w:w="11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Weighting</w:t>
            </w:r>
          </w:p>
        </w:tc>
        <w:tc>
          <w:tcPr>
            <w:tcW w:w="16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gridSpan w:val="2"/>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August 1,</w:t>
            </w:r>
          </w:p>
        </w:tc>
        <w:tc>
          <w:tcPr>
            <w:tcW w:w="1440" w:type="dxa"/>
            <w:vAlign w:val="bottom"/>
            <w:tcBorders>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rPr>
              <w:t>Adjusted</w:t>
            </w:r>
          </w:p>
        </w:tc>
        <w:tc>
          <w:tcPr>
            <w:tcW w:w="26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April 1, 2022 -</w:t>
            </w: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Operating</w:t>
            </w:r>
          </w:p>
        </w:tc>
        <w:tc>
          <w:tcPr>
            <w:tcW w:w="11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 w:type="dxa"/>
            <w:vAlign w:val="bottom"/>
          </w:tcPr>
          <w:p>
            <w:pPr>
              <w:spacing w:after="0"/>
              <w:rPr>
                <w:sz w:val="9"/>
                <w:szCs w:val="9"/>
                <w:color w:val="auto"/>
              </w:rPr>
            </w:pPr>
          </w:p>
        </w:tc>
        <w:tc>
          <w:tcPr>
            <w:tcW w:w="106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30, 2025</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40" w:type="dxa"/>
            <w:vAlign w:val="bottom"/>
            <w:tcBorders>
              <w:right w:val="single" w:sz="8" w:color="auto"/>
            </w:tcBorders>
            <w:gridSpan w:val="2"/>
            <w:vMerge w:val="continue"/>
          </w:tcPr>
          <w:p>
            <w:pPr>
              <w:spacing w:after="0"/>
              <w:rPr>
                <w:sz w:val="9"/>
                <w:szCs w:val="9"/>
                <w:color w:val="auto"/>
              </w:rPr>
            </w:pPr>
          </w:p>
        </w:tc>
        <w:tc>
          <w:tcPr>
            <w:tcW w:w="1180" w:type="dxa"/>
            <w:vAlign w:val="bottom"/>
            <w:tcBorders>
              <w:right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1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Cash Flow</w:t>
            </w:r>
          </w:p>
        </w:tc>
        <w:tc>
          <w:tcPr>
            <w:tcW w:w="26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August 1,</w:t>
            </w:r>
          </w:p>
        </w:tc>
        <w:tc>
          <w:tcPr>
            <w:tcW w:w="1440" w:type="dxa"/>
            <w:vAlign w:val="bottom"/>
            <w:tcBorders>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1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60" w:type="dxa"/>
            <w:vAlign w:val="bottom"/>
          </w:tcPr>
          <w:p>
            <w:pPr>
              <w:spacing w:after="0"/>
              <w:rPr>
                <w:sz w:val="16"/>
                <w:szCs w:val="16"/>
                <w:color w:val="auto"/>
              </w:rPr>
            </w:pPr>
          </w:p>
        </w:tc>
        <w:tc>
          <w:tcPr>
            <w:tcW w:w="106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April 1, 2022 -</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30, 2025</w:t>
            </w: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4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8"/>
              </w:rPr>
              <w:t>Signings</w:t>
            </w:r>
          </w:p>
        </w:tc>
        <w:tc>
          <w:tcPr>
            <w:tcW w:w="1180" w:type="dxa"/>
            <w:vAlign w:val="bottom"/>
            <w:tcBorders>
              <w:right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320" w:type="dxa"/>
            <w:vAlign w:val="bottom"/>
            <w:tcBorders>
              <w:bottom w:val="single" w:sz="8" w:color="auto"/>
              <w:right w:val="single" w:sz="8" w:color="auto"/>
            </w:tcBorders>
            <w:vMerge w:val="continue"/>
          </w:tcPr>
          <w:p>
            <w:pPr>
              <w:spacing w:after="0"/>
              <w:rPr>
                <w:sz w:val="9"/>
                <w:szCs w:val="9"/>
                <w:color w:val="auto"/>
              </w:rPr>
            </w:pPr>
          </w:p>
        </w:tc>
        <w:tc>
          <w:tcPr>
            <w:tcW w:w="144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9"/>
              </w:rPr>
              <w:t>Relative</w:t>
            </w:r>
          </w:p>
        </w:tc>
        <w:tc>
          <w:tcPr>
            <w:tcW w:w="26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1,</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Total</w:t>
            </w:r>
          </w:p>
        </w:tc>
        <w:tc>
          <w:tcPr>
            <w:tcW w:w="11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60" w:type="dxa"/>
            <w:vAlign w:val="bottom"/>
          </w:tcPr>
          <w:p>
            <w:pPr>
              <w:spacing w:after="0"/>
              <w:rPr>
                <w:sz w:val="18"/>
                <w:szCs w:val="18"/>
                <w:color w:val="auto"/>
              </w:rPr>
            </w:pPr>
          </w:p>
        </w:tc>
        <w:tc>
          <w:tcPr>
            <w:tcW w:w="106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April 1, 2022 -</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30, 2025</w:t>
            </w: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4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8"/>
              </w:rPr>
              <w:t>Shareholder</w:t>
            </w:r>
          </w:p>
        </w:tc>
        <w:tc>
          <w:tcPr>
            <w:tcW w:w="1180" w:type="dxa"/>
            <w:vAlign w:val="bottom"/>
            <w:tcBorders>
              <w:right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Return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884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You can earn the PSUs awarded above based on Kyndryl’s performance in achieving the business targets approved by</w:t>
            </w:r>
          </w:p>
        </w:tc>
        <w:tc>
          <w:tcPr>
            <w:tcW w:w="0" w:type="dxa"/>
            <w:vAlign w:val="bottom"/>
          </w:tcPr>
          <w:p>
            <w:pPr>
              <w:spacing w:after="0"/>
              <w:rPr>
                <w:sz w:val="1"/>
                <w:szCs w:val="1"/>
                <w:color w:val="auto"/>
              </w:rPr>
            </w:pPr>
          </w:p>
        </w:tc>
      </w:tr>
      <w:tr>
        <w:trPr>
          <w:trHeight w:val="194"/>
        </w:trPr>
        <w:tc>
          <w:tcPr>
            <w:tcW w:w="1080" w:type="dxa"/>
            <w:vAlign w:val="bottom"/>
          </w:tcPr>
          <w:p>
            <w:pPr>
              <w:spacing w:after="0"/>
              <w:rPr>
                <w:sz w:val="16"/>
                <w:szCs w:val="16"/>
                <w:color w:val="auto"/>
              </w:rPr>
            </w:pPr>
          </w:p>
        </w:tc>
        <w:tc>
          <w:tcPr>
            <w:tcW w:w="8840" w:type="dxa"/>
            <w:vAlign w:val="bottom"/>
            <w:gridSpan w:val="10"/>
          </w:tcPr>
          <w:p>
            <w:pPr>
              <w:ind w:left="120"/>
              <w:spacing w:after="0" w:line="194" w:lineRule="exact"/>
              <w:rPr>
                <w:sz w:val="20"/>
                <w:szCs w:val="20"/>
                <w:color w:val="auto"/>
              </w:rPr>
            </w:pPr>
            <w:r>
              <w:rPr>
                <w:rFonts w:ascii="Times New Roman" w:cs="Times New Roman" w:eastAsia="Times New Roman" w:hAnsi="Times New Roman"/>
                <w:sz w:val="18"/>
                <w:szCs w:val="18"/>
                <w:color w:val="auto"/>
              </w:rPr>
              <w:t>the Committee and described on Exhibit A during the performance period beginning on April 1, 2022 and ending on</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42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March 31, 2025 (the “Performance Period”).</w:t>
            </w:r>
          </w:p>
        </w:tc>
        <w:tc>
          <w:tcPr>
            <w:tcW w:w="10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Payout of</w:t>
      </w:r>
      <w:r>
        <w:rPr>
          <w:sz w:val="20"/>
          <w:szCs w:val="20"/>
          <w:color w:val="auto"/>
        </w:rPr>
        <w:tab/>
      </w:r>
      <w:r>
        <w:rPr>
          <w:rFonts w:ascii="Times New Roman" w:cs="Times New Roman" w:eastAsia="Times New Roman" w:hAnsi="Times New Roman"/>
          <w:sz w:val="18"/>
          <w:szCs w:val="18"/>
          <w:color w:val="auto"/>
        </w:rPr>
        <w:t>On the “Date of Payout” indicated above, the Company shall either (a) deliver to you a number of shares of Common</w:t>
      </w:r>
    </w:p>
    <w:p>
      <w:pPr>
        <w:spacing w:after="0" w:line="31" w:lineRule="exact"/>
        <w:rPr>
          <w:sz w:val="20"/>
          <w:szCs w:val="20"/>
          <w:color w:val="auto"/>
        </w:rPr>
      </w:pPr>
    </w:p>
    <w:p>
      <w:pPr>
        <w:jc w:val="both"/>
        <w:ind w:left="1200" w:right="240" w:hanging="1179"/>
        <w:spacing w:after="0" w:line="255"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Awards</w:t>
      </w:r>
      <w:r>
        <w:rPr>
          <w:sz w:val="20"/>
          <w:szCs w:val="20"/>
          <w:color w:val="auto"/>
        </w:rPr>
        <w:tab/>
      </w:r>
      <w:r>
        <w:rPr>
          <w:rFonts w:ascii="Times New Roman" w:cs="Times New Roman" w:eastAsia="Times New Roman" w:hAnsi="Times New Roman"/>
          <w:sz w:val="18"/>
          <w:szCs w:val="18"/>
          <w:color w:val="auto"/>
        </w:rPr>
        <w:t>Stock equal to the number of your earned PSUs, or (b) make a cash payment to you equal to the Fair Market Value on the Date of Payout of the number of your earned PSUs at the end of the Performance Period, in either case, net of any applicable tax withholding, and the respective PSUs shall thereafter be cancelled.</w:t>
      </w:r>
    </w:p>
    <w:p>
      <w:pPr>
        <w:spacing w:after="0" w:line="186" w:lineRule="exact"/>
        <w:rPr>
          <w:sz w:val="20"/>
          <w:szCs w:val="20"/>
          <w:color w:val="auto"/>
        </w:rPr>
      </w:pPr>
    </w:p>
    <w:p>
      <w:pPr>
        <w:ind w:left="1200" w:right="320"/>
        <w:spacing w:after="0" w:line="282" w:lineRule="auto"/>
        <w:rPr>
          <w:sz w:val="20"/>
          <w:szCs w:val="20"/>
          <w:color w:val="auto"/>
        </w:rPr>
      </w:pPr>
      <w:r>
        <w:rPr>
          <w:rFonts w:ascii="Times New Roman" w:cs="Times New Roman" w:eastAsia="Times New Roman" w:hAnsi="Times New Roman"/>
          <w:sz w:val="18"/>
          <w:szCs w:val="18"/>
          <w:color w:val="auto"/>
        </w:rPr>
        <w:t>All payouts under this Award are subject to the provisions of the Plan, this Agreement and the Terms and Conditions document, including those relating to the cancellation and rescission of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1 of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Kyndryl</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Equity Award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Terms and Conditions of Your </w:t>
      </w:r>
      <w:r>
        <w:rPr>
          <w:rFonts w:ascii="Times New Roman" w:cs="Times New Roman" w:eastAsia="Times New Roman" w:hAnsi="Times New Roman"/>
          <w:sz w:val="18"/>
          <w:szCs w:val="18"/>
          <w:color w:val="auto"/>
        </w:rPr>
        <w:t>Refer to the Terms and Conditions document attached for an explanation of the terms and conditions</w:t>
      </w:r>
    </w:p>
    <w:p>
      <w:pPr>
        <w:spacing w:after="0" w:line="31"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18"/>
          <w:szCs w:val="18"/>
          <w:b w:val="1"/>
          <w:bCs w:val="1"/>
          <w:color w:val="auto"/>
        </w:rPr>
        <w:t>Equity Award</w:t>
      </w:r>
      <w:r>
        <w:rPr>
          <w:sz w:val="20"/>
          <w:szCs w:val="20"/>
          <w:color w:val="auto"/>
        </w:rPr>
        <w:tab/>
      </w:r>
      <w:r>
        <w:rPr>
          <w:rFonts w:ascii="Times New Roman" w:cs="Times New Roman" w:eastAsia="Times New Roman" w:hAnsi="Times New Roman"/>
          <w:sz w:val="17"/>
          <w:szCs w:val="17"/>
          <w:color w:val="auto"/>
        </w:rPr>
        <w:t>applicable to your Award, including those relating to:</w:t>
      </w:r>
    </w:p>
    <w:p>
      <w:pPr>
        <w:spacing w:after="0" w:line="207" w:lineRule="exact"/>
        <w:rPr>
          <w:sz w:val="20"/>
          <w:szCs w:val="20"/>
          <w:color w:val="auto"/>
        </w:rPr>
      </w:pPr>
    </w:p>
    <w:p>
      <w:pPr>
        <w:ind w:left="3080" w:hanging="639"/>
        <w:spacing w:after="0"/>
        <w:tabs>
          <w:tab w:leader="none" w:pos="3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and rescission of awards (also see below)</w:t>
      </w:r>
    </w:p>
    <w:p>
      <w:pPr>
        <w:spacing w:after="0" w:line="225" w:lineRule="exact"/>
        <w:rPr>
          <w:rFonts w:ascii="Times New Roman" w:cs="Times New Roman" w:eastAsia="Times New Roman" w:hAnsi="Times New Roman"/>
          <w:sz w:val="18"/>
          <w:szCs w:val="18"/>
          <w:color w:val="auto"/>
        </w:rPr>
      </w:pPr>
    </w:p>
    <w:p>
      <w:pPr>
        <w:ind w:left="3080" w:hanging="639"/>
        <w:spacing w:after="0"/>
        <w:tabs>
          <w:tab w:leader="none" w:pos="3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governing law, expenses and taxes</w:t>
      </w:r>
    </w:p>
    <w:p>
      <w:pPr>
        <w:spacing w:after="0" w:line="225" w:lineRule="exact"/>
        <w:rPr>
          <w:rFonts w:ascii="Times New Roman" w:cs="Times New Roman" w:eastAsia="Times New Roman" w:hAnsi="Times New Roman"/>
          <w:sz w:val="18"/>
          <w:szCs w:val="18"/>
          <w:color w:val="auto"/>
        </w:rPr>
      </w:pPr>
    </w:p>
    <w:p>
      <w:pPr>
        <w:ind w:left="3080" w:hanging="639"/>
        <w:spacing w:after="0"/>
        <w:tabs>
          <w:tab w:leader="none" w:pos="3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Company employees and clients, if applicable</w:t>
      </w:r>
    </w:p>
    <w:p>
      <w:pPr>
        <w:spacing w:after="0" w:line="225" w:lineRule="exact"/>
        <w:rPr>
          <w:rFonts w:ascii="Times New Roman" w:cs="Times New Roman" w:eastAsia="Times New Roman" w:hAnsi="Times New Roman"/>
          <w:sz w:val="18"/>
          <w:szCs w:val="18"/>
          <w:color w:val="auto"/>
        </w:rPr>
      </w:pPr>
    </w:p>
    <w:p>
      <w:pPr>
        <w:ind w:left="3080" w:hanging="639"/>
        <w:spacing w:after="0"/>
        <w:tabs>
          <w:tab w:leader="none" w:pos="3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your Award in the event of death or disability or leave of absence</w:t>
      </w:r>
    </w:p>
    <w:p>
      <w:pPr>
        <w:spacing w:after="0" w:line="225" w:lineRule="exact"/>
        <w:rPr>
          <w:rFonts w:ascii="Times New Roman" w:cs="Times New Roman" w:eastAsia="Times New Roman" w:hAnsi="Times New Roman"/>
          <w:sz w:val="18"/>
          <w:szCs w:val="18"/>
          <w:color w:val="auto"/>
        </w:rPr>
      </w:pPr>
    </w:p>
    <w:p>
      <w:pPr>
        <w:ind w:left="3080" w:hanging="639"/>
        <w:spacing w:after="0"/>
        <w:tabs>
          <w:tab w:leader="none" w:pos="3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your Award upon termination of employment</w:t>
      </w:r>
    </w:p>
    <w:p>
      <w:pPr>
        <w:spacing w:after="0" w:line="22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It is strongly recommended that you print the Terms and Conditions document for later reference.</w:t>
      </w:r>
    </w:p>
    <w:p>
      <w:pPr>
        <w:spacing w:after="0" w:line="221" w:lineRule="exact"/>
        <w:rPr>
          <w:sz w:val="20"/>
          <w:szCs w:val="20"/>
          <w:color w:val="auto"/>
        </w:rPr>
      </w:pPr>
    </w:p>
    <w:p>
      <w:pPr>
        <w:ind w:left="2440" w:right="40" w:hanging="2443"/>
        <w:spacing w:after="0" w:line="258" w:lineRule="auto"/>
        <w:tabs>
          <w:tab w:leader="none" w:pos="2420" w:val="left"/>
        </w:tabs>
        <w:rPr>
          <w:sz w:val="20"/>
          <w:szCs w:val="20"/>
          <w:color w:val="auto"/>
        </w:rPr>
      </w:pPr>
      <w:r>
        <w:rPr>
          <w:rFonts w:ascii="Times New Roman" w:cs="Times New Roman" w:eastAsia="Times New Roman" w:hAnsi="Times New Roman"/>
          <w:sz w:val="18"/>
          <w:szCs w:val="18"/>
          <w:b w:val="1"/>
          <w:bCs w:val="1"/>
          <w:color w:val="auto"/>
        </w:rPr>
        <w:t>Cancellation and Rescission</w:t>
      </w:r>
      <w:r>
        <w:rPr>
          <w:sz w:val="20"/>
          <w:szCs w:val="20"/>
          <w:color w:val="auto"/>
        </w:rPr>
        <w:tab/>
      </w:r>
      <w:r>
        <w:rPr>
          <w:rFonts w:ascii="Times New Roman" w:cs="Times New Roman" w:eastAsia="Times New Roman" w:hAnsi="Times New Roman"/>
          <w:sz w:val="18"/>
          <w:szCs w:val="18"/>
          <w:color w:val="auto"/>
        </w:rPr>
        <w:t>You understand that Kyndryl may cancel, modify, rescind, suspend, withhold or otherwise limit or restrict this Award in accordance with the terms of the Plan, including, without limitation, canceling or rescinding this Award if you render services for a competitor prior to, or during the Rescission Period. You understand that the Rescission Period that has been established is 12 months. Refer to the Terms and Conditions document and the Plan for further details.</w:t>
      </w:r>
    </w:p>
    <w:p>
      <w:pPr>
        <w:spacing w:after="0" w:line="183"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18"/>
          <w:szCs w:val="18"/>
          <w:b w:val="1"/>
          <w:bCs w:val="1"/>
          <w:color w:val="auto"/>
        </w:rPr>
        <w:t>Data Privacy, Electronic</w:t>
      </w:r>
      <w:r>
        <w:rPr>
          <w:sz w:val="20"/>
          <w:szCs w:val="20"/>
          <w:color w:val="auto"/>
        </w:rPr>
        <w:tab/>
      </w:r>
      <w:r>
        <w:rPr>
          <w:rFonts w:ascii="Times New Roman" w:cs="Times New Roman" w:eastAsia="Times New Roman" w:hAnsi="Times New Roman"/>
          <w:sz w:val="17"/>
          <w:szCs w:val="17"/>
          <w:color w:val="auto"/>
        </w:rPr>
        <w:t>By accepting this Award, you agree that data, including your personal data, necessary to administer</w:t>
      </w:r>
    </w:p>
    <w:p>
      <w:pPr>
        <w:spacing w:after="0" w:line="31" w:lineRule="exact"/>
        <w:rPr>
          <w:sz w:val="20"/>
          <w:szCs w:val="20"/>
          <w:color w:val="auto"/>
        </w:rPr>
      </w:pPr>
    </w:p>
    <w:p>
      <w:pPr>
        <w:ind w:left="2440" w:hanging="2439"/>
        <w:spacing w:after="0" w:line="252" w:lineRule="auto"/>
        <w:tabs>
          <w:tab w:leader="none" w:pos="2420" w:val="left"/>
        </w:tabs>
        <w:rPr>
          <w:sz w:val="20"/>
          <w:szCs w:val="20"/>
          <w:color w:val="auto"/>
        </w:rPr>
      </w:pPr>
      <w:r>
        <w:rPr>
          <w:rFonts w:ascii="Times New Roman" w:cs="Times New Roman" w:eastAsia="Times New Roman" w:hAnsi="Times New Roman"/>
          <w:sz w:val="18"/>
          <w:szCs w:val="18"/>
          <w:b w:val="1"/>
          <w:bCs w:val="1"/>
          <w:color w:val="auto"/>
        </w:rPr>
        <w:t>Delivery</w:t>
      </w:r>
      <w:r>
        <w:rPr>
          <w:sz w:val="20"/>
          <w:szCs w:val="20"/>
          <w:color w:val="auto"/>
        </w:rPr>
        <w:tab/>
      </w:r>
      <w:r>
        <w:rPr>
          <w:rFonts w:ascii="Times New Roman" w:cs="Times New Roman" w:eastAsia="Times New Roman" w:hAnsi="Times New Roman"/>
          <w:sz w:val="18"/>
          <w:szCs w:val="18"/>
          <w:color w:val="auto"/>
        </w:rPr>
        <w:t>this Award may be exchanged among Kyndryl and its subsidiaries and affiliates as necessary, and with any vendor engaged by Kyndryl to administer this Award, subject to the Terms and Conditions document; you also consent to receiving information and materials in connection with this Award or any subsequent awards under Kyndryl’s long-term performance plans, including without limitation any prospectuses and plan documents, by any means of electronic delivery available now and/or in the future (including without limitation by e-mail, by Web site access and/or by facsimile), such consent to remain in effect unless and until revoked in writing by you.</w:t>
      </w:r>
    </w:p>
    <w:p>
      <w:pPr>
        <w:spacing w:after="0" w:line="184" w:lineRule="exact"/>
        <w:rPr>
          <w:sz w:val="20"/>
          <w:szCs w:val="20"/>
          <w:color w:val="auto"/>
        </w:rPr>
      </w:pPr>
    </w:p>
    <w:p>
      <w:pPr>
        <w:ind w:left="2440" w:hanging="2443"/>
        <w:spacing w:after="0" w:line="253" w:lineRule="auto"/>
        <w:tabs>
          <w:tab w:leader="none" w:pos="2420" w:val="left"/>
        </w:tabs>
        <w:rPr>
          <w:sz w:val="20"/>
          <w:szCs w:val="20"/>
          <w:color w:val="auto"/>
        </w:rPr>
      </w:pPr>
      <w:r>
        <w:rPr>
          <w:rFonts w:ascii="Times New Roman" w:cs="Times New Roman" w:eastAsia="Times New Roman" w:hAnsi="Times New Roman"/>
          <w:sz w:val="18"/>
          <w:szCs w:val="18"/>
          <w:b w:val="1"/>
          <w:bCs w:val="1"/>
          <w:color w:val="auto"/>
        </w:rPr>
        <w:t>Extraordinary Compensation</w:t>
      </w:r>
      <w:r>
        <w:rPr>
          <w:sz w:val="20"/>
          <w:szCs w:val="20"/>
          <w:color w:val="auto"/>
        </w:rPr>
        <w:tab/>
      </w:r>
      <w:r>
        <w:rPr>
          <w:rFonts w:ascii="Times New Roman" w:cs="Times New Roman" w:eastAsia="Times New Roman" w:hAnsi="Times New Roman"/>
          <w:sz w:val="18"/>
          <w:szCs w:val="18"/>
          <w:color w:val="auto"/>
        </w:rPr>
        <w:t>Your participation in the Plan is voluntary. The value of this Award is an extraordinary item of income, is not part of your normal or expected compensation and shall not be considered in calculating any severance, redundancy, end of service payments, bonus, long-service awards, pension, retirement or other benefits or similar payments. The Plan is discretionary in nature. This Award is a one-time benefit that does not create any contractual or other right to receive additional awards or other benefits in the future. Future grants, if any, are at the sole grace and discretion of Kyndryl, including but not limited to, the timing of the grant, the number of units and vesting provisions. This Equity Award Agreement is not part of your employment agreement, if any. Nothing in the Plan, in the grant of any Award or in this Equity Award Agreement shall confer upon you any right to continued employment with Kyndryl or any of its subsidiaries or affiliates, or interfere in any way with the right of Kyndryl or any of its subsidiaries or affiliates to terminate you employment or other service relationship for any reason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2 of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348615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1000" w:top="491" w:right="10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792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Kyndryl</w:t>
            </w:r>
          </w:p>
        </w:tc>
      </w:tr>
      <w:tr>
        <w:trPr>
          <w:trHeight w:val="238"/>
        </w:trPr>
        <w:tc>
          <w:tcPr>
            <w:tcW w:w="2000" w:type="dxa"/>
            <w:vAlign w:val="bottom"/>
          </w:tcPr>
          <w:p>
            <w:pPr>
              <w:spacing w:after="0"/>
              <w:rPr>
                <w:sz w:val="20"/>
                <w:szCs w:val="20"/>
                <w:color w:val="auto"/>
              </w:rPr>
            </w:pPr>
          </w:p>
        </w:tc>
        <w:tc>
          <w:tcPr>
            <w:tcW w:w="792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9"/>
              </w:rPr>
              <w:t>Equity Award Agreement</w:t>
            </w:r>
          </w:p>
        </w:tc>
      </w:tr>
      <w:tr>
        <w:trPr>
          <w:trHeight w:val="45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Accept Your Award</w:t>
            </w: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Award is considered valid when you accept it. This Award will be cancelled unless you accept it</w:t>
            </w:r>
          </w:p>
        </w:tc>
      </w:tr>
      <w:tr>
        <w:trPr>
          <w:trHeight w:val="216"/>
        </w:trPr>
        <w:tc>
          <w:tcPr>
            <w:tcW w:w="2000" w:type="dxa"/>
            <w:vAlign w:val="bottom"/>
          </w:tcPr>
          <w:p>
            <w:pPr>
              <w:spacing w:after="0"/>
              <w:rPr>
                <w:sz w:val="18"/>
                <w:szCs w:val="18"/>
                <w:color w:val="auto"/>
              </w:rPr>
            </w:pP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by 11:59 p.m. Eastern time two business days prior to the end of the Performance Period in the “Grant”</w:t>
            </w:r>
          </w:p>
        </w:tc>
      </w:tr>
      <w:tr>
        <w:trPr>
          <w:trHeight w:val="216"/>
        </w:trPr>
        <w:tc>
          <w:tcPr>
            <w:tcW w:w="2000" w:type="dxa"/>
            <w:vAlign w:val="bottom"/>
          </w:tcPr>
          <w:p>
            <w:pPr>
              <w:spacing w:after="0"/>
              <w:rPr>
                <w:sz w:val="18"/>
                <w:szCs w:val="18"/>
                <w:color w:val="auto"/>
              </w:rPr>
            </w:pP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of this Agreement. By pressing the Accept button below to accept your Award, you</w:t>
            </w:r>
          </w:p>
        </w:tc>
      </w:tr>
      <w:tr>
        <w:trPr>
          <w:trHeight w:val="216"/>
        </w:trPr>
        <w:tc>
          <w:tcPr>
            <w:tcW w:w="2000" w:type="dxa"/>
            <w:vAlign w:val="bottom"/>
          </w:tcPr>
          <w:p>
            <w:pPr>
              <w:spacing w:after="0"/>
              <w:rPr>
                <w:sz w:val="18"/>
                <w:szCs w:val="18"/>
                <w:color w:val="auto"/>
              </w:rPr>
            </w:pP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acknowledge having received and read this Equity Award Agreement, the Terms and Conditions</w:t>
            </w:r>
          </w:p>
        </w:tc>
      </w:tr>
      <w:tr>
        <w:trPr>
          <w:trHeight w:val="216"/>
        </w:trPr>
        <w:tc>
          <w:tcPr>
            <w:tcW w:w="2000" w:type="dxa"/>
            <w:vAlign w:val="bottom"/>
          </w:tcPr>
          <w:p>
            <w:pPr>
              <w:spacing w:after="0"/>
              <w:rPr>
                <w:sz w:val="18"/>
                <w:szCs w:val="18"/>
                <w:color w:val="auto"/>
              </w:rPr>
            </w:pP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document and the Plan under which this Award was granted and you agree (i) not to hedge the</w:t>
            </w:r>
          </w:p>
        </w:tc>
      </w:tr>
      <w:tr>
        <w:trPr>
          <w:trHeight w:val="216"/>
        </w:trPr>
        <w:tc>
          <w:tcPr>
            <w:tcW w:w="2000" w:type="dxa"/>
            <w:vAlign w:val="bottom"/>
          </w:tcPr>
          <w:p>
            <w:pPr>
              <w:spacing w:after="0"/>
              <w:rPr>
                <w:sz w:val="18"/>
                <w:szCs w:val="18"/>
                <w:color w:val="auto"/>
              </w:rPr>
            </w:pP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economic risk of this Award or any previously-granted outstanding awards, which includes entering</w:t>
            </w:r>
          </w:p>
        </w:tc>
      </w:tr>
      <w:tr>
        <w:trPr>
          <w:trHeight w:val="216"/>
        </w:trPr>
        <w:tc>
          <w:tcPr>
            <w:tcW w:w="2000" w:type="dxa"/>
            <w:vAlign w:val="bottom"/>
          </w:tcPr>
          <w:p>
            <w:pPr>
              <w:spacing w:after="0"/>
              <w:rPr>
                <w:sz w:val="18"/>
                <w:szCs w:val="18"/>
                <w:color w:val="auto"/>
              </w:rPr>
            </w:pP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into any derivative transaction on Kyndryl securities (e.g., any short sale, put, swap, forward, option,</w:t>
            </w:r>
          </w:p>
        </w:tc>
      </w:tr>
      <w:tr>
        <w:trPr>
          <w:trHeight w:val="216"/>
        </w:trPr>
        <w:tc>
          <w:tcPr>
            <w:tcW w:w="2000" w:type="dxa"/>
            <w:vAlign w:val="bottom"/>
          </w:tcPr>
          <w:p>
            <w:pPr>
              <w:spacing w:after="0"/>
              <w:rPr>
                <w:sz w:val="18"/>
                <w:szCs w:val="18"/>
                <w:color w:val="auto"/>
              </w:rPr>
            </w:pP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collar, etc.), (ii) to comply with the terms of the Plan, this Equity Award Agreement and the Terms and</w:t>
            </w:r>
          </w:p>
        </w:tc>
      </w:tr>
      <w:tr>
        <w:trPr>
          <w:trHeight w:val="216"/>
        </w:trPr>
        <w:tc>
          <w:tcPr>
            <w:tcW w:w="2000" w:type="dxa"/>
            <w:vAlign w:val="bottom"/>
          </w:tcPr>
          <w:p>
            <w:pPr>
              <w:spacing w:after="0"/>
              <w:rPr>
                <w:sz w:val="18"/>
                <w:szCs w:val="18"/>
                <w:color w:val="auto"/>
              </w:rPr>
            </w:pP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Conditions document, including those provisions relating to cancellation and rescission of awards and</w:t>
            </w:r>
          </w:p>
        </w:tc>
      </w:tr>
      <w:tr>
        <w:trPr>
          <w:trHeight w:val="216"/>
        </w:trPr>
        <w:tc>
          <w:tcPr>
            <w:tcW w:w="2000" w:type="dxa"/>
            <w:vAlign w:val="bottom"/>
          </w:tcPr>
          <w:p>
            <w:pPr>
              <w:spacing w:after="0"/>
              <w:rPr>
                <w:sz w:val="18"/>
                <w:szCs w:val="18"/>
                <w:color w:val="auto"/>
              </w:rPr>
            </w:pP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jurisdiction and governing law, and (iii) that by your acceptance of this Award, all awards previously</w:t>
            </w:r>
          </w:p>
        </w:tc>
      </w:tr>
      <w:tr>
        <w:trPr>
          <w:trHeight w:val="216"/>
        </w:trPr>
        <w:tc>
          <w:tcPr>
            <w:tcW w:w="2000" w:type="dxa"/>
            <w:vAlign w:val="bottom"/>
          </w:tcPr>
          <w:p>
            <w:pPr>
              <w:spacing w:after="0"/>
              <w:rPr>
                <w:sz w:val="18"/>
                <w:szCs w:val="18"/>
                <w:color w:val="auto"/>
              </w:rPr>
            </w:pP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 to you under the Plan or other Kyndryl Long-Term Performance Plans are subject to any</w:t>
            </w:r>
          </w:p>
        </w:tc>
      </w:tr>
      <w:tr>
        <w:trPr>
          <w:trHeight w:val="216"/>
        </w:trPr>
        <w:tc>
          <w:tcPr>
            <w:tcW w:w="2000" w:type="dxa"/>
            <w:vAlign w:val="bottom"/>
          </w:tcPr>
          <w:p>
            <w:pPr>
              <w:spacing w:after="0"/>
              <w:rPr>
                <w:sz w:val="18"/>
                <w:szCs w:val="18"/>
                <w:color w:val="auto"/>
              </w:rPr>
            </w:pP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cancellation, rescission or recovery required by applicable laws, rules, regulations or standards,</w:t>
            </w:r>
          </w:p>
        </w:tc>
      </w:tr>
      <w:tr>
        <w:trPr>
          <w:trHeight w:val="216"/>
        </w:trPr>
        <w:tc>
          <w:tcPr>
            <w:tcW w:w="2000" w:type="dxa"/>
            <w:vAlign w:val="bottom"/>
          </w:tcPr>
          <w:p>
            <w:pPr>
              <w:spacing w:after="0"/>
              <w:rPr>
                <w:sz w:val="18"/>
                <w:szCs w:val="18"/>
                <w:color w:val="auto"/>
              </w:rPr>
            </w:pP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including without limitation any requirements or standards of the U.S. Securities and Exchange</w:t>
            </w:r>
          </w:p>
        </w:tc>
      </w:tr>
      <w:tr>
        <w:trPr>
          <w:trHeight w:val="234"/>
        </w:trPr>
        <w:tc>
          <w:tcPr>
            <w:tcW w:w="2000" w:type="dxa"/>
            <w:vAlign w:val="bottom"/>
          </w:tcPr>
          <w:p>
            <w:pPr>
              <w:spacing w:after="0"/>
              <w:rPr>
                <w:sz w:val="20"/>
                <w:szCs w:val="20"/>
                <w:color w:val="auto"/>
              </w:rPr>
            </w:pPr>
          </w:p>
        </w:tc>
        <w:tc>
          <w:tcPr>
            <w:tcW w:w="7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Commission or the New York Stock Exchange.</w:t>
            </w:r>
          </w:p>
        </w:tc>
      </w:tr>
      <w:tr>
        <w:trPr>
          <w:trHeight w:val="869"/>
        </w:trPr>
        <w:tc>
          <w:tcPr>
            <w:tcW w:w="2000" w:type="dxa"/>
            <w:vAlign w:val="bottom"/>
          </w:tcPr>
          <w:p>
            <w:pPr>
              <w:spacing w:after="0"/>
              <w:rPr>
                <w:sz w:val="24"/>
                <w:szCs w:val="24"/>
                <w:color w:val="auto"/>
              </w:rPr>
            </w:pPr>
          </w:p>
        </w:tc>
        <w:tc>
          <w:tcPr>
            <w:tcW w:w="792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Page 3 of 3</w:t>
            </w:r>
          </w:p>
        </w:tc>
      </w:tr>
      <w:tr>
        <w:trPr>
          <w:trHeight w:val="238"/>
        </w:trPr>
        <w:tc>
          <w:tcPr>
            <w:tcW w:w="2000" w:type="dxa"/>
            <w:vAlign w:val="bottom"/>
          </w:tcPr>
          <w:p>
            <w:pPr>
              <w:spacing w:after="0"/>
              <w:rPr>
                <w:sz w:val="20"/>
                <w:szCs w:val="20"/>
                <w:color w:val="auto"/>
              </w:rPr>
            </w:pPr>
          </w:p>
        </w:tc>
        <w:tc>
          <w:tcPr>
            <w:tcW w:w="792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Kyndryl Confidential</w:t>
            </w:r>
          </w:p>
        </w:tc>
      </w:tr>
      <w:tr>
        <w:trPr>
          <w:trHeight w:val="547"/>
        </w:trPr>
        <w:tc>
          <w:tcPr>
            <w:tcW w:w="20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2" w:right="99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Kyndryl</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Exhibit A to Equity Award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Calculating Achievement of Performance Criteria</w:t>
      </w:r>
    </w:p>
    <w:p>
      <w:pPr>
        <w:spacing w:after="0" w:line="22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You can earn the PSUs awarded above based on Kyndryl’s performance in achieving during the Performance Period the performance criteria set forth in materials presented to and approved by the Committee and described below. As soon as practicable following the completion of the Performance Period, the Committee shall determine, in its sole discretion, the achievement with respect to each of the performance criteria described below and will calculate the “% of Target Payout” based on the actual level of achievement of each of the performance criteria. The performance criteria shall not be achieved and no PSUs shall be vested until the Committee certifies in writing the extent to which the performance criteria have been achieved. All determinations with respect to whether, and the extent to which, the performance criteria have been achieved shall be made by the Committee in its sole discretion.</w:t>
      </w:r>
    </w:p>
    <w:p>
      <w:pPr>
        <w:spacing w:after="0" w:line="18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The number of PSUs that are eligible to be earned shall be based on the Committee’s certification of the achievement of the performance criteria established by the Committee, with the number of PSUs earned in respect of achievement of each of the performance criteria equal to the product of (1) the target number of PSUs awarded multiplied by the weighting for each performance criteria set forth below, times (2) the applicable “% of Target Payout” achieved with respect to each of the performance criteria. The number of PSUs earned shall be rounded up or down to the nearest whole PSU.</w:t>
      </w:r>
    </w:p>
    <w:p>
      <w:pPr>
        <w:spacing w:after="0" w:line="18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If the actual performance with respect to a performance criteria determined by the Committee is between (i) the “Threshold” and “Target” or “Target Range” (as applicable) levels of achievement or (ii) the “Target” or “Target Range” (as applicable) and “Maximum” levels of achievement, then the “% of Target Payout” shall be determined by linear interpolation (and rounded to the nearest tenth of a whole percent).</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Any PSUs that do not become vested based on the actual achievement of the performance criteria during the Performance Period will be forfeited for no consideration therefor as of the Date of Payout.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Criteria</w:t>
      </w:r>
    </w:p>
    <w:p>
      <w:pPr>
        <w:spacing w:after="0" w:line="220"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Adjusted Operating Cash Flow - 50% Weighting</w:t>
      </w:r>
    </w:p>
    <w:p>
      <w:pPr>
        <w:spacing w:after="0" w:line="21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Operating Cash Flow</w:t>
      </w:r>
      <w:r>
        <w:rPr>
          <w:rFonts w:ascii="Times New Roman" w:cs="Times New Roman" w:eastAsia="Times New Roman" w:hAnsi="Times New Roman"/>
          <w:sz w:val="20"/>
          <w:szCs w:val="20"/>
          <w:color w:val="auto"/>
        </w:rPr>
        <w:t>” means cash flow from operations with the following add-backs: separation-related costs, workforce rebalancing and restructuring charges, transaction-related and integration-related items, goodwill and long-lived asset impairment charges, foreign currency impacts of highly inflationary countries, significant litigation costs, amortization of intangible assets, stock-based compensation, and pension costs other than pension servicing costs and multi-employer plan costs.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080" w:type="dxa"/>
            <w:vAlign w:val="bottom"/>
            <w:tcBorders>
              <w:top w:val="single" w:sz="8" w:color="auto"/>
              <w:left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20"/>
                <w:szCs w:val="20"/>
                <w:b w:val="1"/>
                <w:bCs w:val="1"/>
                <w:color w:val="auto"/>
              </w:rPr>
              <w:t>Level of</w:t>
            </w:r>
          </w:p>
        </w:tc>
        <w:tc>
          <w:tcPr>
            <w:tcW w:w="1980" w:type="dxa"/>
            <w:vAlign w:val="bottom"/>
            <w:tcBorders>
              <w:top w:val="single" w:sz="8" w:color="auto"/>
              <w:right w:val="single" w:sz="8" w:color="auto"/>
            </w:tcBorders>
          </w:tcPr>
          <w:p>
            <w:pPr>
              <w:ind w:left="260"/>
              <w:spacing w:after="0" w:line="216" w:lineRule="exact"/>
              <w:rPr>
                <w:sz w:val="20"/>
                <w:szCs w:val="20"/>
                <w:color w:val="auto"/>
              </w:rPr>
            </w:pPr>
            <w:r>
              <w:rPr>
                <w:rFonts w:ascii="Times New Roman" w:cs="Times New Roman" w:eastAsia="Times New Roman" w:hAnsi="Times New Roman"/>
                <w:sz w:val="20"/>
                <w:szCs w:val="20"/>
                <w:b w:val="1"/>
                <w:bCs w:val="1"/>
                <w:color w:val="auto"/>
              </w:rPr>
              <w:t>Below Threshold</w:t>
            </w:r>
          </w:p>
        </w:tc>
        <w:tc>
          <w:tcPr>
            <w:tcW w:w="2000" w:type="dxa"/>
            <w:vAlign w:val="bottom"/>
            <w:tcBorders>
              <w:top w:val="single" w:sz="8" w:color="auto"/>
              <w:right w:val="single" w:sz="8" w:color="auto"/>
            </w:tcBorders>
          </w:tcPr>
          <w:p>
            <w:pPr>
              <w:ind w:left="560"/>
              <w:spacing w:after="0" w:line="216" w:lineRule="exact"/>
              <w:rPr>
                <w:sz w:val="20"/>
                <w:szCs w:val="20"/>
                <w:color w:val="auto"/>
              </w:rPr>
            </w:pPr>
            <w:r>
              <w:rPr>
                <w:rFonts w:ascii="Times New Roman" w:cs="Times New Roman" w:eastAsia="Times New Roman" w:hAnsi="Times New Roman"/>
                <w:sz w:val="20"/>
                <w:szCs w:val="20"/>
                <w:b w:val="1"/>
                <w:bCs w:val="1"/>
                <w:color w:val="auto"/>
              </w:rPr>
              <w:t>Threshold</w:t>
            </w:r>
          </w:p>
        </w:tc>
        <w:tc>
          <w:tcPr>
            <w:tcW w:w="1900" w:type="dxa"/>
            <w:vAlign w:val="bottom"/>
            <w:tcBorders>
              <w:top w:val="single" w:sz="8" w:color="auto"/>
              <w:right w:val="single" w:sz="8" w:color="auto"/>
            </w:tcBorders>
          </w:tcPr>
          <w:p>
            <w:pPr>
              <w:ind w:left="660"/>
              <w:spacing w:after="0" w:line="216" w:lineRule="exact"/>
              <w:rPr>
                <w:sz w:val="20"/>
                <w:szCs w:val="20"/>
                <w:color w:val="auto"/>
              </w:rPr>
            </w:pPr>
            <w:r>
              <w:rPr>
                <w:rFonts w:ascii="Times New Roman" w:cs="Times New Roman" w:eastAsia="Times New Roman" w:hAnsi="Times New Roman"/>
                <w:sz w:val="20"/>
                <w:szCs w:val="20"/>
                <w:b w:val="1"/>
                <w:bCs w:val="1"/>
                <w:color w:val="auto"/>
              </w:rPr>
              <w:t>Target</w:t>
            </w:r>
          </w:p>
        </w:tc>
        <w:tc>
          <w:tcPr>
            <w:tcW w:w="1980" w:type="dxa"/>
            <w:vAlign w:val="bottom"/>
            <w:tcBorders>
              <w:top w:val="single" w:sz="8" w:color="auto"/>
              <w:right w:val="single" w:sz="8" w:color="auto"/>
            </w:tcBorders>
          </w:tcPr>
          <w:p>
            <w:pPr>
              <w:ind w:left="540"/>
              <w:spacing w:after="0" w:line="216" w:lineRule="exact"/>
              <w:rPr>
                <w:sz w:val="20"/>
                <w:szCs w:val="20"/>
                <w:color w:val="auto"/>
              </w:rPr>
            </w:pPr>
            <w:r>
              <w:rPr>
                <w:rFonts w:ascii="Times New Roman" w:cs="Times New Roman" w:eastAsia="Times New Roman" w:hAnsi="Times New Roman"/>
                <w:sz w:val="20"/>
                <w:szCs w:val="20"/>
                <w:b w:val="1"/>
                <w:bCs w:val="1"/>
                <w:color w:val="auto"/>
              </w:rPr>
              <w:t>Maximum</w:t>
            </w:r>
          </w:p>
        </w:tc>
      </w:tr>
      <w:tr>
        <w:trPr>
          <w:trHeight w:val="262"/>
        </w:trPr>
        <w:tc>
          <w:tcPr>
            <w:tcW w:w="20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Achievement</w:t>
            </w:r>
          </w:p>
        </w:tc>
        <w:tc>
          <w:tcPr>
            <w:tcW w:w="1980" w:type="dxa"/>
            <w:vAlign w:val="bottom"/>
            <w:tcBorders>
              <w:right w:val="single" w:sz="8" w:color="auto"/>
            </w:tcBorders>
          </w:tcPr>
          <w:p>
            <w:pPr>
              <w:spacing w:after="0"/>
              <w:rPr>
                <w:sz w:val="22"/>
                <w:szCs w:val="22"/>
                <w:color w:val="auto"/>
              </w:rPr>
            </w:pPr>
          </w:p>
        </w:tc>
        <w:tc>
          <w:tcPr>
            <w:tcW w:w="200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spacing w:after="0"/>
              <w:rPr>
                <w:sz w:val="22"/>
                <w:szCs w:val="22"/>
                <w:color w:val="auto"/>
              </w:rPr>
            </w:pPr>
          </w:p>
        </w:tc>
      </w:tr>
      <w:tr>
        <w:trPr>
          <w:trHeight w:val="210"/>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Page 1 of 4</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342" w:right="97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76"/>
        </w:trPr>
        <w:tc>
          <w:tcPr>
            <w:tcW w:w="208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Goal Attainment %</w:t>
            </w:r>
          </w:p>
        </w:tc>
        <w:tc>
          <w:tcPr>
            <w:tcW w:w="1980" w:type="dxa"/>
            <w:vAlign w:val="bottom"/>
            <w:tcBorders>
              <w:top w:val="single" w:sz="8" w:color="auto"/>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&lt; 80%</w:t>
            </w:r>
          </w:p>
        </w:tc>
        <w:tc>
          <w:tcPr>
            <w:tcW w:w="2000" w:type="dxa"/>
            <w:vAlign w:val="bottom"/>
            <w:tcBorders>
              <w:top w:val="single" w:sz="8" w:color="auto"/>
              <w:right w:val="single" w:sz="8" w:color="auto"/>
            </w:tcBorders>
          </w:tcPr>
          <w:p>
            <w:pPr>
              <w:jc w:val="right"/>
              <w:ind w:right="741"/>
              <w:spacing w:after="0"/>
              <w:rPr>
                <w:sz w:val="20"/>
                <w:szCs w:val="20"/>
                <w:color w:val="auto"/>
              </w:rPr>
            </w:pPr>
            <w:r>
              <w:rPr>
                <w:rFonts w:ascii="Times New Roman" w:cs="Times New Roman" w:eastAsia="Times New Roman" w:hAnsi="Times New Roman"/>
                <w:sz w:val="20"/>
                <w:szCs w:val="20"/>
                <w:color w:val="auto"/>
              </w:rPr>
              <w:t>80%</w:t>
            </w:r>
          </w:p>
        </w:tc>
        <w:tc>
          <w:tcPr>
            <w:tcW w:w="1900" w:type="dxa"/>
            <w:vAlign w:val="bottom"/>
            <w:tcBorders>
              <w:top w:val="single" w:sz="8" w:color="auto"/>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100%</w:t>
            </w:r>
          </w:p>
        </w:tc>
        <w:tc>
          <w:tcPr>
            <w:tcW w:w="1980" w:type="dxa"/>
            <w:vAlign w:val="bottom"/>
            <w:tcBorders>
              <w:top w:val="single" w:sz="8" w:color="auto"/>
              <w:right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color w:val="auto"/>
              </w:rPr>
              <w:t>120%</w:t>
            </w:r>
          </w:p>
        </w:tc>
      </w:tr>
      <w:tr>
        <w:trPr>
          <w:trHeight w:val="183"/>
        </w:trPr>
        <w:tc>
          <w:tcPr>
            <w:tcW w:w="2080" w:type="dxa"/>
            <w:vAlign w:val="bottom"/>
            <w:tcBorders>
              <w:left w:val="single" w:sz="8" w:color="auto"/>
              <w:bottom w:val="single" w:sz="8" w:color="auto"/>
              <w:right w:val="single" w:sz="8" w:color="auto"/>
            </w:tcBorders>
          </w:tcPr>
          <w:p>
            <w:pPr>
              <w:spacing w:after="0"/>
              <w:rPr>
                <w:sz w:val="15"/>
                <w:szCs w:val="15"/>
                <w:color w:val="auto"/>
              </w:rPr>
            </w:pPr>
          </w:p>
        </w:tc>
        <w:tc>
          <w:tcPr>
            <w:tcW w:w="198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1980" w:type="dxa"/>
            <w:vAlign w:val="bottom"/>
            <w:tcBorders>
              <w:bottom w:val="single" w:sz="8" w:color="auto"/>
              <w:right w:val="single" w:sz="8" w:color="auto"/>
            </w:tcBorders>
          </w:tcPr>
          <w:p>
            <w:pPr>
              <w:spacing w:after="0"/>
              <w:rPr>
                <w:sz w:val="15"/>
                <w:szCs w:val="15"/>
                <w:color w:val="auto"/>
              </w:rPr>
            </w:pPr>
          </w:p>
        </w:tc>
      </w:tr>
      <w:tr>
        <w:trPr>
          <w:trHeight w:val="256"/>
        </w:trPr>
        <w:tc>
          <w:tcPr>
            <w:tcW w:w="20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 of Target Payout</w:t>
            </w:r>
          </w:p>
        </w:tc>
        <w:tc>
          <w:tcPr>
            <w:tcW w:w="1980" w:type="dxa"/>
            <w:vAlign w:val="bottom"/>
            <w:tcBorders>
              <w:right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rPr>
              <w:t>0%</w:t>
            </w:r>
          </w:p>
        </w:tc>
        <w:tc>
          <w:tcPr>
            <w:tcW w:w="2000" w:type="dxa"/>
            <w:vAlign w:val="bottom"/>
            <w:tcBorders>
              <w:right w:val="single" w:sz="8" w:color="auto"/>
            </w:tcBorders>
          </w:tcPr>
          <w:p>
            <w:pPr>
              <w:jc w:val="right"/>
              <w:ind w:right="741"/>
              <w:spacing w:after="0"/>
              <w:rPr>
                <w:sz w:val="20"/>
                <w:szCs w:val="20"/>
                <w:color w:val="auto"/>
              </w:rPr>
            </w:pPr>
            <w:r>
              <w:rPr>
                <w:rFonts w:ascii="Times New Roman" w:cs="Times New Roman" w:eastAsia="Times New Roman" w:hAnsi="Times New Roman"/>
                <w:sz w:val="20"/>
                <w:szCs w:val="20"/>
                <w:color w:val="auto"/>
              </w:rPr>
              <w:t>50%</w:t>
            </w:r>
          </w:p>
        </w:tc>
        <w:tc>
          <w:tcPr>
            <w:tcW w:w="1900" w:type="dxa"/>
            <w:vAlign w:val="bottom"/>
            <w:tcBorders>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100%</w:t>
            </w:r>
          </w:p>
        </w:tc>
        <w:tc>
          <w:tcPr>
            <w:tcW w:w="1980" w:type="dxa"/>
            <w:vAlign w:val="bottom"/>
            <w:tcBorders>
              <w:right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color w:val="auto"/>
              </w:rPr>
              <w:t>150%</w:t>
            </w:r>
          </w:p>
        </w:tc>
      </w:tr>
      <w:tr>
        <w:trPr>
          <w:trHeight w:val="183"/>
        </w:trPr>
        <w:tc>
          <w:tcPr>
            <w:tcW w:w="2080" w:type="dxa"/>
            <w:vAlign w:val="bottom"/>
            <w:tcBorders>
              <w:left w:val="single" w:sz="8" w:color="auto"/>
              <w:bottom w:val="single" w:sz="8" w:color="auto"/>
              <w:right w:val="single" w:sz="8" w:color="auto"/>
            </w:tcBorders>
          </w:tcPr>
          <w:p>
            <w:pPr>
              <w:spacing w:after="0"/>
              <w:rPr>
                <w:sz w:val="15"/>
                <w:szCs w:val="15"/>
                <w:color w:val="auto"/>
              </w:rPr>
            </w:pPr>
          </w:p>
        </w:tc>
        <w:tc>
          <w:tcPr>
            <w:tcW w:w="198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1980" w:type="dxa"/>
            <w:vAlign w:val="bottom"/>
            <w:tcBorders>
              <w:bottom w:val="single" w:sz="8" w:color="auto"/>
              <w:right w:val="single" w:sz="8" w:color="auto"/>
            </w:tcBorders>
          </w:tcPr>
          <w:p>
            <w:pPr>
              <w:spacing w:after="0"/>
              <w:rPr>
                <w:sz w:val="15"/>
                <w:szCs w:val="15"/>
                <w:color w:val="auto"/>
              </w:rPr>
            </w:pPr>
          </w:p>
        </w:tc>
      </w:tr>
    </w:tbl>
    <w:p>
      <w:pPr>
        <w:spacing w:after="0" w:line="193"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Total Signings - 25% Weighting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Signings</w:t>
      </w:r>
      <w:r>
        <w:rPr>
          <w:rFonts w:ascii="Times New Roman" w:cs="Times New Roman" w:eastAsia="Times New Roman" w:hAnsi="Times New Roman"/>
          <w:sz w:val="20"/>
          <w:szCs w:val="20"/>
          <w:color w:val="auto"/>
        </w:rPr>
        <w:t>” means an initial estimate of the value of a customer’s commitment under a contract.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Signings</w:t>
      </w:r>
      <w:r>
        <w:rPr>
          <w:rFonts w:ascii="Times New Roman" w:cs="Times New Roman" w:eastAsia="Times New Roman" w:hAnsi="Times New Roman"/>
          <w:sz w:val="20"/>
          <w:szCs w:val="20"/>
          <w:color w:val="auto"/>
        </w:rPr>
        <w:t>” means the aggregate amount of all Signings during the Performance Period.</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700" w:type="dxa"/>
            <w:vAlign w:val="bottom"/>
            <w:tcBorders>
              <w:top w:val="single" w:sz="8" w:color="auto"/>
              <w:left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20"/>
                <w:szCs w:val="20"/>
                <w:b w:val="1"/>
                <w:bCs w:val="1"/>
                <w:color w:val="auto"/>
              </w:rPr>
              <w:t>Level of</w:t>
            </w:r>
          </w:p>
        </w:tc>
        <w:tc>
          <w:tcPr>
            <w:tcW w:w="144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Below</w:t>
            </w:r>
          </w:p>
        </w:tc>
        <w:tc>
          <w:tcPr>
            <w:tcW w:w="14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Threshold</w:t>
            </w:r>
          </w:p>
        </w:tc>
        <w:tc>
          <w:tcPr>
            <w:tcW w:w="1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Target Range</w:t>
            </w:r>
          </w:p>
        </w:tc>
        <w:tc>
          <w:tcPr>
            <w:tcW w:w="128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Maximum</w:t>
            </w:r>
          </w:p>
        </w:tc>
        <w:tc>
          <w:tcPr>
            <w:tcW w:w="0" w:type="dxa"/>
            <w:vAlign w:val="bottom"/>
          </w:tcPr>
          <w:p>
            <w:pPr>
              <w:spacing w:after="0"/>
              <w:rPr>
                <w:sz w:val="1"/>
                <w:szCs w:val="1"/>
                <w:color w:val="auto"/>
              </w:rPr>
            </w:pPr>
          </w:p>
        </w:tc>
      </w:tr>
      <w:tr>
        <w:trPr>
          <w:trHeight w:val="262"/>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Achievement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Threshold</w:t>
            </w:r>
          </w:p>
        </w:tc>
        <w:tc>
          <w:tcPr>
            <w:tcW w:w="1460" w:type="dxa"/>
            <w:vAlign w:val="bottom"/>
            <w:tcBorders>
              <w:righ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tcBorders>
              <w:left w:val="single" w:sz="8" w:color="auto"/>
              <w:right w:val="single" w:sz="8" w:color="auto"/>
            </w:tcBorders>
          </w:tcPr>
          <w:p>
            <w:pPr>
              <w:ind w:left="160"/>
              <w:spacing w:after="0" w:line="196" w:lineRule="exact"/>
              <w:rPr>
                <w:sz w:val="20"/>
                <w:szCs w:val="20"/>
                <w:color w:val="auto"/>
              </w:rPr>
            </w:pPr>
            <w:r>
              <w:rPr>
                <w:rFonts w:ascii="Times New Roman" w:cs="Times New Roman" w:eastAsia="Times New Roman" w:hAnsi="Times New Roman"/>
                <w:sz w:val="20"/>
                <w:szCs w:val="20"/>
                <w:b w:val="1"/>
                <w:bCs w:val="1"/>
                <w:color w:val="auto"/>
              </w:rPr>
              <w:t>Goal</w:t>
            </w:r>
          </w:p>
        </w:tc>
        <w:tc>
          <w:tcPr>
            <w:tcW w:w="1440" w:type="dxa"/>
            <w:vAlign w:val="bottom"/>
            <w:tcBorders>
              <w:right w:val="single" w:sz="8" w:color="auto"/>
            </w:tcBorders>
            <w:vMerge w:val="restart"/>
          </w:tcPr>
          <w:p>
            <w:pPr>
              <w:jc w:val="right"/>
              <w:ind w:right="381"/>
              <w:spacing w:after="0"/>
              <w:rPr>
                <w:sz w:val="20"/>
                <w:szCs w:val="20"/>
                <w:color w:val="auto"/>
              </w:rPr>
            </w:pPr>
            <w:r>
              <w:rPr>
                <w:rFonts w:ascii="Times New Roman" w:cs="Times New Roman" w:eastAsia="Times New Roman" w:hAnsi="Times New Roman"/>
                <w:sz w:val="20"/>
                <w:szCs w:val="20"/>
                <w:color w:val="auto"/>
              </w:rPr>
              <w:t>&lt; 80%</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80%</w:t>
            </w:r>
          </w:p>
        </w:tc>
        <w:tc>
          <w:tcPr>
            <w:tcW w:w="1280" w:type="dxa"/>
            <w:vAlign w:val="bottom"/>
            <w:tcBorders>
              <w:right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20"/>
                <w:szCs w:val="20"/>
                <w:color w:val="auto"/>
              </w:rPr>
              <w:t>98%</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280" w:type="dxa"/>
            <w:vAlign w:val="bottom"/>
            <w:tcBorders>
              <w:right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20"/>
                <w:szCs w:val="20"/>
                <w:color w:val="auto"/>
              </w:rPr>
              <w:t>102%</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120%</w:t>
            </w:r>
          </w:p>
        </w:tc>
        <w:tc>
          <w:tcPr>
            <w:tcW w:w="0" w:type="dxa"/>
            <w:vAlign w:val="bottom"/>
          </w:tcPr>
          <w:p>
            <w:pPr>
              <w:spacing w:after="0"/>
              <w:rPr>
                <w:sz w:val="1"/>
                <w:szCs w:val="1"/>
                <w:color w:val="auto"/>
              </w:rPr>
            </w:pPr>
          </w:p>
        </w:tc>
      </w:tr>
      <w:tr>
        <w:trPr>
          <w:trHeight w:val="141"/>
        </w:trPr>
        <w:tc>
          <w:tcPr>
            <w:tcW w:w="17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Attainment %</w:t>
            </w:r>
          </w:p>
        </w:tc>
        <w:tc>
          <w:tcPr>
            <w:tcW w:w="144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00" w:type="dxa"/>
            <w:vAlign w:val="bottom"/>
            <w:tcBorders>
              <w:left w:val="single" w:sz="8" w:color="auto"/>
              <w:right w:val="single" w:sz="8" w:color="auto"/>
            </w:tcBorders>
            <w:vMerge w:val="continue"/>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tcBorders>
              <w:left w:val="single" w:sz="8" w:color="auto"/>
              <w:right w:val="single" w:sz="8" w:color="auto"/>
            </w:tcBorders>
          </w:tcPr>
          <w:p>
            <w:pPr>
              <w:ind w:left="160"/>
              <w:spacing w:after="0" w:line="196" w:lineRule="exact"/>
              <w:rPr>
                <w:sz w:val="20"/>
                <w:szCs w:val="20"/>
                <w:color w:val="auto"/>
              </w:rPr>
            </w:pPr>
            <w:r>
              <w:rPr>
                <w:rFonts w:ascii="Times New Roman" w:cs="Times New Roman" w:eastAsia="Times New Roman" w:hAnsi="Times New Roman"/>
                <w:sz w:val="20"/>
                <w:szCs w:val="20"/>
                <w:b w:val="1"/>
                <w:bCs w:val="1"/>
                <w:color w:val="auto"/>
              </w:rPr>
              <w:t>% of Target</w:t>
            </w:r>
          </w:p>
        </w:tc>
        <w:tc>
          <w:tcPr>
            <w:tcW w:w="1440" w:type="dxa"/>
            <w:vAlign w:val="bottom"/>
            <w:tcBorders>
              <w:right w:val="single" w:sz="8" w:color="auto"/>
            </w:tcBorders>
            <w:vMerge w:val="restart"/>
          </w:tcPr>
          <w:p>
            <w:pPr>
              <w:jc w:val="right"/>
              <w:ind w:right="501"/>
              <w:spacing w:after="0"/>
              <w:rPr>
                <w:sz w:val="20"/>
                <w:szCs w:val="20"/>
                <w:color w:val="auto"/>
              </w:rPr>
            </w:pPr>
            <w:r>
              <w:rPr>
                <w:rFonts w:ascii="Times New Roman" w:cs="Times New Roman" w:eastAsia="Times New Roman" w:hAnsi="Times New Roman"/>
                <w:sz w:val="20"/>
                <w:szCs w:val="20"/>
                <w:color w:val="auto"/>
              </w:rPr>
              <w:t>0%</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c>
          <w:tcPr>
            <w:tcW w:w="1280" w:type="dxa"/>
            <w:vAlign w:val="bottom"/>
            <w:tcBorders>
              <w:right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20"/>
                <w:szCs w:val="20"/>
                <w:color w:val="auto"/>
              </w:rPr>
              <w:t>100%</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280" w:type="dxa"/>
            <w:vAlign w:val="bottom"/>
            <w:tcBorders>
              <w:right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20"/>
                <w:szCs w:val="20"/>
                <w:color w:val="auto"/>
              </w:rPr>
              <w:t>100%</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150%</w:t>
            </w:r>
          </w:p>
        </w:tc>
        <w:tc>
          <w:tcPr>
            <w:tcW w:w="0" w:type="dxa"/>
            <w:vAlign w:val="bottom"/>
          </w:tcPr>
          <w:p>
            <w:pPr>
              <w:spacing w:after="0"/>
              <w:rPr>
                <w:sz w:val="1"/>
                <w:szCs w:val="1"/>
                <w:color w:val="auto"/>
              </w:rPr>
            </w:pPr>
          </w:p>
        </w:tc>
      </w:tr>
      <w:tr>
        <w:trPr>
          <w:trHeight w:val="141"/>
        </w:trPr>
        <w:tc>
          <w:tcPr>
            <w:tcW w:w="17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Payout</w:t>
            </w:r>
          </w:p>
        </w:tc>
        <w:tc>
          <w:tcPr>
            <w:tcW w:w="144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00" w:type="dxa"/>
            <w:vAlign w:val="bottom"/>
            <w:tcBorders>
              <w:left w:val="single" w:sz="8" w:color="auto"/>
              <w:right w:val="single" w:sz="8" w:color="auto"/>
            </w:tcBorders>
            <w:vMerge w:val="continue"/>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Relative Total Shareholder Return - 25% Weighting</w:t>
      </w:r>
    </w:p>
    <w:p>
      <w:pPr>
        <w:spacing w:after="0" w:line="21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A portion of the PSUs awarded to you are eligible to be earned based on the percentile rank of Kyndryl’s total shareholder relative to the comparison group of companies (the “</w:t>
      </w:r>
      <w:r>
        <w:rPr>
          <w:rFonts w:ascii="Times New Roman" w:cs="Times New Roman" w:eastAsia="Times New Roman" w:hAnsi="Times New Roman"/>
          <w:sz w:val="20"/>
          <w:szCs w:val="20"/>
          <w:u w:val="single" w:color="auto"/>
          <w:color w:val="auto"/>
        </w:rPr>
        <w:t>Peer Group</w:t>
      </w:r>
      <w:r>
        <w:rPr>
          <w:rFonts w:ascii="Times New Roman" w:cs="Times New Roman" w:eastAsia="Times New Roman" w:hAnsi="Times New Roman"/>
          <w:sz w:val="20"/>
          <w:szCs w:val="20"/>
          <w:color w:val="auto"/>
        </w:rPr>
        <w:t>,” and each member thereof, a “</w:t>
      </w:r>
      <w:r>
        <w:rPr>
          <w:rFonts w:ascii="Times New Roman" w:cs="Times New Roman" w:eastAsia="Times New Roman" w:hAnsi="Times New Roman"/>
          <w:sz w:val="20"/>
          <w:szCs w:val="20"/>
          <w:u w:val="single" w:color="auto"/>
          <w:color w:val="auto"/>
        </w:rPr>
        <w:t>Peer Company</w:t>
      </w:r>
      <w:r>
        <w:rPr>
          <w:rFonts w:ascii="Times New Roman" w:cs="Times New Roman" w:eastAsia="Times New Roman" w:hAnsi="Times New Roman"/>
          <w:sz w:val="20"/>
          <w:szCs w:val="20"/>
          <w:color w:val="auto"/>
        </w:rPr>
        <w:t>” and such percentile rank, “</w:t>
      </w:r>
      <w:r>
        <w:rPr>
          <w:rFonts w:ascii="Times New Roman" w:cs="Times New Roman" w:eastAsia="Times New Roman" w:hAnsi="Times New Roman"/>
          <w:sz w:val="20"/>
          <w:szCs w:val="20"/>
          <w:u w:val="single" w:color="auto"/>
          <w:color w:val="auto"/>
        </w:rPr>
        <w:t>Relative TSR</w:t>
      </w:r>
      <w:r>
        <w:rPr>
          <w:rFonts w:ascii="Times New Roman" w:cs="Times New Roman" w:eastAsia="Times New Roman" w:hAnsi="Times New Roman"/>
          <w:sz w:val="20"/>
          <w:szCs w:val="20"/>
          <w:color w:val="auto"/>
        </w:rPr>
        <w:t>”). For purposes of determining Relative TSR, the Peer Group will consist of the constituents of the S&amp;P 400 Mid-Cap Index as of April 1, 2022, provided that a constituent company that ceases to be a member of the S&amp;P Mid-Cap Index after April 1, 2022 will cease to be a member of the Peer Group.</w:t>
      </w:r>
    </w:p>
    <w:p>
      <w:pPr>
        <w:spacing w:after="0" w:line="185"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The number of PSUs that shall be eligible to vest based on the achievement of Relative TSR (as defined below) is set forth in the table below.</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060" w:type="dxa"/>
            <w:vAlign w:val="bottom"/>
            <w:tcBorders>
              <w:top w:val="single" w:sz="8" w:color="auto"/>
              <w:left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20"/>
                <w:szCs w:val="20"/>
                <w:b w:val="1"/>
                <w:bCs w:val="1"/>
                <w:color w:val="auto"/>
              </w:rPr>
              <w:t>Level of</w:t>
            </w:r>
          </w:p>
        </w:tc>
        <w:tc>
          <w:tcPr>
            <w:tcW w:w="198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Below Threshold</w:t>
            </w:r>
          </w:p>
        </w:tc>
        <w:tc>
          <w:tcPr>
            <w:tcW w:w="19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Threshold</w:t>
            </w:r>
          </w:p>
        </w:tc>
        <w:tc>
          <w:tcPr>
            <w:tcW w:w="19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3"/>
              </w:rPr>
              <w:t>Target</w:t>
            </w:r>
          </w:p>
        </w:tc>
        <w:tc>
          <w:tcPr>
            <w:tcW w:w="198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Maximum</w:t>
            </w:r>
          </w:p>
        </w:tc>
        <w:tc>
          <w:tcPr>
            <w:tcW w:w="0" w:type="dxa"/>
            <w:vAlign w:val="bottom"/>
          </w:tcPr>
          <w:p>
            <w:pPr>
              <w:spacing w:after="0"/>
              <w:rPr>
                <w:sz w:val="1"/>
                <w:szCs w:val="1"/>
                <w:color w:val="auto"/>
              </w:rPr>
            </w:pPr>
          </w:p>
        </w:tc>
      </w:tr>
      <w:tr>
        <w:trPr>
          <w:trHeight w:val="262"/>
        </w:trPr>
        <w:tc>
          <w:tcPr>
            <w:tcW w:w="20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Achievement</w:t>
            </w:r>
          </w:p>
        </w:tc>
        <w:tc>
          <w:tcPr>
            <w:tcW w:w="1980" w:type="dxa"/>
            <w:vAlign w:val="bottom"/>
            <w:tcBorders>
              <w:right w:val="single" w:sz="8" w:color="auto"/>
            </w:tcBorders>
          </w:tcPr>
          <w:p>
            <w:pPr>
              <w:spacing w:after="0"/>
              <w:rPr>
                <w:sz w:val="22"/>
                <w:szCs w:val="22"/>
                <w:color w:val="auto"/>
              </w:rPr>
            </w:pPr>
          </w:p>
        </w:tc>
        <w:tc>
          <w:tcPr>
            <w:tcW w:w="1960" w:type="dxa"/>
            <w:vAlign w:val="bottom"/>
            <w:tcBorders>
              <w:right w:val="single" w:sz="8" w:color="auto"/>
            </w:tcBorders>
          </w:tcPr>
          <w:p>
            <w:pPr>
              <w:spacing w:after="0"/>
              <w:rPr>
                <w:sz w:val="22"/>
                <w:szCs w:val="22"/>
                <w:color w:val="auto"/>
              </w:rPr>
            </w:pPr>
          </w:p>
        </w:tc>
        <w:tc>
          <w:tcPr>
            <w:tcW w:w="196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Borders>
              <w:left w:val="single" w:sz="8" w:color="auto"/>
              <w:right w:val="single" w:sz="8" w:color="auto"/>
            </w:tcBorders>
          </w:tcPr>
          <w:p>
            <w:pPr>
              <w:ind w:left="160"/>
              <w:spacing w:after="0" w:line="196" w:lineRule="exact"/>
              <w:rPr>
                <w:sz w:val="20"/>
                <w:szCs w:val="20"/>
                <w:color w:val="auto"/>
              </w:rPr>
            </w:pPr>
            <w:r>
              <w:rPr>
                <w:rFonts w:ascii="Times New Roman" w:cs="Times New Roman" w:eastAsia="Times New Roman" w:hAnsi="Times New Roman"/>
                <w:sz w:val="20"/>
                <w:szCs w:val="20"/>
                <w:b w:val="1"/>
                <w:bCs w:val="1"/>
                <w:color w:val="auto"/>
              </w:rPr>
              <w:t>Goal Attainment</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&lt; 25</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20"/>
                <w:szCs w:val="20"/>
                <w:color w:val="auto"/>
                <w:w w:val="97"/>
              </w:rPr>
              <w:t xml:space="preserve"> percentile</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25</w:t>
            </w:r>
            <w:r>
              <w:rPr>
                <w:rFonts w:ascii="Times New Roman" w:cs="Times New Roman" w:eastAsia="Times New Roman" w:hAnsi="Times New Roman"/>
                <w:sz w:val="29"/>
                <w:szCs w:val="29"/>
                <w:color w:val="auto"/>
                <w:w w:val="95"/>
                <w:vertAlign w:val="superscript"/>
              </w:rPr>
              <w:t>th</w:t>
            </w:r>
            <w:r>
              <w:rPr>
                <w:rFonts w:ascii="Times New Roman" w:cs="Times New Roman" w:eastAsia="Times New Roman" w:hAnsi="Times New Roman"/>
                <w:sz w:val="20"/>
                <w:szCs w:val="20"/>
                <w:color w:val="auto"/>
                <w:w w:val="95"/>
              </w:rPr>
              <w:t xml:space="preserve"> percentile</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50</w:t>
            </w:r>
            <w:r>
              <w:rPr>
                <w:rFonts w:ascii="Times New Roman" w:cs="Times New Roman" w:eastAsia="Times New Roman" w:hAnsi="Times New Roman"/>
                <w:sz w:val="29"/>
                <w:szCs w:val="29"/>
                <w:color w:val="auto"/>
                <w:w w:val="95"/>
                <w:vertAlign w:val="superscript"/>
              </w:rPr>
              <w:t>th</w:t>
            </w:r>
            <w:r>
              <w:rPr>
                <w:rFonts w:ascii="Times New Roman" w:cs="Times New Roman" w:eastAsia="Times New Roman" w:hAnsi="Times New Roman"/>
                <w:sz w:val="20"/>
                <w:szCs w:val="20"/>
                <w:color w:val="auto"/>
                <w:w w:val="95"/>
              </w:rPr>
              <w:t xml:space="preserve"> percentile</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90</w:t>
            </w:r>
            <w:r>
              <w:rPr>
                <w:rFonts w:ascii="Times New Roman" w:cs="Times New Roman" w:eastAsia="Times New Roman" w:hAnsi="Times New Roman"/>
                <w:sz w:val="29"/>
                <w:szCs w:val="29"/>
                <w:color w:val="auto"/>
                <w:w w:val="95"/>
                <w:vertAlign w:val="superscript"/>
              </w:rPr>
              <w:t>th</w:t>
            </w:r>
            <w:r>
              <w:rPr>
                <w:rFonts w:ascii="Times New Roman" w:cs="Times New Roman" w:eastAsia="Times New Roman" w:hAnsi="Times New Roman"/>
                <w:sz w:val="20"/>
                <w:szCs w:val="20"/>
                <w:color w:val="auto"/>
                <w:w w:val="95"/>
              </w:rPr>
              <w:t xml:space="preserve"> percentile</w:t>
            </w:r>
          </w:p>
        </w:tc>
        <w:tc>
          <w:tcPr>
            <w:tcW w:w="0" w:type="dxa"/>
            <w:vAlign w:val="bottom"/>
          </w:tcPr>
          <w:p>
            <w:pPr>
              <w:spacing w:after="0"/>
              <w:rPr>
                <w:sz w:val="1"/>
                <w:szCs w:val="1"/>
                <w:color w:val="auto"/>
              </w:rPr>
            </w:pPr>
          </w:p>
        </w:tc>
      </w:tr>
      <w:tr>
        <w:trPr>
          <w:trHeight w:val="202"/>
        </w:trPr>
        <w:tc>
          <w:tcPr>
            <w:tcW w:w="20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Percentile</w:t>
            </w:r>
          </w:p>
        </w:tc>
        <w:tc>
          <w:tcPr>
            <w:tcW w:w="1980" w:type="dxa"/>
            <w:vAlign w:val="bottom"/>
            <w:tcBorders>
              <w:right w:val="single" w:sz="8" w:color="auto"/>
            </w:tcBorders>
            <w:vMerge w:val="continue"/>
          </w:tcPr>
          <w:p>
            <w:pPr>
              <w:spacing w:after="0"/>
              <w:rPr>
                <w:sz w:val="17"/>
                <w:szCs w:val="17"/>
                <w:color w:val="auto"/>
              </w:rPr>
            </w:pPr>
          </w:p>
        </w:tc>
        <w:tc>
          <w:tcPr>
            <w:tcW w:w="1960" w:type="dxa"/>
            <w:vAlign w:val="bottom"/>
            <w:tcBorders>
              <w:right w:val="single" w:sz="8" w:color="auto"/>
            </w:tcBorders>
            <w:vMerge w:val="continue"/>
          </w:tcPr>
          <w:p>
            <w:pPr>
              <w:spacing w:after="0"/>
              <w:rPr>
                <w:sz w:val="17"/>
                <w:szCs w:val="17"/>
                <w:color w:val="auto"/>
              </w:rPr>
            </w:pPr>
          </w:p>
        </w:tc>
        <w:tc>
          <w:tcPr>
            <w:tcW w:w="1960" w:type="dxa"/>
            <w:vAlign w:val="bottom"/>
            <w:tcBorders>
              <w:right w:val="single" w:sz="8" w:color="auto"/>
            </w:tcBorders>
            <w:vMerge w:val="continue"/>
          </w:tcPr>
          <w:p>
            <w:pPr>
              <w:spacing w:after="0"/>
              <w:rPr>
                <w:sz w:val="17"/>
                <w:szCs w:val="17"/>
                <w:color w:val="auto"/>
              </w:rPr>
            </w:pPr>
          </w:p>
        </w:tc>
        <w:tc>
          <w:tcPr>
            <w:tcW w:w="19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060" w:type="dxa"/>
            <w:vAlign w:val="bottom"/>
            <w:tcBorders>
              <w:left w:val="single" w:sz="8" w:color="auto"/>
              <w:right w:val="single" w:sz="8" w:color="auto"/>
            </w:tcBorders>
            <w:vMerge w:val="continue"/>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 of Target Payout</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183"/>
        </w:trPr>
        <w:tc>
          <w:tcPr>
            <w:tcW w:w="2060" w:type="dxa"/>
            <w:vAlign w:val="bottom"/>
            <w:tcBorders>
              <w:left w:val="single" w:sz="8" w:color="auto"/>
              <w:bottom w:val="single" w:sz="8" w:color="auto"/>
              <w:right w:val="single" w:sz="8" w:color="auto"/>
            </w:tcBorders>
          </w:tcPr>
          <w:p>
            <w:pPr>
              <w:spacing w:after="0"/>
              <w:rPr>
                <w:sz w:val="15"/>
                <w:szCs w:val="15"/>
                <w:color w:val="auto"/>
              </w:rPr>
            </w:pPr>
          </w:p>
        </w:tc>
        <w:tc>
          <w:tcPr>
            <w:tcW w:w="198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19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Each Peer Company’s total shareholder return (“</w:t>
      </w:r>
      <w:r>
        <w:rPr>
          <w:rFonts w:ascii="Times New Roman" w:cs="Times New Roman" w:eastAsia="Times New Roman" w:hAnsi="Times New Roman"/>
          <w:sz w:val="20"/>
          <w:szCs w:val="20"/>
          <w:u w:val="single" w:color="auto"/>
          <w:color w:val="auto"/>
        </w:rPr>
        <w:t>TSR</w:t>
      </w:r>
      <w:r>
        <w:rPr>
          <w:rFonts w:ascii="Times New Roman" w:cs="Times New Roman" w:eastAsia="Times New Roman" w:hAnsi="Times New Roman"/>
          <w:sz w:val="20"/>
          <w:szCs w:val="20"/>
          <w:color w:val="auto"/>
        </w:rPr>
        <w:t>”) will be measured over the Performance Period using the following equation: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Page 2 of 4</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1" w:right="979" w:bottom="1440" w:gutter="0" w:footer="0" w:header="0"/>
        </w:sectPr>
      </w:pPr>
    </w:p>
    <w:bookmarkStart w:id="50" w:name="page51"/>
    <w:bookmarkEnd w:id="50"/>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2591435</wp:posOffset>
            </wp:positionH>
            <wp:positionV relativeFrom="page">
              <wp:posOffset>328930</wp:posOffset>
            </wp:positionV>
            <wp:extent cx="2366010" cy="488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2366010" cy="488950"/>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Adjusted End Price</w:t>
      </w:r>
      <w:r>
        <w:rPr>
          <w:rFonts w:ascii="Times New Roman" w:cs="Times New Roman" w:eastAsia="Times New Roman" w:hAnsi="Times New Roman"/>
          <w:sz w:val="20"/>
          <w:szCs w:val="20"/>
          <w:color w:val="auto"/>
        </w:rPr>
        <w:t>” means the average closing stock price of the five trading days ending on the last day of the Performance Period. Dividends are assumed to be reinvested in additional shares of the issuing entity’s stock as of the ex-dividend date.</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Start Price</w:t>
      </w:r>
      <w:r>
        <w:rPr>
          <w:rFonts w:ascii="Times New Roman" w:cs="Times New Roman" w:eastAsia="Times New Roman" w:hAnsi="Times New Roman"/>
          <w:sz w:val="20"/>
          <w:szCs w:val="20"/>
          <w:color w:val="auto"/>
        </w:rPr>
        <w:t>” means the average closing stock price of the five trading days ending on the first day of the Performance Period.</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At the end of the Performance Period, the TSR of each Peer Company (excluding Kyndryl) will be ranked from highest to lowest, with the Peer Company with the highest TSR being assigned the rank of one. The percentile rank of the Peer Company with the TSR closest to, but greater than, Kyndryl’s TSR and the Peer Company with the TSR closest to, but less than, Kyndryl’s TSR will be calculated using the equation below, where </w:t>
      </w:r>
      <w:r>
        <w:rPr>
          <w:rFonts w:ascii="Times New Roman" w:cs="Times New Roman" w:eastAsia="Times New Roman" w:hAnsi="Times New Roman"/>
          <w:sz w:val="20"/>
          <w:szCs w:val="20"/>
          <w:i w:val="1"/>
          <w:iCs w:val="1"/>
          <w:color w:val="auto"/>
        </w:rPr>
        <w:t>N</w:t>
      </w:r>
      <w:r>
        <w:rPr>
          <w:rFonts w:ascii="Times New Roman" w:cs="Times New Roman" w:eastAsia="Times New Roman" w:hAnsi="Times New Roman"/>
          <w:sz w:val="20"/>
          <w:szCs w:val="20"/>
          <w:color w:val="auto"/>
        </w:rPr>
        <w:t xml:space="preserve"> is the total number of Peer Companies, excluding Kyndryl, and </w:t>
      </w:r>
      <w:r>
        <w:rPr>
          <w:rFonts w:ascii="Times New Roman" w:cs="Times New Roman" w:eastAsia="Times New Roman" w:hAnsi="Times New Roman"/>
          <w:sz w:val="20"/>
          <w:szCs w:val="20"/>
          <w:i w:val="1"/>
          <w:iCs w:val="1"/>
          <w:color w:val="auto"/>
        </w:rPr>
        <w:t>R</w:t>
      </w:r>
      <w:r>
        <w:rPr>
          <w:rFonts w:ascii="Times New Roman" w:cs="Times New Roman" w:eastAsia="Times New Roman" w:hAnsi="Times New Roman"/>
          <w:sz w:val="20"/>
          <w:szCs w:val="20"/>
          <w:color w:val="auto"/>
        </w:rPr>
        <w:t xml:space="preserve"> is a Peer Company’s ranking within the comparison group, excluding Kyndryl: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-4445</wp:posOffset>
            </wp:positionV>
            <wp:extent cx="2228850" cy="4883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22288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 xml:space="preserve">The percentile rank of Kyndryl’s TSR against the comparison group will be calculated using the equation below, where </w:t>
      </w:r>
      <w:r>
        <w:rPr>
          <w:rFonts w:ascii="Times New Roman" w:cs="Times New Roman" w:eastAsia="Times New Roman" w:hAnsi="Times New Roman"/>
          <w:sz w:val="20"/>
          <w:szCs w:val="20"/>
          <w:i w:val="1"/>
          <w:iCs w:val="1"/>
          <w:color w:val="auto"/>
        </w:rPr>
        <w:t>P</w:t>
      </w:r>
      <w:r>
        <w:rPr>
          <w:rFonts w:ascii="Times New Roman" w:cs="Times New Roman" w:eastAsia="Times New Roman" w:hAnsi="Times New Roman"/>
          <w:sz w:val="29"/>
          <w:szCs w:val="29"/>
          <w:color w:val="auto"/>
          <w:vertAlign w:val="subscript"/>
        </w:rPr>
        <w:t>KD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TSR</w:t>
      </w:r>
      <w:r>
        <w:rPr>
          <w:rFonts w:ascii="Times New Roman" w:cs="Times New Roman" w:eastAsia="Times New Roman" w:hAnsi="Times New Roman"/>
          <w:sz w:val="29"/>
          <w:szCs w:val="29"/>
          <w:color w:val="auto"/>
          <w:vertAlign w:val="subscript"/>
        </w:rPr>
        <w:t>KD</w:t>
      </w:r>
      <w:r>
        <w:rPr>
          <w:rFonts w:ascii="Times New Roman" w:cs="Times New Roman" w:eastAsia="Times New Roman" w:hAnsi="Times New Roman"/>
          <w:sz w:val="20"/>
          <w:szCs w:val="20"/>
          <w:color w:val="auto"/>
        </w:rPr>
        <w:t xml:space="preserve"> equal Kyndryl’s percentile rank and TSR, respectively; </w:t>
      </w:r>
      <w:r>
        <w:rPr>
          <w:rFonts w:ascii="Times New Roman" w:cs="Times New Roman" w:eastAsia="Times New Roman" w:hAnsi="Times New Roman"/>
          <w:sz w:val="20"/>
          <w:szCs w:val="20"/>
          <w:i w:val="1"/>
          <w:iCs w:val="1"/>
          <w:color w:val="auto"/>
        </w:rPr>
        <w:t>P</w:t>
      </w:r>
      <w:r>
        <w:rPr>
          <w:rFonts w:ascii="Times New Roman" w:cs="Times New Roman" w:eastAsia="Times New Roman" w:hAnsi="Times New Roman"/>
          <w:sz w:val="29"/>
          <w:szCs w:val="29"/>
          <w:i w:val="1"/>
          <w:iCs w:val="1"/>
          <w:color w:val="auto"/>
          <w:vertAlign w:val="subscript"/>
        </w:rPr>
        <w:t>above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TSR</w:t>
      </w:r>
      <w:r>
        <w:rPr>
          <w:rFonts w:ascii="Times New Roman" w:cs="Times New Roman" w:eastAsia="Times New Roman" w:hAnsi="Times New Roman"/>
          <w:sz w:val="29"/>
          <w:szCs w:val="29"/>
          <w:i w:val="1"/>
          <w:iCs w:val="1"/>
          <w:color w:val="auto"/>
          <w:vertAlign w:val="subscript"/>
        </w:rPr>
        <w:t>above</w:t>
      </w:r>
      <w:r>
        <w:rPr>
          <w:rFonts w:ascii="Times New Roman" w:cs="Times New Roman" w:eastAsia="Times New Roman" w:hAnsi="Times New Roman"/>
          <w:sz w:val="20"/>
          <w:szCs w:val="20"/>
          <w:color w:val="auto"/>
        </w:rPr>
        <w:t xml:space="preserve"> equal the percentile rank and TSR, respectively, for the Peer Company whose TSR ranks immediately above Kyndryl; and </w:t>
      </w:r>
      <w:r>
        <w:rPr>
          <w:rFonts w:ascii="Times New Roman" w:cs="Times New Roman" w:eastAsia="Times New Roman" w:hAnsi="Times New Roman"/>
          <w:sz w:val="20"/>
          <w:szCs w:val="20"/>
          <w:i w:val="1"/>
          <w:iCs w:val="1"/>
          <w:color w:val="auto"/>
        </w:rPr>
        <w:t>P</w:t>
      </w:r>
      <w:r>
        <w:rPr>
          <w:rFonts w:ascii="Times New Roman" w:cs="Times New Roman" w:eastAsia="Times New Roman" w:hAnsi="Times New Roman"/>
          <w:sz w:val="29"/>
          <w:szCs w:val="29"/>
          <w:i w:val="1"/>
          <w:iCs w:val="1"/>
          <w:color w:val="auto"/>
          <w:vertAlign w:val="subscript"/>
        </w:rPr>
        <w:t>below</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TSR</w:t>
      </w:r>
      <w:r>
        <w:rPr>
          <w:rFonts w:ascii="Times New Roman" w:cs="Times New Roman" w:eastAsia="Times New Roman" w:hAnsi="Times New Roman"/>
          <w:sz w:val="29"/>
          <w:szCs w:val="29"/>
          <w:i w:val="1"/>
          <w:iCs w:val="1"/>
          <w:color w:val="auto"/>
          <w:vertAlign w:val="subscript"/>
        </w:rPr>
        <w:t>below</w:t>
      </w:r>
      <w:r>
        <w:rPr>
          <w:rFonts w:ascii="Times New Roman" w:cs="Times New Roman" w:eastAsia="Times New Roman" w:hAnsi="Times New Roman"/>
          <w:sz w:val="20"/>
          <w:szCs w:val="20"/>
          <w:color w:val="auto"/>
        </w:rPr>
        <w:t xml:space="preserve"> equal the percentile rank and TSR, respectively, for the Peer Company whose TSR ranks immediately below Kyndryl.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133985</wp:posOffset>
            </wp:positionV>
            <wp:extent cx="3291840" cy="3257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32918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If Kyndryl’s TSR is greater than the TSR of the Peer Company that ranked first within the comparison group, Kyndryl’s TSR will be positioned at the 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percentile. Similarly, if Kyndryl’s TSR is less than the TSR of the Peer Company that ranked last within the comparison group, Kyndryl’s TSR will be positioned at the 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percentile.</w:t>
      </w:r>
    </w:p>
    <w:p>
      <w:pPr>
        <w:spacing w:after="0" w:line="4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Notwithstanding the foregoing, if Kyndryl’s TSR at the end of the Performance Period is negative, the “% of Target Payout” in respect of Relative TSR will be capped at 100%.</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 member of the Peer Group will be removed if: (i) during the Performance Period, the constituent company makes a public disclosure of its intent or agreement to enter into a merger or sale with another company, after which the constituent company will no longer be listed on a securities exchange; or (ii) it is not listed on a securities exchange for the entire Performance Period; provided, that a company that becomes subject to a proceeding as a debtor under the U.S. Bankruptcy Code during the Performance Period will be included with TSR equal to -100%.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Adjustments to Performance Criteria</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Adjustments to the performance criteria will be determined by the Committee in accordance with the established adjustment policy, which includes (among others):</w:t>
      </w:r>
    </w:p>
    <w:p>
      <w:pPr>
        <w:spacing w:after="0" w:line="15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Currency impacts – predetermined financial results are updated to remove the impact from currency movements;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3 of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78" w:right="999" w:bottom="1440" w:gutter="0" w:footer="0" w:header="0"/>
        </w:sectPr>
      </w:pPr>
    </w:p>
    <w:bookmarkStart w:id="51" w:name="page52"/>
    <w:bookmarkEnd w:id="51"/>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Unplanned acquisitions or divestitures;</w:t>
      </w:r>
    </w:p>
    <w:p>
      <w:pPr>
        <w:spacing w:after="0" w:line="21" w:lineRule="exact"/>
        <w:rPr>
          <w:rFonts w:ascii="Times New Roman" w:cs="Times New Roman" w:eastAsia="Times New Roman" w:hAnsi="Times New Roman"/>
          <w:sz w:val="18"/>
          <w:szCs w:val="18"/>
          <w:color w:val="auto"/>
        </w:rPr>
      </w:pPr>
    </w:p>
    <w:p>
      <w:pPr>
        <w:ind w:left="660" w:hanging="328"/>
        <w:spacing w:after="0" w:line="239"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Novation – loss of non-novated contracts over the 12- to 15-month period following the commencement of the Performance Period;</w:t>
      </w:r>
    </w:p>
    <w:p>
      <w:pPr>
        <w:jc w:val="both"/>
        <w:ind w:left="660" w:hanging="328"/>
        <w:spacing w:after="0" w:line="239"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Special items as disclosed in Kyndryl’s public financial reporting, including but not limited to, gains/losses on divestitures or asset sales, effect of changes in accounting principles, tax law, or other laws or provisions affecting reported results;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Material changes to commercial agreements driven by a change in IBM strategy; or</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Cash usage associated with the deployment of any long-term incentive cash-deferred plans.</w:t>
      </w:r>
    </w:p>
    <w:p>
      <w:pPr>
        <w:spacing w:after="0" w:line="19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Committee shall have the discretion to determine whether, when and to what extent an adjustment is necessary or advisable based upon consideration of such factors the Committee deems appropriate in light of the facts and circumstances.</w:t>
      </w:r>
    </w:p>
    <w:p>
      <w:pPr>
        <w:spacing w:after="0" w:line="13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Notwithstanding the foregoing, no adjustments will be made to performance criteria due to planned acquisitions or divestitures or customer terminations or loss of scope (excluding loss of non-novated contracts).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4 of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81"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J. Schroeter, certify that:</w:t>
      </w:r>
    </w:p>
    <w:p>
      <w:pPr>
        <w:spacing w:after="0" w:line="225"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380" w:right="160" w:hanging="2"/>
        <w:spacing w:after="0" w:line="266" w:lineRule="auto"/>
        <w:tabs>
          <w:tab w:leader="none" w:pos="56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6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Wyshner, certify that:</w:t>
      </w:r>
    </w:p>
    <w:p>
      <w:pPr>
        <w:spacing w:after="0" w:line="225"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380" w:right="160" w:hanging="2"/>
        <w:spacing w:after="0" w:line="266" w:lineRule="auto"/>
        <w:tabs>
          <w:tab w:leader="none" w:pos="56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7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6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September 30, 2022,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September 30, 2022,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upperLetter"/>
      <w:start w:val="9"/>
    </w:lvl>
  </w:abstractNum>
  <w:abstractNum w:abstractNumId="23">
    <w:nsid w:val="71F32454"/>
    <w:multiLevelType w:val="hybridMultilevel"/>
    <w:lvl w:ilvl="0">
      <w:lvlJc w:val="left"/>
      <w:lvlText w:val="%1."/>
      <w:numFmt w:val="upperLetter"/>
      <w:start w:val="35"/>
    </w:lvl>
  </w:abstractNum>
  <w:abstractNum w:abstractNumId="24">
    <w:nsid w:val="2CA88611"/>
    <w:multiLevelType w:val="hybridMultilevel"/>
    <w:lvl w:ilvl="0">
      <w:lvlJc w:val="left"/>
      <w:lvlText w:val="%1."/>
      <w:numFmt w:val="upperLetter"/>
      <w:start w:val="6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jpeg"/><Relationship Id="rId96" Type="http://schemas.openxmlformats.org/officeDocument/2006/relationships/image" Target="media/image84.jpeg"/><Relationship Id="rId97" Type="http://schemas.openxmlformats.org/officeDocument/2006/relationships/image" Target="media/image85.jpe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81" Type="http://schemas.openxmlformats.org/officeDocument/2006/relationships/hyperlink" Target="https://www.sec.gov/Archives/edgar/data/1867072/000110465921134456/tm2131654d1_ex2-1.htm" TargetMode="External"/><Relationship Id="rId82" Type="http://schemas.openxmlformats.org/officeDocument/2006/relationships/hyperlink" Target="https://www.sec.gov/Archives/edgar/data/1867072/000110465921134456/tm2131654d1_ex3-1.htm" TargetMode="External"/><Relationship Id="rId83" Type="http://schemas.openxmlformats.org/officeDocument/2006/relationships/hyperlink" Target="https://www.sec.gov/Archives/edgar/data/1867072/000110465921134456/tm2131654d1_ex3-2.htm" TargetMode="External"/><Relationship Id="rId84" Type="http://schemas.openxmlformats.org/officeDocument/2006/relationships/hyperlink" Target="https://www.sec.gov/Archives/edgar/data/1867072/000110465922084325/tm2222020d1_ex4-3.htm" TargetMode="External"/><Relationship Id="rId85" Type="http://schemas.openxmlformats.org/officeDocument/2006/relationships/hyperlink" Target="https://www.sec.gov/Archives/edgar/data/1867072/000110465922084380/tm2222002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2022-11-04T15:57:31Z</dcterms:created>
  <dcterms:modified xsi:type="dcterms:W3CDTF">2022-11-04T15:57:31Z</dcterms:modified>
</cp:coreProperties>
</file>