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d-20250630x10q.htm"/>
        <w:bookmarkStart w:id="1" w:name="kskd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0d6ae015_7a9c_4655_8036_ae60fa82e9a5"/>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kGgkt8R14UaQhhh2lYJRZA_6_2"/>
      <w:bookmarkStart w:id="4" w:name="Tc_WCWmHj2a8Ui5WHhq_DOF2A_6_0"/>
      <w:bookmarkStart w:id="5" w:name="Tc_KA8uPdGTEE6W__iCvr03MQ_5_0"/>
      <w:bookmarkStart w:id="6" w:name="Tc_6vUfFtMLxkeBRKODmIcgzw_2_2"/>
      <w:bookmarkStart w:id="7" w:name="Tc_qX7kUXFsWUaSNX5mWwVvxw_2_0"/>
      <w:bookmarkStart w:id="8" w:name="_4a02b725_aae4_48a3_b51e_b6751091d035"/>
      <w:bookmarkStart w:id="9" w:name="Tc_kGgkt8R14UaQhhh2lYJRZA_6_2"/>
      <w:bookmarkStart w:id="10" w:name="Tc_WCWmHj2a8Ui5WHhq_DOF2A_6_0"/>
      <w:bookmarkStart w:id="11" w:name="Tc_KA8uPdGTEE6W__iCvr03MQ_5_0"/>
      <w:bookmarkStart w:id="12" w:name="Tc_6vUfFtMLxkeBRKODmIcgzw_2_2"/>
      <w:bookmarkStart w:id="13" w:name="Tc_qX7kUXFsWUaSNX5mWwVvxw_2_0"/>
      <w:bookmarkStart w:id="14" w:name="_4a02b725_aae4_48a3_b51e_b6751091d035"/>
      <w:bookmarkEnd w:id="9"/>
      <w:bookmarkEnd w:id="10"/>
      <w:bookmarkEnd w:id="11"/>
      <w:bookmarkEnd w:id="12"/>
      <w:bookmarkEnd w:id="13"/>
      <w:bookmarkEnd w:id="14"/>
    </w:p>
    <w:tbl>
      <w:tblPr>
        <w:tblW w:w="7453" w:type="dxa"/>
        <w:jc w:val="left"/>
        <w:tblInd w:w="0" w:type="dxa"/>
        <w:tblLayout w:type="fixed"/>
        <w:tblCellMar>
          <w:top w:w="0" w:type="dxa"/>
          <w:left w:w="0" w:type="dxa"/>
          <w:bottom w:w="0" w:type="dxa"/>
          <w:right w:w="0" w:type="dxa"/>
        </w:tblCellMar>
      </w:tblPr>
      <w:tblGrid>
        <w:gridCol w:w="4321"/>
        <w:gridCol w:w="326"/>
        <w:gridCol w:w="28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855-596-3795</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MoWaQMWsck-5RbrTYJUHog_0_4"/>
      <w:bookmarkStart w:id="16" w:name="Tc_KN2nLBWfukq5k6pv4gxjuQ_0_2"/>
      <w:bookmarkStart w:id="17" w:name="Tc_jSEe7Y_LGkenqoBJXqfNcw_0_0"/>
      <w:bookmarkStart w:id="18" w:name="_0da8eeab_f593_4d14_a62c_1c49a09957ef"/>
      <w:bookmarkStart w:id="19" w:name="Tc_MoWaQMWsck-5RbrTYJUHog_0_4"/>
      <w:bookmarkStart w:id="20" w:name="Tc_KN2nLBWfukq5k6pv4gxjuQ_0_2"/>
      <w:bookmarkStart w:id="21" w:name="Tc_jSEe7Y_LGkenqoBJXqfNcw_0_0"/>
      <w:bookmarkStart w:id="22" w:name="_0da8eeab_f593_4d14_a62c_1c49a09957ef"/>
      <w:bookmarkEnd w:id="19"/>
      <w:bookmarkEnd w:id="20"/>
      <w:bookmarkEnd w:id="21"/>
      <w:bookmarkEnd w:id="22"/>
    </w:p>
    <w:tbl>
      <w:tblPr>
        <w:tblW w:w="7255" w:type="dxa"/>
        <w:jc w:val="left"/>
        <w:tblInd w:w="0" w:type="dxa"/>
        <w:tblLayout w:type="fixed"/>
        <w:tblCellMar>
          <w:top w:w="0" w:type="dxa"/>
          <w:left w:w="0" w:type="dxa"/>
          <w:bottom w:w="30" w:type="dxa"/>
          <w:right w:w="0" w:type="dxa"/>
        </w:tblCellMar>
      </w:tblPr>
      <w:tblGrid>
        <w:gridCol w:w="3076"/>
        <w:gridCol w:w="326"/>
        <w:gridCol w:w="1426"/>
        <w:gridCol w:w="326"/>
        <w:gridCol w:w="2101"/>
      </w:tblGrid>
      <w:tr>
        <w:trP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92" w:type="dxa"/>
        <w:jc w:val="left"/>
        <w:tblInd w:w="0" w:type="dxa"/>
        <w:tblLayout w:type="fixed"/>
        <w:tblCellMar>
          <w:top w:w="0" w:type="dxa"/>
          <w:left w:w="0" w:type="dxa"/>
          <w:bottom w:w="0" w:type="dxa"/>
          <w:right w:w="0" w:type="dxa"/>
        </w:tblCellMar>
      </w:tblPr>
      <w:tblGrid>
        <w:gridCol w:w="1936"/>
        <w:gridCol w:w="2356"/>
      </w:tblGrid>
      <w:tr>
        <w:trPr/>
        <w:tc>
          <w:tcPr>
            <w:tcW w:w="193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18"/>
              </w:rPr>
              <w:t>Large accelerated filer  </w:t>
            </w:r>
            <w:r>
              <w:rPr>
                <w:rFonts w:ascii="Times New Roman;Times;serif" w:hAnsi="Times New Roman;Times;serif"/>
                <w:sz w:val="20"/>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9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at July 29, 2025 was 231,143,968.</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TOC"/>
      <w:bookmarkStart w:id="24" w:name="_cc846878_02c1_4fa4_b742_06a1b3d5d952"/>
      <w:bookmarkEnd w:id="23"/>
      <w:bookmarkEnd w:id="24"/>
      <w:r>
        <w:rPr>
          <w:rFonts w:ascii="Times New Roman;Times;serif" w:hAnsi="Times New Roman;Times;serif"/>
          <w:b/>
          <w:sz w:val="20"/>
        </w:rPr>
        <w:t>Index</w:t>
      </w:r>
    </w:p>
    <w:tbl>
      <w:tblPr>
        <w:tblW w:w="9497" w:type="dxa"/>
        <w:jc w:val="left"/>
        <w:tblInd w:w="0" w:type="dxa"/>
        <w:tblLayout w:type="fixed"/>
        <w:tblCellMar>
          <w:top w:w="0" w:type="dxa"/>
          <w:left w:w="0" w:type="dxa"/>
          <w:bottom w:w="0" w:type="dxa"/>
          <w:right w:w="0" w:type="dxa"/>
        </w:tblCellMar>
      </w:tblPr>
      <w:tblGrid>
        <w:gridCol w:w="8986"/>
        <w:gridCol w:w="511"/>
      </w:tblGrid>
      <w:tr>
        <w:trPr/>
        <w:tc>
          <w:tcPr>
            <w:tcW w:w="8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706110" cy="175260"/>
                      <wp:effectExtent l="0" t="0" r="0" b="0"/>
                      <wp:wrapNone/>
                      <wp:docPr id="4" name="Frame4"/>
                      <a:graphic xmlns:a="http://schemas.openxmlformats.org/drawingml/2006/main">
                        <a:graphicData uri="http://schemas.microsoft.com/office/word/2010/wordprocessingShape">
                          <wps:wsp>
                            <wps:cNvSpPr txBox="1"/>
                            <wps:spPr>
                              <a:xfrm>
                                <a:off x="0" y="0"/>
                                <a:ext cx="570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986" w:type="dxa"/>
            <w:tcBorders/>
            <w:vAlign w:val="center"/>
          </w:tcPr>
          <w:p>
            <w:pPr>
              <w:pStyle w:val="TableContents"/>
              <w:bidi w:val="0"/>
              <w:spacing w:before="0" w:after="0"/>
              <w:ind w:left="0" w:right="0" w:hanging="0"/>
              <w:jc w:val="left"/>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MBINEDINCOMESTATEMENT_709357">
              <w:r>
                <w:rPr>
                  <w:rStyle w:val="InternetLink"/>
                  <w:rFonts w:ascii="Times New Roman;Times;serif" w:hAnsi="Times New Roman;Times;serif"/>
                  <w:b w:val="false"/>
                  <w:i w:val="false"/>
                  <w:caps w:val="false"/>
                  <w:smallCaps w:val="false"/>
                  <w:sz w:val="20"/>
                </w:rPr>
                <w:t>Consolidated Income Statement for the three months ended June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months ended June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98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NSOLIDATEDBALANCESHEET_346457">
              <w:r>
                <w:rPr>
                  <w:rStyle w:val="InternetLink"/>
                  <w:rFonts w:ascii="Times New Roman;Times;serif" w:hAnsi="Times New Roman;Times;serif"/>
                  <w:b w:val="false"/>
                  <w:i w:val="false"/>
                  <w:caps w:val="false"/>
                  <w:smallCaps w:val="false"/>
                  <w:sz w:val="20"/>
                </w:rPr>
                <w:t>Consolidated Balance Sheet at June 30, 2025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Cash_Flows">
              <w:r>
                <w:rPr>
                  <w:rStyle w:val="InternetLink"/>
                  <w:rFonts w:ascii="Times New Roman;Times;serif" w:hAnsi="Times New Roman;Times;serif"/>
                  <w:b w:val="false"/>
                  <w:i w:val="false"/>
                  <w:caps w:val="false"/>
                  <w:smallCaps w:val="false"/>
                  <w:sz w:val="20"/>
                </w:rPr>
                <w:t>Consolidated Statement of Cash Flows for the three months ended June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 of Equity for the three months ended June 30, 2025 and 2024</w:t>
              </w:r>
            </w:hyperlink>
            <w:r>
              <w:rPr>
                <w:rFonts w:ascii="Times New Roman;Times;serif" w:hAnsi="Times New Roman;Times;serif"/>
                <w:sz w:val="20"/>
              </w:rPr>
              <w:t xml:space="preserve">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25" w:name="PartIFinancialInformation_874614"/>
      <w:bookmarkStart w:id="26" w:name="Item1ConsolidatedFinancialStatements_746"/>
      <w:bookmarkStart w:id="27" w:name="_53650e5a_eabb_43ce_9243_f7bd6df38a63"/>
      <w:bookmarkEnd w:id="25"/>
      <w:bookmarkEnd w:id="26"/>
      <w:bookmarkEnd w:id="27"/>
      <w:r>
        <w:rPr>
          <w:rFonts w:ascii="Times New Roman;Times;serif" w:hAnsi="Times New Roman;Times;serif"/>
          <w:b/>
          <w:sz w:val="20"/>
        </w:rPr>
        <w:t>Part I</w:t>
      </w:r>
      <w:r>
        <w:rPr>
          <w:rFonts w:ascii="Times New Roman;Times;serif" w:hAnsi="Times New Roman;Times;serif"/>
          <w:sz w:val="20"/>
        </w:rPr>
        <w:t xml:space="preserve"> </w:t>
      </w:r>
      <w:r>
        <w:rPr>
          <w:rFonts w:ascii="Times New Roman;Times;serif" w:hAnsi="Times New Roman;Times;serif"/>
          <w:b/>
          <w:sz w:val="20"/>
        </w:rPr>
        <w:t>-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Tc_gk5DVhEGd0CGNSu7rBJilg_21_0"/>
      <w:bookmarkStart w:id="31" w:name="Tc_ILqKw-Gpk0qW-4tjkhk1PA_20_0"/>
      <w:bookmarkStart w:id="32" w:name="Tc__Z82QHrmiUeWs-STo-K5SQ_18_5"/>
      <w:bookmarkStart w:id="33" w:name="Tc_rSBUepTP4UycsmoBeeRq7g_18_2"/>
      <w:bookmarkStart w:id="34" w:name="Tc_QxFZQGPV7E-67PMZnxoJ3Q_18_0"/>
      <w:bookmarkStart w:id="35" w:name="Tc_wJB_EiCa_U6QvNJxSURs2w_17_5"/>
      <w:bookmarkStart w:id="36" w:name="Tc_waBYXu0fp0GhImT77dwkmw_17_2"/>
      <w:bookmarkStart w:id="37" w:name="Tc_hunrr--9V0i2Ekz6FsYjJw_17_0"/>
      <w:bookmarkStart w:id="38" w:name="Tc_6jeMnwzEtEKjrsK8didPHQ_15_5"/>
      <w:bookmarkStart w:id="39" w:name="Tc_dh5aZmE-qkGlYuyDx1uMuw_15_2"/>
      <w:bookmarkStart w:id="40" w:name="Tc_iXpHSj8S70KcZB6kLbBNrA_15_0"/>
      <w:bookmarkStart w:id="41" w:name="Tc_GXzswIqlTEGrXwbGbfumLw_14_5"/>
      <w:bookmarkStart w:id="42" w:name="Tc_zxZOfyJkJki_xiadeF31zw_14_2"/>
      <w:bookmarkStart w:id="43" w:name="Tc_4bfbrWWN50eTCjXq8Gr64g_14_0"/>
      <w:bookmarkStart w:id="44" w:name="Tc_79-8TikMakm9s8JtzWnB2g_13_5"/>
      <w:bookmarkStart w:id="45" w:name="Tc_ACKN6JR8DkqTbbwP159VVQ_13_2"/>
      <w:bookmarkStart w:id="46" w:name="Tc_RJ9LgX_6MkGc8rKb5DJ9nA_13_0"/>
      <w:bookmarkStart w:id="47" w:name="Tc_n-WUvly5a0ixrxCeu74UtA_11_5"/>
      <w:bookmarkStart w:id="48" w:name="Tc_JernzZ6O0U2lAGRhWKm6cg_11_2"/>
      <w:bookmarkStart w:id="49" w:name="Tc_ry8h3gCAXk6OZNi25stHdQ_11_0"/>
      <w:bookmarkStart w:id="50" w:name="Tc_iTtwAChn30eObdydgox-IA_10_6"/>
      <w:bookmarkStart w:id="51" w:name="Tc_NOTKr4q1_kCLhXQ3UBwIsA_10_0"/>
      <w:bookmarkStart w:id="52" w:name="Tc_F4qoBv3QUUmx9EvEyDdAzA_9_0"/>
      <w:bookmarkStart w:id="53" w:name="Tc_XrXFBxNNv0K8moJftVWa8Q_8_3"/>
      <w:bookmarkStart w:id="54" w:name="Tc_vU27mfwkMkGJEafcIkXwUA_8_0"/>
      <w:bookmarkStart w:id="55" w:name="Tc_BJal4AdIpEKJsNPIMx0P5g_7_0"/>
      <w:bookmarkStart w:id="56" w:name="Tc_5N98HSv7M060LhG9l3i_fQ_6_0"/>
      <w:bookmarkStart w:id="57" w:name="Tc_putyjk_4t02et-y1kLIVog_5_5"/>
      <w:bookmarkStart w:id="58" w:name="Tc_A73WAjEsBEan_84M3oHDOA_5_2"/>
      <w:bookmarkStart w:id="59" w:name="Tc_zEmpLI8qQUKtaxU7_Q7zxg_5_0"/>
      <w:bookmarkStart w:id="60" w:name="Tc_abeX7BuQB0awRyeGbPZugQ_3_5"/>
      <w:bookmarkStart w:id="61" w:name="Tc_EcPpFhbgl0i4o9NZmeL0Cg_3_2"/>
      <w:bookmarkStart w:id="62" w:name="Tc_HnNjrXOijECqEH1G0HpQ5g_3_0"/>
      <w:bookmarkStart w:id="63" w:name="Tc_ii-Pm-vWeE2I96LukYUqcg_2_5"/>
      <w:bookmarkStart w:id="64" w:name="Tc_n5f4Ns-FDEmO2WHhPmcoOw_2_2"/>
      <w:bookmarkStart w:id="65" w:name="Tc_BM0--fcGzEinv4KG4-ml6Q_1_2"/>
      <w:bookmarkStart w:id="66" w:name="_c443ebeb_d135_46b7_af73_8728d7f26085"/>
      <w:bookmarkStart w:id="67" w:name="Tc_gk5DVhEGd0CGNSu7rBJilg_21_0"/>
      <w:bookmarkStart w:id="68" w:name="Tc_ILqKw-Gpk0qW-4tjkhk1PA_20_0"/>
      <w:bookmarkStart w:id="69" w:name="Tc__Z82QHrmiUeWs-STo-K5SQ_18_5"/>
      <w:bookmarkStart w:id="70" w:name="Tc_rSBUepTP4UycsmoBeeRq7g_18_2"/>
      <w:bookmarkStart w:id="71" w:name="Tc_QxFZQGPV7E-67PMZnxoJ3Q_18_0"/>
      <w:bookmarkStart w:id="72" w:name="Tc_wJB_EiCa_U6QvNJxSURs2w_17_5"/>
      <w:bookmarkStart w:id="73" w:name="Tc_waBYXu0fp0GhImT77dwkmw_17_2"/>
      <w:bookmarkStart w:id="74" w:name="Tc_hunrr--9V0i2Ekz6FsYjJw_17_0"/>
      <w:bookmarkStart w:id="75" w:name="Tc_6jeMnwzEtEKjrsK8didPHQ_15_5"/>
      <w:bookmarkStart w:id="76" w:name="Tc_dh5aZmE-qkGlYuyDx1uMuw_15_2"/>
      <w:bookmarkStart w:id="77" w:name="Tc_iXpHSj8S70KcZB6kLbBNrA_15_0"/>
      <w:bookmarkStart w:id="78" w:name="Tc_GXzswIqlTEGrXwbGbfumLw_14_5"/>
      <w:bookmarkStart w:id="79" w:name="Tc_zxZOfyJkJki_xiadeF31zw_14_2"/>
      <w:bookmarkStart w:id="80" w:name="Tc_4bfbrWWN50eTCjXq8Gr64g_14_0"/>
      <w:bookmarkStart w:id="81" w:name="Tc_79-8TikMakm9s8JtzWnB2g_13_5"/>
      <w:bookmarkStart w:id="82" w:name="Tc_ACKN6JR8DkqTbbwP159VVQ_13_2"/>
      <w:bookmarkStart w:id="83" w:name="Tc_RJ9LgX_6MkGc8rKb5DJ9nA_13_0"/>
      <w:bookmarkStart w:id="84" w:name="Tc_n-WUvly5a0ixrxCeu74UtA_11_5"/>
      <w:bookmarkStart w:id="85" w:name="Tc_JernzZ6O0U2lAGRhWKm6cg_11_2"/>
      <w:bookmarkStart w:id="86" w:name="Tc_ry8h3gCAXk6OZNi25stHdQ_11_0"/>
      <w:bookmarkStart w:id="87" w:name="Tc_iTtwAChn30eObdydgox-IA_10_6"/>
      <w:bookmarkStart w:id="88" w:name="Tc_NOTKr4q1_kCLhXQ3UBwIsA_10_0"/>
      <w:bookmarkStart w:id="89" w:name="Tc_F4qoBv3QUUmx9EvEyDdAzA_9_0"/>
      <w:bookmarkStart w:id="90" w:name="Tc_XrXFBxNNv0K8moJftVWa8Q_8_3"/>
      <w:bookmarkStart w:id="91" w:name="Tc_vU27mfwkMkGJEafcIkXwUA_8_0"/>
      <w:bookmarkStart w:id="92" w:name="Tc_BJal4AdIpEKJsNPIMx0P5g_7_0"/>
      <w:bookmarkStart w:id="93" w:name="Tc_5N98HSv7M060LhG9l3i_fQ_6_0"/>
      <w:bookmarkStart w:id="94" w:name="Tc_putyjk_4t02et-y1kLIVog_5_5"/>
      <w:bookmarkStart w:id="95" w:name="Tc_A73WAjEsBEan_84M3oHDOA_5_2"/>
      <w:bookmarkStart w:id="96" w:name="Tc_zEmpLI8qQUKtaxU7_Q7zxg_5_0"/>
      <w:bookmarkStart w:id="97" w:name="Tc_abeX7BuQB0awRyeGbPZugQ_3_5"/>
      <w:bookmarkStart w:id="98" w:name="Tc_EcPpFhbgl0i4o9NZmeL0Cg_3_2"/>
      <w:bookmarkStart w:id="99" w:name="Tc_HnNjrXOijECqEH1G0HpQ5g_3_0"/>
      <w:bookmarkStart w:id="100" w:name="Tc_ii-Pm-vWeE2I96LukYUqcg_2_5"/>
      <w:bookmarkStart w:id="101" w:name="Tc_n5f4Ns-FDEmO2WHhPmcoOw_2_2"/>
      <w:bookmarkStart w:id="102" w:name="Tc_BM0--fcGzEinv4KG4-ml6Q_1_2"/>
      <w:bookmarkStart w:id="103" w:name="_c443ebeb_d135_46b7_af73_8728d7f2608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tbl>
      <w:tblPr>
        <w:tblW w:w="6476" w:type="dxa"/>
        <w:jc w:val="left"/>
        <w:tblInd w:w="0" w:type="dxa"/>
        <w:tblLayout w:type="fixed"/>
        <w:tblCellMar>
          <w:top w:w="0" w:type="dxa"/>
          <w:left w:w="0" w:type="dxa"/>
          <w:bottom w:w="0" w:type="dxa"/>
          <w:right w:w="0" w:type="dxa"/>
        </w:tblCellMar>
      </w:tblPr>
      <w:tblGrid>
        <w:gridCol w:w="3796"/>
        <w:gridCol w:w="326"/>
        <w:gridCol w:w="242"/>
        <w:gridCol w:w="656"/>
        <w:gridCol w:w="374"/>
        <w:gridCol w:w="294"/>
        <w:gridCol w:w="788"/>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53670" cy="175260"/>
                      <wp:effectExtent l="0" t="0" r="0" b="0"/>
                      <wp:wrapNone/>
                      <wp:docPr id="8" name="Frame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16560" cy="175260"/>
                      <wp:effectExtent l="0" t="0" r="0" b="0"/>
                      <wp:wrapNone/>
                      <wp:docPr id="9" name="Frame9"/>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7490" cy="175260"/>
                      <wp:effectExtent l="0" t="0" r="0" b="0"/>
                      <wp:wrapNone/>
                      <wp:docPr id="10" name="Frame1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6690" cy="175260"/>
                      <wp:effectExtent l="0" t="0" r="0" b="0"/>
                      <wp:wrapNone/>
                      <wp:docPr id="11" name="Frame11"/>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0380" cy="175260"/>
                      <wp:effectExtent l="0" t="0" r="0" b="0"/>
                      <wp:wrapNone/>
                      <wp:docPr id="12" name="Frame12"/>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4"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74"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74"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c>
          <w:tcPr>
            <w:tcW w:w="374"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74"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235.8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4" w:name="_f6f98540_8fb2_40a1_b1c5_24be3da161cc"/>
      <w:bookmarkEnd w:id="104"/>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05" w:name="COMBINEDSTATEMENTOFCOMPREHENSIVEINCOME_3"/>
      <w:bookmarkStart w:id="106" w:name="INDEXOCI"/>
      <w:bookmarkEnd w:id="105"/>
      <w:bookmarkEnd w:id="106"/>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7" w:name="Tc_cD5MD6Pb_U6AAUL-ta_xdQ_17_5"/>
      <w:bookmarkStart w:id="108" w:name="Tc_QTmMfMgWBk-o-e0t1toeFg_17_2"/>
      <w:bookmarkStart w:id="109" w:name="Tc_t5iVQOdk906Me3u0LYWL0A_17_0"/>
      <w:bookmarkStart w:id="110" w:name="Tc_erL2sQCTN0WxfcIqRpthvg_16_0"/>
      <w:bookmarkStart w:id="111" w:name="Tc_Neos3GH76kWmjQuXFac1Hg_15_3"/>
      <w:bookmarkStart w:id="112" w:name="Tc_EL_CXByogEqvoRly9RZMiA_15_0"/>
      <w:bookmarkStart w:id="113" w:name="Tc_a_5rCvmKdk6Oh7kCoaUwug_14_0"/>
      <w:bookmarkStart w:id="114" w:name="Tc_gaoodBKItU2BILMf6oqexA_13_0"/>
      <w:bookmarkStart w:id="115" w:name="Tc_7bZOm4OaA0uyYyHTDKRX4A_12_0"/>
      <w:bookmarkStart w:id="116" w:name="Tc_P9dumT52S0KQP1pjw6wi4g_11_6"/>
      <w:bookmarkStart w:id="117" w:name="Tc_eFDwb-F-PUiC00pcK7Vxyw_11_0"/>
      <w:bookmarkStart w:id="118" w:name="Tc_gIYvGN3VkEK9GpoQPOcQdw_10_0"/>
      <w:bookmarkStart w:id="119" w:name="Tc_iUverjLiJkqxsPRaG7H_bQ_9_0"/>
      <w:bookmarkStart w:id="120" w:name="Tc_FWyER6AAP0e8GJjsifHl6A_8_0"/>
      <w:bookmarkStart w:id="121" w:name="Tc_tneJcIFaxUyx5Lhft9LsDQ_7_0"/>
      <w:bookmarkStart w:id="122" w:name="Tc_6PRX9maKc0qLdMLSKeKGKw_6_0"/>
      <w:bookmarkStart w:id="123" w:name="Tc_VHMXmxe-iU2nPN-ZsOXZXg_5_0"/>
      <w:bookmarkStart w:id="124" w:name="Tc_oVy56l8J7kGWrpCt9sIi6g_4_0"/>
      <w:bookmarkStart w:id="125" w:name="Tc_igZ2bbF750WPrRTBVtflIw_3_5"/>
      <w:bookmarkStart w:id="126" w:name="Tc_tAWYQb-tlEahO7oYmIvKcg_3_2"/>
      <w:bookmarkStart w:id="127" w:name="Tc_zDV3XlXS1UK3b29JNVdiDA_3_0"/>
      <w:bookmarkStart w:id="128" w:name="Tc_L-i_JYENFkia3SAdLSyW1Q_2_5"/>
      <w:bookmarkStart w:id="129" w:name="Tc_T8TuZVzl2UeZ6HkpcP2nyg_2_2"/>
      <w:bookmarkStart w:id="130" w:name="Tc_e9G4_zQOy0WBOLoEkRjSXQ_1_2"/>
      <w:bookmarkStart w:id="131" w:name="_243a285c_ff28_4e14_ae6f_650582907f46"/>
      <w:bookmarkStart w:id="132" w:name="Tc_cD5MD6Pb_U6AAUL-ta_xdQ_17_5"/>
      <w:bookmarkStart w:id="133" w:name="Tc_QTmMfMgWBk-o-e0t1toeFg_17_2"/>
      <w:bookmarkStart w:id="134" w:name="Tc_t5iVQOdk906Me3u0LYWL0A_17_0"/>
      <w:bookmarkStart w:id="135" w:name="Tc_erL2sQCTN0WxfcIqRpthvg_16_0"/>
      <w:bookmarkStart w:id="136" w:name="Tc_Neos3GH76kWmjQuXFac1Hg_15_3"/>
      <w:bookmarkStart w:id="137" w:name="Tc_EL_CXByogEqvoRly9RZMiA_15_0"/>
      <w:bookmarkStart w:id="138" w:name="Tc_a_5rCvmKdk6Oh7kCoaUwug_14_0"/>
      <w:bookmarkStart w:id="139" w:name="Tc_gaoodBKItU2BILMf6oqexA_13_0"/>
      <w:bookmarkStart w:id="140" w:name="Tc_7bZOm4OaA0uyYyHTDKRX4A_12_0"/>
      <w:bookmarkStart w:id="141" w:name="Tc_P9dumT52S0KQP1pjw6wi4g_11_6"/>
      <w:bookmarkStart w:id="142" w:name="Tc_eFDwb-F-PUiC00pcK7Vxyw_11_0"/>
      <w:bookmarkStart w:id="143" w:name="Tc_gIYvGN3VkEK9GpoQPOcQdw_10_0"/>
      <w:bookmarkStart w:id="144" w:name="Tc_iUverjLiJkqxsPRaG7H_bQ_9_0"/>
      <w:bookmarkStart w:id="145" w:name="Tc_FWyER6AAP0e8GJjsifHl6A_8_0"/>
      <w:bookmarkStart w:id="146" w:name="Tc_tneJcIFaxUyx5Lhft9LsDQ_7_0"/>
      <w:bookmarkStart w:id="147" w:name="Tc_6PRX9maKc0qLdMLSKeKGKw_6_0"/>
      <w:bookmarkStart w:id="148" w:name="Tc_VHMXmxe-iU2nPN-ZsOXZXg_5_0"/>
      <w:bookmarkStart w:id="149" w:name="Tc_oVy56l8J7kGWrpCt9sIi6g_4_0"/>
      <w:bookmarkStart w:id="150" w:name="Tc_igZ2bbF750WPrRTBVtflIw_3_5"/>
      <w:bookmarkStart w:id="151" w:name="Tc_tAWYQb-tlEahO7oYmIvKcg_3_2"/>
      <w:bookmarkStart w:id="152" w:name="Tc_zDV3XlXS1UK3b29JNVdiDA_3_0"/>
      <w:bookmarkStart w:id="153" w:name="Tc_L-i_JYENFkia3SAdLSyW1Q_2_5"/>
      <w:bookmarkStart w:id="154" w:name="Tc_T8TuZVzl2UeZ6HkpcP2nyg_2_2"/>
      <w:bookmarkStart w:id="155" w:name="Tc_e9G4_zQOy0WBOLoEkRjSXQ_1_2"/>
      <w:bookmarkStart w:id="156" w:name="_243a285c_ff28_4e14_ae6f_650582907f46"/>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W w:w="9700" w:type="dxa"/>
        <w:jc w:val="left"/>
        <w:tblInd w:w="0" w:type="dxa"/>
        <w:tblLayout w:type="fixed"/>
        <w:tblCellMar>
          <w:top w:w="0" w:type="dxa"/>
          <w:left w:w="0" w:type="dxa"/>
          <w:bottom w:w="0" w:type="dxa"/>
          <w:right w:w="0" w:type="dxa"/>
        </w:tblCellMar>
      </w:tblPr>
      <w:tblGrid>
        <w:gridCol w:w="7021"/>
        <w:gridCol w:w="326"/>
        <w:gridCol w:w="280"/>
        <w:gridCol w:w="720"/>
        <w:gridCol w:w="433"/>
        <w:gridCol w:w="280"/>
        <w:gridCol w:w="640"/>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458335" cy="175260"/>
                      <wp:effectExtent l="0" t="0" r="0" b="0"/>
                      <wp:wrapNone/>
                      <wp:docPr id="13" name="Frame13"/>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77800" cy="175260"/>
                      <wp:effectExtent l="0" t="0" r="0" b="0"/>
                      <wp:wrapNone/>
                      <wp:docPr id="15" name="Frame1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7200" cy="175260"/>
                      <wp:effectExtent l="0" t="0" r="0" b="0"/>
                      <wp:wrapNone/>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74955" cy="175260"/>
                      <wp:effectExtent l="0" t="0" r="0" b="0"/>
                      <wp:wrapNone/>
                      <wp:docPr id="17" name="Frame17"/>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77800" cy="175260"/>
                      <wp:effectExtent l="0" t="0" r="0" b="0"/>
                      <wp:wrapNone/>
                      <wp:docPr id="18" name="Frame1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06400" cy="175260"/>
                      <wp:effectExtent l="0" t="0" r="0" b="0"/>
                      <wp:wrapNone/>
                      <wp:docPr id="19" name="Frame1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70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3" w:type="dxa"/>
            <w:tcBorders/>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433"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33"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33"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33"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33"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33"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33"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7" w:name="_61fc01ff_8375_4806_966e_d96fa0b17cb7"/>
      <w:bookmarkEnd w:id="157"/>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58" w:name="CONSOLIDATEDBALANCESHEET_346457"/>
      <w:bookmarkStart w:id="159" w:name="INDEXBALSHEET"/>
      <w:bookmarkStart w:id="160" w:name="COMBINEDBALANCESHEET_463848"/>
      <w:bookmarkEnd w:id="158"/>
      <w:bookmarkEnd w:id="159"/>
      <w:bookmarkEnd w:id="160"/>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1" w:name="Tc_t7EOX9gLbk2ICVBySLhoAw_51_5"/>
      <w:bookmarkStart w:id="162" w:name="Tc_-F6FbtHBNkKd3-P5T-eLYA_51_2"/>
      <w:bookmarkStart w:id="163" w:name="Tc_1a-x3wPNiUW1BqXFjf8weQ_51_0"/>
      <w:bookmarkStart w:id="164" w:name="Tc_Sls0CbD23E6tESMcWV_6Cw_50_5"/>
      <w:bookmarkStart w:id="165" w:name="Tc_pL--iKAzpEOCZRqB3ee00g_50_2"/>
      <w:bookmarkStart w:id="166" w:name="Tc_5v0BWFkfl0iTc0TovtsikA_50_0"/>
      <w:bookmarkStart w:id="167" w:name="Tc_fsZiiI173ke9V4J0NqfoeA_49_0"/>
      <w:bookmarkStart w:id="168" w:name="Tc_h86MncLHNkSbZPvDUqJpWw_48_5"/>
      <w:bookmarkStart w:id="169" w:name="Tc_7zcE0cECLkSOWFh-EV-Ymw_48_2"/>
      <w:bookmarkStart w:id="170" w:name="Tc_5aQOfCPbW0u6ikJtvc2ZRQ_48_0"/>
      <w:bookmarkStart w:id="171" w:name="Tc_LdkD0X5brEa9l8NxGxyrRg_47_0"/>
      <w:bookmarkStart w:id="172" w:name="Tc_0wfnuleIWUm6DxqCd0o4Dw_46_0"/>
      <w:bookmarkStart w:id="173" w:name="Tc_yjyNqRMLgECux5drwXbASA_45_0"/>
      <w:bookmarkStart w:id="174" w:name="Tc_w6EwdOKRJ0a3zDoQiCjJTw_44_5"/>
      <w:bookmarkStart w:id="175" w:name="Tc_JR8hMXrg7EyY0HeCb1OOVQ_44_2"/>
      <w:bookmarkStart w:id="176" w:name="Tc_K_jfoV4jJ06O0OlDpef7Pw_44_0"/>
      <w:bookmarkStart w:id="177" w:name="Tc_0iPO6TxXMkuy-qtgbyGPtQ_43_0"/>
      <w:bookmarkStart w:id="178" w:name="Tc_iVyr3SwPmkWA_ZmVqsvxNQ_42_0"/>
      <w:bookmarkStart w:id="179" w:name="Tc_yr0xpqJ_xUSuiR9VAEC0tA_40_0"/>
      <w:bookmarkStart w:id="180" w:name="Tc_oi2uao9gZEeShdvl9rsrog_39_5"/>
      <w:bookmarkStart w:id="181" w:name="Tc_WUiVx4UBGEqA-ATX0E5BKg_39_2"/>
      <w:bookmarkStart w:id="182" w:name="Tc_KQUYUQMdgk-gXJNdy_x-lg_39_0"/>
      <w:bookmarkStart w:id="183" w:name="Tc_6ix9SXVz5kWAMZuoKc4eVw_38_0"/>
      <w:bookmarkStart w:id="184" w:name="Tc_CWiNvcbwdk2mb8DVeYA5Vg_37_0"/>
      <w:bookmarkStart w:id="185" w:name="Tc_fvR2KEo120e3c4V0OrMfcw_36_0"/>
      <w:bookmarkStart w:id="186" w:name="Tc_H8IgrVaGJE-A6eVVmmEzxg_35_0"/>
      <w:bookmarkStart w:id="187" w:name="Tc_mtM5teYXlE6FIRGPqssRtA_34_5"/>
      <w:bookmarkStart w:id="188" w:name="Tc_mX4gWqshSUy5QFP8CBL58g_34_2"/>
      <w:bookmarkStart w:id="189" w:name="Tc_6UeIDRkCaEaof1Z-KroI_A_34_0"/>
      <w:bookmarkStart w:id="190" w:name="Tc_lR2_NNKqQUCzlS1CRqTVxg_32_5"/>
      <w:bookmarkStart w:id="191" w:name="Tc_QHAqo_dYM0SwUpbydMVbOQ_32_2"/>
      <w:bookmarkStart w:id="192" w:name="Tc_uE4NhFVkr0KWRc6LKdRW6w_32_0"/>
      <w:bookmarkStart w:id="193" w:name="Tc_9VAzfb1-YUqRIFihuCo5vg_31_0"/>
      <w:bookmarkStart w:id="194" w:name="Tc_zayE_CEEPkq9JjMQbfq-vA_30_0"/>
      <w:bookmarkStart w:id="195" w:name="Tc_b9g33Iefu0mpE61r7UlLlg_29_0"/>
      <w:bookmarkStart w:id="196" w:name="Tc_-6FqLR_AbUOFFSB9xGzV9g_28_0"/>
      <w:bookmarkStart w:id="197" w:name="Tc_kKBi0Iit6EOGvX1odOcFpQ_27_0"/>
      <w:bookmarkStart w:id="198" w:name="Tc_4cXn0UBMDkixEX_aWCg1Uw_26_0"/>
      <w:bookmarkStart w:id="199" w:name="Tc_yhQarqvkpEiaX_ePq-kITw_25_0"/>
      <w:bookmarkStart w:id="200" w:name="Tc_s0NAL6ouNUKUv1veDy9lFg_24_5"/>
      <w:bookmarkStart w:id="201" w:name="Tc_x3_on5zBk0iF7tle2ccAoQ_24_2"/>
      <w:bookmarkStart w:id="202" w:name="Tc_lGNb-eVEd0S598y5_c-Pvw_24_0"/>
      <w:bookmarkStart w:id="203" w:name="Tc_V5j5soVED02gUc7bEMi8dQ_23_0"/>
      <w:bookmarkStart w:id="204" w:name="Tc_KQ3V8cTBvkmw-I6OKpf5WA_22_0"/>
      <w:bookmarkStart w:id="205" w:name="Tc_oVbq-mWbe02fPUKcbDuXzQ_20_5"/>
      <w:bookmarkStart w:id="206" w:name="Tc_-GXO3xF9dkKqsWPCoR2Vug_20_2"/>
      <w:bookmarkStart w:id="207" w:name="Tc_w-vl8hvtXkuadFAeM0652g_20_0"/>
      <w:bookmarkStart w:id="208" w:name="Tc_rnxDWZgWhkeBX5t4ncEYgw_19_0"/>
      <w:bookmarkStart w:id="209" w:name="Tc_J18oz_Hr10CnXc5HKqDeFw_18_0"/>
      <w:bookmarkStart w:id="210" w:name="Tc_R52mA6DXdEiNV3DrIHHYbQ_17_0"/>
      <w:bookmarkStart w:id="211" w:name="Tc_S2T4JFY4skCbax1XMR26lg_16_0"/>
      <w:bookmarkStart w:id="212" w:name="Tc_wrvk4QBk0kq5u1yRPMMDvA_15_0"/>
      <w:bookmarkStart w:id="213" w:name="Tc_W-fNG8GS50-Y4KLFYzpc_w_14_0"/>
      <w:bookmarkStart w:id="214" w:name="Tc_zsSzOyX82EyYgPs_2OlMAQ_13_0"/>
      <w:bookmarkStart w:id="215" w:name="Tc_73WijHo-fESxvG3-Xokwtg_12_5"/>
      <w:bookmarkStart w:id="216" w:name="Tc_m32GEP-b-0eFrFi7MbM3Uw_12_2"/>
      <w:bookmarkStart w:id="217" w:name="Tc_RAqqySr4q0y4Ch-PZ4u13Q_12_0"/>
      <w:bookmarkStart w:id="218" w:name="Tc_ZD08cDcz0kebaBnvL5Bd8Q_10_5"/>
      <w:bookmarkStart w:id="219" w:name="Tc_AycQSzBKHU2zGBoMVDtAMA_10_2"/>
      <w:bookmarkStart w:id="220" w:name="Tc_-i2YSSCenE6nERKmJHNlHQ_10_0"/>
      <w:bookmarkStart w:id="221" w:name="Tc_BhKvjEgIBEKmE47BbrQ-1w_9_0"/>
      <w:bookmarkStart w:id="222" w:name="Tc_LV817GfFF06DWtTXrTVSYQ_8_0"/>
      <w:bookmarkStart w:id="223" w:name="Tc_VKKzibXeI0aSQIaVjp28TA_7_0"/>
      <w:bookmarkStart w:id="224" w:name="Tc_ZoevEjmmDUu-_fkbvij8LA_6_0"/>
      <w:bookmarkStart w:id="225" w:name="Tc_lcYPY0nUDkOrawiNsGmhag_5_5"/>
      <w:bookmarkStart w:id="226" w:name="Tc_TLYTsdInPEiYkDhXZuH9QA_5_2"/>
      <w:bookmarkStart w:id="227" w:name="Tc_aqiBiRls60yQMXmWFYHAEQ_5_0"/>
      <w:bookmarkStart w:id="228" w:name="Tc_EZSAg-U03E-wVB_pifiYlQ_4_0"/>
      <w:bookmarkStart w:id="229" w:name="Tc_gsSCsb0wjUKCJ5TfdMSrBw_3_0"/>
      <w:bookmarkStart w:id="230" w:name="Tc_C9lpmMhWxESoqBgU3-aJFg_2_5"/>
      <w:bookmarkStart w:id="231" w:name="Tc_p-neIl5i6EyF_iQxBZnkgA_2_2"/>
      <w:bookmarkStart w:id="232" w:name="Tc_negRZrDakUW_jKba-3y8qw_1_5"/>
      <w:bookmarkStart w:id="233" w:name="Tc_8TmYv4aDE0CiuV7LJ4DZog_1_2"/>
      <w:bookmarkStart w:id="234" w:name="_b4b8c342_fcfb_430e_a9c4_94fc9617f619"/>
      <w:bookmarkStart w:id="235" w:name="Tc_t7EOX9gLbk2ICVBySLhoAw_51_5"/>
      <w:bookmarkStart w:id="236" w:name="Tc_-F6FbtHBNkKd3-P5T-eLYA_51_2"/>
      <w:bookmarkStart w:id="237" w:name="Tc_1a-x3wPNiUW1BqXFjf8weQ_51_0"/>
      <w:bookmarkStart w:id="238" w:name="Tc_Sls0CbD23E6tESMcWV_6Cw_50_5"/>
      <w:bookmarkStart w:id="239" w:name="Tc_pL--iKAzpEOCZRqB3ee00g_50_2"/>
      <w:bookmarkStart w:id="240" w:name="Tc_5v0BWFkfl0iTc0TovtsikA_50_0"/>
      <w:bookmarkStart w:id="241" w:name="Tc_fsZiiI173ke9V4J0NqfoeA_49_0"/>
      <w:bookmarkStart w:id="242" w:name="Tc_h86MncLHNkSbZPvDUqJpWw_48_5"/>
      <w:bookmarkStart w:id="243" w:name="Tc_7zcE0cECLkSOWFh-EV-Ymw_48_2"/>
      <w:bookmarkStart w:id="244" w:name="Tc_5aQOfCPbW0u6ikJtvc2ZRQ_48_0"/>
      <w:bookmarkStart w:id="245" w:name="Tc_LdkD0X5brEa9l8NxGxyrRg_47_0"/>
      <w:bookmarkStart w:id="246" w:name="Tc_0wfnuleIWUm6DxqCd0o4Dw_46_0"/>
      <w:bookmarkStart w:id="247" w:name="Tc_yjyNqRMLgECux5drwXbASA_45_0"/>
      <w:bookmarkStart w:id="248" w:name="Tc_w6EwdOKRJ0a3zDoQiCjJTw_44_5"/>
      <w:bookmarkStart w:id="249" w:name="Tc_JR8hMXrg7EyY0HeCb1OOVQ_44_2"/>
      <w:bookmarkStart w:id="250" w:name="Tc_K_jfoV4jJ06O0OlDpef7Pw_44_0"/>
      <w:bookmarkStart w:id="251" w:name="Tc_0iPO6TxXMkuy-qtgbyGPtQ_43_0"/>
      <w:bookmarkStart w:id="252" w:name="Tc_iVyr3SwPmkWA_ZmVqsvxNQ_42_0"/>
      <w:bookmarkStart w:id="253" w:name="Tc_yr0xpqJ_xUSuiR9VAEC0tA_40_0"/>
      <w:bookmarkStart w:id="254" w:name="Tc_oi2uao9gZEeShdvl9rsrog_39_5"/>
      <w:bookmarkStart w:id="255" w:name="Tc_WUiVx4UBGEqA-ATX0E5BKg_39_2"/>
      <w:bookmarkStart w:id="256" w:name="Tc_KQUYUQMdgk-gXJNdy_x-lg_39_0"/>
      <w:bookmarkStart w:id="257" w:name="Tc_6ix9SXVz5kWAMZuoKc4eVw_38_0"/>
      <w:bookmarkStart w:id="258" w:name="Tc_CWiNvcbwdk2mb8DVeYA5Vg_37_0"/>
      <w:bookmarkStart w:id="259" w:name="Tc_fvR2KEo120e3c4V0OrMfcw_36_0"/>
      <w:bookmarkStart w:id="260" w:name="Tc_H8IgrVaGJE-A6eVVmmEzxg_35_0"/>
      <w:bookmarkStart w:id="261" w:name="Tc_mtM5teYXlE6FIRGPqssRtA_34_5"/>
      <w:bookmarkStart w:id="262" w:name="Tc_mX4gWqshSUy5QFP8CBL58g_34_2"/>
      <w:bookmarkStart w:id="263" w:name="Tc_6UeIDRkCaEaof1Z-KroI_A_34_0"/>
      <w:bookmarkStart w:id="264" w:name="Tc_lR2_NNKqQUCzlS1CRqTVxg_32_5"/>
      <w:bookmarkStart w:id="265" w:name="Tc_QHAqo_dYM0SwUpbydMVbOQ_32_2"/>
      <w:bookmarkStart w:id="266" w:name="Tc_uE4NhFVkr0KWRc6LKdRW6w_32_0"/>
      <w:bookmarkStart w:id="267" w:name="Tc_9VAzfb1-YUqRIFihuCo5vg_31_0"/>
      <w:bookmarkStart w:id="268" w:name="Tc_zayE_CEEPkq9JjMQbfq-vA_30_0"/>
      <w:bookmarkStart w:id="269" w:name="Tc_b9g33Iefu0mpE61r7UlLlg_29_0"/>
      <w:bookmarkStart w:id="270" w:name="Tc_-6FqLR_AbUOFFSB9xGzV9g_28_0"/>
      <w:bookmarkStart w:id="271" w:name="Tc_kKBi0Iit6EOGvX1odOcFpQ_27_0"/>
      <w:bookmarkStart w:id="272" w:name="Tc_4cXn0UBMDkixEX_aWCg1Uw_26_0"/>
      <w:bookmarkStart w:id="273" w:name="Tc_yhQarqvkpEiaX_ePq-kITw_25_0"/>
      <w:bookmarkStart w:id="274" w:name="Tc_s0NAL6ouNUKUv1veDy9lFg_24_5"/>
      <w:bookmarkStart w:id="275" w:name="Tc_x3_on5zBk0iF7tle2ccAoQ_24_2"/>
      <w:bookmarkStart w:id="276" w:name="Tc_lGNb-eVEd0S598y5_c-Pvw_24_0"/>
      <w:bookmarkStart w:id="277" w:name="Tc_V5j5soVED02gUc7bEMi8dQ_23_0"/>
      <w:bookmarkStart w:id="278" w:name="Tc_KQ3V8cTBvkmw-I6OKpf5WA_22_0"/>
      <w:bookmarkStart w:id="279" w:name="Tc_oVbq-mWbe02fPUKcbDuXzQ_20_5"/>
      <w:bookmarkStart w:id="280" w:name="Tc_-GXO3xF9dkKqsWPCoR2Vug_20_2"/>
      <w:bookmarkStart w:id="281" w:name="Tc_w-vl8hvtXkuadFAeM0652g_20_0"/>
      <w:bookmarkStart w:id="282" w:name="Tc_rnxDWZgWhkeBX5t4ncEYgw_19_0"/>
      <w:bookmarkStart w:id="283" w:name="Tc_J18oz_Hr10CnXc5HKqDeFw_18_0"/>
      <w:bookmarkStart w:id="284" w:name="Tc_R52mA6DXdEiNV3DrIHHYbQ_17_0"/>
      <w:bookmarkStart w:id="285" w:name="Tc_S2T4JFY4skCbax1XMR26lg_16_0"/>
      <w:bookmarkStart w:id="286" w:name="Tc_wrvk4QBk0kq5u1yRPMMDvA_15_0"/>
      <w:bookmarkStart w:id="287" w:name="Tc_W-fNG8GS50-Y4KLFYzpc_w_14_0"/>
      <w:bookmarkStart w:id="288" w:name="Tc_zsSzOyX82EyYgPs_2OlMAQ_13_0"/>
      <w:bookmarkStart w:id="289" w:name="Tc_73WijHo-fESxvG3-Xokwtg_12_5"/>
      <w:bookmarkStart w:id="290" w:name="Tc_m32GEP-b-0eFrFi7MbM3Uw_12_2"/>
      <w:bookmarkStart w:id="291" w:name="Tc_RAqqySr4q0y4Ch-PZ4u13Q_12_0"/>
      <w:bookmarkStart w:id="292" w:name="Tc_ZD08cDcz0kebaBnvL5Bd8Q_10_5"/>
      <w:bookmarkStart w:id="293" w:name="Tc_AycQSzBKHU2zGBoMVDtAMA_10_2"/>
      <w:bookmarkStart w:id="294" w:name="Tc_-i2YSSCenE6nERKmJHNlHQ_10_0"/>
      <w:bookmarkStart w:id="295" w:name="Tc_BhKvjEgIBEKmE47BbrQ-1w_9_0"/>
      <w:bookmarkStart w:id="296" w:name="Tc_LV817GfFF06DWtTXrTVSYQ_8_0"/>
      <w:bookmarkStart w:id="297" w:name="Tc_VKKzibXeI0aSQIaVjp28TA_7_0"/>
      <w:bookmarkStart w:id="298" w:name="Tc_ZoevEjmmDUu-_fkbvij8LA_6_0"/>
      <w:bookmarkStart w:id="299" w:name="Tc_lcYPY0nUDkOrawiNsGmhag_5_5"/>
      <w:bookmarkStart w:id="300" w:name="Tc_TLYTsdInPEiYkDhXZuH9QA_5_2"/>
      <w:bookmarkStart w:id="301" w:name="Tc_aqiBiRls60yQMXmWFYHAEQ_5_0"/>
      <w:bookmarkStart w:id="302" w:name="Tc_EZSAg-U03E-wVB_pifiYlQ_4_0"/>
      <w:bookmarkStart w:id="303" w:name="Tc_gsSCsb0wjUKCJ5TfdMSrBw_3_0"/>
      <w:bookmarkStart w:id="304" w:name="Tc_C9lpmMhWxESoqBgU3-aJFg_2_5"/>
      <w:bookmarkStart w:id="305" w:name="Tc_p-neIl5i6EyF_iQxBZnkgA_2_2"/>
      <w:bookmarkStart w:id="306" w:name="Tc_negRZrDakUW_jKba-3y8qw_1_5"/>
      <w:bookmarkStart w:id="307" w:name="Tc_8TmYv4aDE0CiuV7LJ4DZog_1_2"/>
      <w:bookmarkStart w:id="308" w:name="_b4b8c342_fcfb_430e_a9c4_94fc9617f619"/>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tbl>
      <w:tblPr>
        <w:tblW w:w="10000" w:type="dxa"/>
        <w:jc w:val="left"/>
        <w:tblInd w:w="0" w:type="dxa"/>
        <w:tblLayout w:type="fixed"/>
        <w:tblCellMar>
          <w:top w:w="0" w:type="dxa"/>
          <w:left w:w="0" w:type="dxa"/>
          <w:bottom w:w="0" w:type="dxa"/>
          <w:right w:w="0" w:type="dxa"/>
        </w:tblCellMar>
      </w:tblPr>
      <w:tblGrid>
        <w:gridCol w:w="7576"/>
        <w:gridCol w:w="326"/>
        <w:gridCol w:w="196"/>
        <w:gridCol w:w="631"/>
        <w:gridCol w:w="326"/>
        <w:gridCol w:w="207"/>
        <w:gridCol w:w="738"/>
      </w:tblGrid>
      <w:tr>
        <w:trPr/>
        <w:tc>
          <w:tcPr>
            <w:tcW w:w="7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10760" cy="175260"/>
                      <wp:effectExtent l="0" t="0" r="0" b="0"/>
                      <wp:wrapNone/>
                      <wp:docPr id="20" name="Frame20"/>
                      <a:graphic xmlns:a="http://schemas.openxmlformats.org/drawingml/2006/main">
                        <a:graphicData uri="http://schemas.microsoft.com/office/word/2010/wordprocessingShape">
                          <wps:wsp>
                            <wps:cNvSpPr txBox="1"/>
                            <wps:spPr>
                              <a:xfrm>
                                <a:off x="0" y="0"/>
                                <a:ext cx="481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00685" cy="175260"/>
                      <wp:effectExtent l="0" t="0" r="0" b="0"/>
                      <wp:wrapNone/>
                      <wp:docPr id="23" name="Frame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1445" cy="175260"/>
                      <wp:effectExtent l="0" t="0" r="0" b="0"/>
                      <wp:wrapNone/>
                      <wp:docPr id="25" name="Frame25"/>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8630" cy="175260"/>
                      <wp:effectExtent l="0" t="0" r="0" b="0"/>
                      <wp:wrapNone/>
                      <wp:docPr id="26" name="Frame26"/>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5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  </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1,786</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$9 at June 30, 2025 and $13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1,345</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4,589</w:t>
            </w:r>
          </w:p>
        </w:tc>
      </w:tr>
      <w:tr>
        <w:trPr/>
        <w:tc>
          <w:tcPr>
            <w:tcW w:w="75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2,570</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1,040</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11,495</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10,452</w:t>
            </w:r>
          </w:p>
        </w:tc>
      </w:tr>
      <w:tr>
        <w:trPr/>
        <w:tc>
          <w:tcPr>
            <w:tcW w:w="75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4,242</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4,300</w:t>
            </w:r>
          </w:p>
        </w:tc>
      </w:tr>
      <w:tr>
        <w:trPr/>
        <w:tc>
          <w:tcPr>
            <w:tcW w:w="75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3,042</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9,121</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5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w:t>
              <w:br/>
              <w:t xml:space="preserve">(shares authorized: 1,000.0; shares issued: June 30, 2025 – 242.2, March 31, 2025 – 238.2)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(shares: June 30, 2025 – 11.1, March 31, 2025 – 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7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10,452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9" w:name="_8cfdd68f_cfe3_48f6_bd0d_b40fa6837eb8"/>
      <w:bookmarkEnd w:id="30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10" w:name="Cash_Flows"/>
      <w:bookmarkStart w:id="311" w:name="INDEXCASHFLOW"/>
      <w:bookmarkStart w:id="312" w:name="COMBINEDSTATEMENTOFCASHFLOWS_358039"/>
      <w:bookmarkEnd w:id="310"/>
      <w:bookmarkEnd w:id="311"/>
      <w:bookmarkEnd w:id="312"/>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3" w:name="Tc_auazDMQNdkmbAJGEklc3-A_47_5"/>
      <w:bookmarkStart w:id="314" w:name="Tc_5R8J1zHJyE2tyO3lhJuNvA_47_2"/>
      <w:bookmarkStart w:id="315" w:name="Tc_BxdEAh8Knkq_qoRDoL-hlQ_47_0"/>
      <w:bookmarkStart w:id="316" w:name="Tc_hzRhoJ7v8UeKimqDh3Rlog_46_5"/>
      <w:bookmarkStart w:id="317" w:name="Tc_oeCaCjm1p0iYwtFXoOgZVQ_46_2"/>
      <w:bookmarkStart w:id="318" w:name="Tc_MdeEoZE7MEmjF92CYtn9xA_46_0"/>
      <w:bookmarkStart w:id="319" w:name="Tc_nemXi3vPskGr85nXvrOlng_45_0"/>
      <w:bookmarkStart w:id="320" w:name="Tc_-5nOkiaPikezmhkuwqTs0A_43_5"/>
      <w:bookmarkStart w:id="321" w:name="Tc_-jmuXcqOYUOptkhaSl98DA_43_2"/>
      <w:bookmarkStart w:id="322" w:name="Tc_OzNgdMEENUKa-_0-GSCteQ_43_0"/>
      <w:bookmarkStart w:id="323" w:name="Tc_7cd7QVPmeEeJRzTkFOICFg_42_5"/>
      <w:bookmarkStart w:id="324" w:name="Tc__RuMjXd2mUaheieytMxmRA_42_2"/>
      <w:bookmarkStart w:id="325" w:name="Tc_KfrLMSyLMkCx7b7zLEouVw_42_0"/>
      <w:bookmarkStart w:id="326" w:name="Tc_kwCNd4vvM0yNlCf0hxcZ5g_40_5"/>
      <w:bookmarkStart w:id="327" w:name="Tc_Xk7BaZDgj02xJtVSDU0D7Q_40_2"/>
      <w:bookmarkStart w:id="328" w:name="Tc_CItSLDXHVU-JWKdFHBWdvA_40_0"/>
      <w:bookmarkStart w:id="329" w:name="Tc_jA8fJxCbiUemDB2dYeeajA_39_5"/>
      <w:bookmarkStart w:id="330" w:name="Tc_dd5_3nbg9k2lcz27cjyBaw_39_2"/>
      <w:bookmarkStart w:id="331" w:name="Tc_IORSkVDOYEmanK7UPjQ3bQ_39_0"/>
      <w:bookmarkStart w:id="332" w:name="Tc_Y7N3EbrFfkiVTVoc7vYwww_37_5"/>
      <w:bookmarkStart w:id="333" w:name="Tc_Fx2j3zOVok6BB58VhR5ueg_37_2"/>
      <w:bookmarkStart w:id="334" w:name="Tc_9hicEF4pL0WrvhfXIVSrbw_37_0"/>
      <w:bookmarkStart w:id="335" w:name="Tc_nQ-d3KqAb0GUb_wSTgXkvg_36_0"/>
      <w:bookmarkStart w:id="336" w:name="Tc_d8xPUfqVxkuEdhJtNL-Myg_35_0"/>
      <w:bookmarkStart w:id="337" w:name="Tc_QOMiCgKnxkWoy1KMtnZRow_34_6"/>
      <w:bookmarkStart w:id="338" w:name="Tc_dR5bIvNjWk-WECUs7KfaKw_34_0"/>
      <w:bookmarkStart w:id="339" w:name="Tc_xKHIVhF4A02o2CLLa4WxBg_33_5"/>
      <w:bookmarkStart w:id="340" w:name="Tc_DsRCOL9vp0acn6RnmjOtaw_33_2"/>
      <w:bookmarkStart w:id="341" w:name="Tc_B8jvnCex3E2utA6t3k3raQ_33_0"/>
      <w:bookmarkStart w:id="342" w:name="Tc_VyG90jA_s0i0u_DNoRzF8Q_32_0"/>
      <w:bookmarkStart w:id="343" w:name="Tc_tEbjWM1sJkuc2-15TdpsUg_30_5"/>
      <w:bookmarkStart w:id="344" w:name="Tc_54sPkZ958067KFXqqaQQ_Q_30_2"/>
      <w:bookmarkStart w:id="345" w:name="Tc_sd3hrDdINEeBWtcbszP2Fw_30_0"/>
      <w:bookmarkStart w:id="346" w:name="Tc_Ya4zESCmhUat7hEPR2jPGA_29_0"/>
      <w:bookmarkStart w:id="347" w:name="Tc_zHz9bQIiXkuwSVUAWIn0dA_28_0"/>
      <w:bookmarkStart w:id="348" w:name="Tc_Ft1j6jQm4kWvh_MK8GpKMg_27_0"/>
      <w:bookmarkStart w:id="349" w:name="Tc_6LqszOAZr0W7d8TedqsR0w_26_5"/>
      <w:bookmarkStart w:id="350" w:name="Tc_5fXZIPjJx0uH4QzNI8cUAg_26_2"/>
      <w:bookmarkStart w:id="351" w:name="Tc_3pstQQCRqEiks9K778HXrg_26_0"/>
      <w:bookmarkStart w:id="352" w:name="Tc_rZac6PO8hk-6eHufFfr7ng_25_0"/>
      <w:bookmarkStart w:id="353" w:name="Tc_kDcfWHoyMkqfuxjvqUm3-g_23_5"/>
      <w:bookmarkStart w:id="354" w:name="Tc_jlmYc48lFk-HSjcmNyJ49A_23_2"/>
      <w:bookmarkStart w:id="355" w:name="Tc_dBpaTFmzmEqb2sC6BPTagA_23_0"/>
      <w:bookmarkStart w:id="356" w:name="Tc_RwJiVA-1PEGQ_RPSu6jXIg_22_0"/>
      <w:bookmarkStart w:id="357" w:name="Tc_55oWE_TgjUCCtsgnYF2_4w_21_0"/>
      <w:bookmarkStart w:id="358" w:name="Tc_OxZCWGkBr0aoQidPLgBdXA_20_0"/>
      <w:bookmarkStart w:id="359" w:name="Tc_wng2P_rryk2iAA0WFIRJ8w_19_0"/>
      <w:bookmarkStart w:id="360" w:name="Tc_kJVNsQEUyE-lh7KOWo7wZg_18_0"/>
      <w:bookmarkStart w:id="361" w:name="Tc_Za-o1pZqzkmE8C4kb1K40Q_17_0"/>
      <w:bookmarkStart w:id="362" w:name="Tc_iIC2nmY1NEaD_fOvw1hqyA_16_0"/>
      <w:bookmarkStart w:id="363" w:name="Tc_zPPHCIV7P06CniPaoDMtqw_15_0"/>
      <w:bookmarkStart w:id="364" w:name="Tc_DI9a6IP4ZUSq7QTQlbf_Xg_14_3"/>
      <w:bookmarkStart w:id="365" w:name="Tc_WESEo3D_iUyRc0Jh8uhbEw_14_0"/>
      <w:bookmarkStart w:id="366" w:name="Tc_nQd4bqBr80O4HVMAwg040w_13_0"/>
      <w:bookmarkStart w:id="367" w:name="Tc__E3dkG-EVk63wMpst_Mejw_12_0"/>
      <w:bookmarkStart w:id="368" w:name="Tc_ZgExCYlFH0Wgejz6SsXsSQ_11_0"/>
      <w:bookmarkStart w:id="369" w:name="Tc_onrdbe5L9keumkWGaFlSuw_10_0"/>
      <w:bookmarkStart w:id="370" w:name="Tc_nOlIecLgJECRSBTRaTt_Fw_9_0"/>
      <w:bookmarkStart w:id="371" w:name="Tc_DIDSdFee2EaWB2Shi07pRA_8_0"/>
      <w:bookmarkStart w:id="372" w:name="Tc_FlmtyWkc6EiWtGGfrYCTvA_7_0"/>
      <w:bookmarkStart w:id="373" w:name="Tc_LLGqP42hLEu7yeRaWKjVAA_6_0"/>
      <w:bookmarkStart w:id="374" w:name="Tc_muEe1o67TEypzg9aEkR3WQ_5_0"/>
      <w:bookmarkStart w:id="375" w:name="Tc_1gYBeTbyJUKiU5hw4x4IEg_4_5"/>
      <w:bookmarkStart w:id="376" w:name="Tc_5uGGFcGG50mnjk-YO_ulnQ_4_2"/>
      <w:bookmarkStart w:id="377" w:name="Tc_u5LrogGWXEC9CPluTIcBHQ_4_0"/>
      <w:bookmarkStart w:id="378" w:name="Tc_QBPdWB3TM02OVGjd6B9d9Q_3_0"/>
      <w:bookmarkStart w:id="379" w:name="Tc_wSyNilOvyUaJs3K7FDzVCw_2_5"/>
      <w:bookmarkStart w:id="380" w:name="Tc_aqKdwIJ87E2Gk-B9642aZw_2_2"/>
      <w:bookmarkStart w:id="381" w:name="Tc_8cke6AD-kEi1_clJpVmW8Q_1_2"/>
      <w:bookmarkStart w:id="382" w:name="_99bcfdad_2ab4_431f_a83c_729ddb865911"/>
      <w:bookmarkStart w:id="383" w:name="Tc_auazDMQNdkmbAJGEklc3-A_47_5"/>
      <w:bookmarkStart w:id="384" w:name="Tc_5R8J1zHJyE2tyO3lhJuNvA_47_2"/>
      <w:bookmarkStart w:id="385" w:name="Tc_BxdEAh8Knkq_qoRDoL-hlQ_47_0"/>
      <w:bookmarkStart w:id="386" w:name="Tc_hzRhoJ7v8UeKimqDh3Rlog_46_5"/>
      <w:bookmarkStart w:id="387" w:name="Tc_oeCaCjm1p0iYwtFXoOgZVQ_46_2"/>
      <w:bookmarkStart w:id="388" w:name="Tc_MdeEoZE7MEmjF92CYtn9xA_46_0"/>
      <w:bookmarkStart w:id="389" w:name="Tc_nemXi3vPskGr85nXvrOlng_45_0"/>
      <w:bookmarkStart w:id="390" w:name="Tc_-5nOkiaPikezmhkuwqTs0A_43_5"/>
      <w:bookmarkStart w:id="391" w:name="Tc_-jmuXcqOYUOptkhaSl98DA_43_2"/>
      <w:bookmarkStart w:id="392" w:name="Tc_OzNgdMEENUKa-_0-GSCteQ_43_0"/>
      <w:bookmarkStart w:id="393" w:name="Tc_7cd7QVPmeEeJRzTkFOICFg_42_5"/>
      <w:bookmarkStart w:id="394" w:name="Tc__RuMjXd2mUaheieytMxmRA_42_2"/>
      <w:bookmarkStart w:id="395" w:name="Tc_KfrLMSyLMkCx7b7zLEouVw_42_0"/>
      <w:bookmarkStart w:id="396" w:name="Tc_kwCNd4vvM0yNlCf0hxcZ5g_40_5"/>
      <w:bookmarkStart w:id="397" w:name="Tc_Xk7BaZDgj02xJtVSDU0D7Q_40_2"/>
      <w:bookmarkStart w:id="398" w:name="Tc_CItSLDXHVU-JWKdFHBWdvA_40_0"/>
      <w:bookmarkStart w:id="399" w:name="Tc_jA8fJxCbiUemDB2dYeeajA_39_5"/>
      <w:bookmarkStart w:id="400" w:name="Tc_dd5_3nbg9k2lcz27cjyBaw_39_2"/>
      <w:bookmarkStart w:id="401" w:name="Tc_IORSkVDOYEmanK7UPjQ3bQ_39_0"/>
      <w:bookmarkStart w:id="402" w:name="Tc_Y7N3EbrFfkiVTVoc7vYwww_37_5"/>
      <w:bookmarkStart w:id="403" w:name="Tc_Fx2j3zOVok6BB58VhR5ueg_37_2"/>
      <w:bookmarkStart w:id="404" w:name="Tc_9hicEF4pL0WrvhfXIVSrbw_37_0"/>
      <w:bookmarkStart w:id="405" w:name="Tc_nQ-d3KqAb0GUb_wSTgXkvg_36_0"/>
      <w:bookmarkStart w:id="406" w:name="Tc_d8xPUfqVxkuEdhJtNL-Myg_35_0"/>
      <w:bookmarkStart w:id="407" w:name="Tc_QOMiCgKnxkWoy1KMtnZRow_34_6"/>
      <w:bookmarkStart w:id="408" w:name="Tc_dR5bIvNjWk-WECUs7KfaKw_34_0"/>
      <w:bookmarkStart w:id="409" w:name="Tc_xKHIVhF4A02o2CLLa4WxBg_33_5"/>
      <w:bookmarkStart w:id="410" w:name="Tc_DsRCOL9vp0acn6RnmjOtaw_33_2"/>
      <w:bookmarkStart w:id="411" w:name="Tc_B8jvnCex3E2utA6t3k3raQ_33_0"/>
      <w:bookmarkStart w:id="412" w:name="Tc_VyG90jA_s0i0u_DNoRzF8Q_32_0"/>
      <w:bookmarkStart w:id="413" w:name="Tc_tEbjWM1sJkuc2-15TdpsUg_30_5"/>
      <w:bookmarkStart w:id="414" w:name="Tc_54sPkZ958067KFXqqaQQ_Q_30_2"/>
      <w:bookmarkStart w:id="415" w:name="Tc_sd3hrDdINEeBWtcbszP2Fw_30_0"/>
      <w:bookmarkStart w:id="416" w:name="Tc_Ya4zESCmhUat7hEPR2jPGA_29_0"/>
      <w:bookmarkStart w:id="417" w:name="Tc_zHz9bQIiXkuwSVUAWIn0dA_28_0"/>
      <w:bookmarkStart w:id="418" w:name="Tc_Ft1j6jQm4kWvh_MK8GpKMg_27_0"/>
      <w:bookmarkStart w:id="419" w:name="Tc_6LqszOAZr0W7d8TedqsR0w_26_5"/>
      <w:bookmarkStart w:id="420" w:name="Tc_5fXZIPjJx0uH4QzNI8cUAg_26_2"/>
      <w:bookmarkStart w:id="421" w:name="Tc_3pstQQCRqEiks9K778HXrg_26_0"/>
      <w:bookmarkStart w:id="422" w:name="Tc_rZac6PO8hk-6eHufFfr7ng_25_0"/>
      <w:bookmarkStart w:id="423" w:name="Tc_kDcfWHoyMkqfuxjvqUm3-g_23_5"/>
      <w:bookmarkStart w:id="424" w:name="Tc_jlmYc48lFk-HSjcmNyJ49A_23_2"/>
      <w:bookmarkStart w:id="425" w:name="Tc_dBpaTFmzmEqb2sC6BPTagA_23_0"/>
      <w:bookmarkStart w:id="426" w:name="Tc_RwJiVA-1PEGQ_RPSu6jXIg_22_0"/>
      <w:bookmarkStart w:id="427" w:name="Tc_55oWE_TgjUCCtsgnYF2_4w_21_0"/>
      <w:bookmarkStart w:id="428" w:name="Tc_OxZCWGkBr0aoQidPLgBdXA_20_0"/>
      <w:bookmarkStart w:id="429" w:name="Tc_wng2P_rryk2iAA0WFIRJ8w_19_0"/>
      <w:bookmarkStart w:id="430" w:name="Tc_kJVNsQEUyE-lh7KOWo7wZg_18_0"/>
      <w:bookmarkStart w:id="431" w:name="Tc_Za-o1pZqzkmE8C4kb1K40Q_17_0"/>
      <w:bookmarkStart w:id="432" w:name="Tc_iIC2nmY1NEaD_fOvw1hqyA_16_0"/>
      <w:bookmarkStart w:id="433" w:name="Tc_zPPHCIV7P06CniPaoDMtqw_15_0"/>
      <w:bookmarkStart w:id="434" w:name="Tc_DI9a6IP4ZUSq7QTQlbf_Xg_14_3"/>
      <w:bookmarkStart w:id="435" w:name="Tc_WESEo3D_iUyRc0Jh8uhbEw_14_0"/>
      <w:bookmarkStart w:id="436" w:name="Tc_nQd4bqBr80O4HVMAwg040w_13_0"/>
      <w:bookmarkStart w:id="437" w:name="Tc__E3dkG-EVk63wMpst_Mejw_12_0"/>
      <w:bookmarkStart w:id="438" w:name="Tc_ZgExCYlFH0Wgejz6SsXsSQ_11_0"/>
      <w:bookmarkStart w:id="439" w:name="Tc_onrdbe5L9keumkWGaFlSuw_10_0"/>
      <w:bookmarkStart w:id="440" w:name="Tc_nOlIecLgJECRSBTRaTt_Fw_9_0"/>
      <w:bookmarkStart w:id="441" w:name="Tc_DIDSdFee2EaWB2Shi07pRA_8_0"/>
      <w:bookmarkStart w:id="442" w:name="Tc_FlmtyWkc6EiWtGGfrYCTvA_7_0"/>
      <w:bookmarkStart w:id="443" w:name="Tc_LLGqP42hLEu7yeRaWKjVAA_6_0"/>
      <w:bookmarkStart w:id="444" w:name="Tc_muEe1o67TEypzg9aEkR3WQ_5_0"/>
      <w:bookmarkStart w:id="445" w:name="Tc_1gYBeTbyJUKiU5hw4x4IEg_4_5"/>
      <w:bookmarkStart w:id="446" w:name="Tc_5uGGFcGG50mnjk-YO_ulnQ_4_2"/>
      <w:bookmarkStart w:id="447" w:name="Tc_u5LrogGWXEC9CPluTIcBHQ_4_0"/>
      <w:bookmarkStart w:id="448" w:name="Tc_QBPdWB3TM02OVGjd6B9d9Q_3_0"/>
      <w:bookmarkStart w:id="449" w:name="Tc_wSyNilOvyUaJs3K7FDzVCw_2_5"/>
      <w:bookmarkStart w:id="450" w:name="Tc_aqKdwIJ87E2Gk-B9642aZw_2_2"/>
      <w:bookmarkStart w:id="451" w:name="Tc_8cke6AD-kEi1_clJpVmW8Q_1_2"/>
      <w:bookmarkStart w:id="452" w:name="_99bcfdad_2ab4_431f_a83c_729ddb865911"/>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W w:w="8216" w:type="dxa"/>
        <w:jc w:val="left"/>
        <w:tblInd w:w="0" w:type="dxa"/>
        <w:tblLayout w:type="fixed"/>
        <w:tblCellMar>
          <w:top w:w="0" w:type="dxa"/>
          <w:left w:w="0" w:type="dxa"/>
          <w:bottom w:w="0" w:type="dxa"/>
          <w:right w:w="0" w:type="dxa"/>
        </w:tblCellMar>
      </w:tblPr>
      <w:tblGrid>
        <w:gridCol w:w="5536"/>
        <w:gridCol w:w="326"/>
        <w:gridCol w:w="242"/>
        <w:gridCol w:w="780"/>
        <w:gridCol w:w="403"/>
        <w:gridCol w:w="242"/>
        <w:gridCol w:w="687"/>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515360" cy="175260"/>
                      <wp:effectExtent l="0" t="0" r="0" b="0"/>
                      <wp:wrapNone/>
                      <wp:docPr id="27" name="Frame27"/>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3670" cy="175260"/>
                      <wp:effectExtent l="0" t="0" r="0" b="0"/>
                      <wp:wrapNone/>
                      <wp:docPr id="29" name="Frame2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300" cy="175260"/>
                      <wp:effectExtent l="0" t="0" r="0" b="0"/>
                      <wp:wrapNone/>
                      <wp:docPr id="30" name="Frame30"/>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5905" cy="175260"/>
                      <wp:effectExtent l="0" t="0" r="0" b="0"/>
                      <wp:wrapNone/>
                      <wp:docPr id="31" name="Frame3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3670" cy="175260"/>
                      <wp:effectExtent l="0" t="0" r="0" b="0"/>
                      <wp:wrapNone/>
                      <wp:docPr id="32" name="Frame3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6245" cy="175260"/>
                      <wp:effectExtent l="0" t="0" r="0" b="0"/>
                      <wp:wrapNone/>
                      <wp:docPr id="33" name="Frame3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3" w:type="dxa"/>
            <w:tcBorders/>
            <w:vAlign w:val="center"/>
          </w:tcPr>
          <w:p>
            <w:pPr>
              <w:pStyle w:val="TableContents"/>
              <w:bidi w:val="0"/>
              <w:spacing w:before="0" w:after="0"/>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  </w:t>
            </w:r>
          </w:p>
        </w:tc>
        <w:tc>
          <w:tcPr>
            <w:tcW w:w="403"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property, equipment and 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right-of-use assets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capitalized contract costs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acquisition-related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asset sales and other</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Workforce rebalancing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 </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46 </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 </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 (excluding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other liabilities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781 </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and divestitures, net of cash acquired</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investing activities,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repurchases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for tax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financing activities, net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used in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46 </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1,789</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1,273</w:t>
            </w:r>
          </w:p>
        </w:tc>
      </w:tr>
      <w:tr>
        <w:trPr/>
        <w:tc>
          <w:tcPr>
            <w:tcW w:w="5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data</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refunds received</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on debt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7"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3" w:name="Equity"/>
      <w:bookmarkStart w:id="454" w:name="_873cd22f_1997_4ffa_93c0_e24b4d89365c"/>
      <w:bookmarkEnd w:id="453"/>
      <w:bookmarkEnd w:id="454"/>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455" w:name="COMBINEDSTATEMENTOFEQUITY_472371"/>
      <w:bookmarkStart w:id="456" w:name="INDEXEQUITY"/>
      <w:bookmarkEnd w:id="455"/>
      <w:bookmarkEnd w:id="456"/>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7" w:name="Tc_CuT3yWuIEkW8pxJEhr1iGQ_11_20"/>
      <w:bookmarkStart w:id="458" w:name="Tc_pP-3GQrbmkGN0xmArZ1ltA_11_17"/>
      <w:bookmarkStart w:id="459" w:name="Tc_NmAhhoa5K0-kVSM-G7oBWw_11_14"/>
      <w:bookmarkStart w:id="460" w:name="Tc_KSP-_DLSYE6r1wLQsshQgQ_11_11"/>
      <w:bookmarkStart w:id="461" w:name="Tc_j5BtbgnppUmR7k1SlXcROQ_11_8"/>
      <w:bookmarkStart w:id="462" w:name="Tc_DLkDFBKafkWYuiXqmkM8oQ_11_5"/>
      <w:bookmarkStart w:id="463" w:name="Tc_AddbGjlYoEmkmnnYfJMB-w_11_0"/>
      <w:bookmarkStart w:id="464" w:name="Tc_AOsVolodcUC5VjxgDgrS2Q_10_0"/>
      <w:bookmarkStart w:id="465" w:name="Tc_MOQ58s3YCEGa3HltM0bg-w_9_0"/>
      <w:bookmarkStart w:id="466" w:name="Tc_NalqKFtox0izWvqylU8JcA_8_0"/>
      <w:bookmarkStart w:id="467" w:name="Tc_YyIS2sI3lEiCzHiJlk7eMw_7_0"/>
      <w:bookmarkStart w:id="468" w:name="Tc_EmJ4gkrwQE6OmsR4EE2H5g_6_0"/>
      <w:bookmarkStart w:id="469" w:name="Tc_lfmZNn7U9EaslRJrZLUFXQ_5_20"/>
      <w:bookmarkStart w:id="470" w:name="Tc_5F_-lBKktkC7tvaoO63f8A_5_17"/>
      <w:bookmarkStart w:id="471" w:name="Tc_WnUGtdMH20m764nqZsUAbw_5_14"/>
      <w:bookmarkStart w:id="472" w:name="Tc_TL6TriRBRkWRR7rQFKVH5w_5_11"/>
      <w:bookmarkStart w:id="473" w:name="Tc_4gDd3yzUWUuX9EByJSrWNg_5_8"/>
      <w:bookmarkStart w:id="474" w:name="Tc_aYVKmf9ogEu0-xZ2jhR4kg_5_5"/>
      <w:bookmarkStart w:id="475" w:name="Tc_bpSYwYys90mLhWnFNJu1pA_5_0"/>
      <w:bookmarkStart w:id="476" w:name="Tc_7EOZNnhJAEGN6-e9vEaaKA_4_20"/>
      <w:bookmarkStart w:id="477" w:name="Tc_q3TLtVVyhkq5X-gnDv_1eQ_4_17"/>
      <w:bookmarkStart w:id="478" w:name="Tc_7nEkY2vOsUimjiPw-7BzOQ_4_14"/>
      <w:bookmarkStart w:id="479" w:name="Tc_9VEY9GTe2UunhnSt5Ce76A_4_11"/>
      <w:bookmarkStart w:id="480" w:name="Tc_TBooDk8t8UWpHJ418ziAJw_4_8"/>
      <w:bookmarkStart w:id="481" w:name="Tc_tzRptDPpSUSKjgX77jikYw_4_5"/>
      <w:bookmarkStart w:id="482" w:name="Tc_h5zWlxDGH0W-kNEdV5NOwg_4_2"/>
      <w:bookmarkStart w:id="483" w:name="Tc_xPufRDMELkmb89pQaDWGfA_3_20"/>
      <w:bookmarkStart w:id="484" w:name="Tc_9CqUpdufekmFhkJ3KRgV8Q_3_17"/>
      <w:bookmarkStart w:id="485" w:name="Tc_hDZwqRtxBU27tZalBiMV_w_3_14"/>
      <w:bookmarkStart w:id="486" w:name="Tc_bJMbFHWQP0uVFsAYEjuaCg_3_11"/>
      <w:bookmarkStart w:id="487" w:name="Tc_VohdE8APt0CrFeEmPiKFFQ_3_8"/>
      <w:bookmarkStart w:id="488" w:name="Tc_Hrno72OYqUCICTVm7rLxYg_3_2"/>
      <w:bookmarkStart w:id="489" w:name="Tc_RJ7Bv79nsECWb-XJxh-M7w_2_17"/>
      <w:bookmarkStart w:id="490" w:name="Tc_ZW-Ve1RhbUO9vc75CFz9Lw_2_8"/>
      <w:bookmarkStart w:id="491" w:name="Tc_uI684u_W4USz6lyEu0bAAQ_2_2"/>
      <w:bookmarkStart w:id="492" w:name="Tc_FIHsDbQJvkS8CTyENz3SmA_1_8"/>
      <w:bookmarkStart w:id="493" w:name="Tc_Vd7PePxzoU2_BiUkE4E-CA_1_2"/>
      <w:bookmarkStart w:id="494" w:name="_5abc9c47_b66c_4000_951e_b413024fdce8"/>
      <w:bookmarkStart w:id="495" w:name="Tc_CuT3yWuIEkW8pxJEhr1iGQ_11_20"/>
      <w:bookmarkStart w:id="496" w:name="Tc_pP-3GQrbmkGN0xmArZ1ltA_11_17"/>
      <w:bookmarkStart w:id="497" w:name="Tc_NmAhhoa5K0-kVSM-G7oBWw_11_14"/>
      <w:bookmarkStart w:id="498" w:name="Tc_KSP-_DLSYE6r1wLQsshQgQ_11_11"/>
      <w:bookmarkStart w:id="499" w:name="Tc_j5BtbgnppUmR7k1SlXcROQ_11_8"/>
      <w:bookmarkStart w:id="500" w:name="Tc_DLkDFBKafkWYuiXqmkM8oQ_11_5"/>
      <w:bookmarkStart w:id="501" w:name="Tc_AddbGjlYoEmkmnnYfJMB-w_11_0"/>
      <w:bookmarkStart w:id="502" w:name="Tc_AOsVolodcUC5VjxgDgrS2Q_10_0"/>
      <w:bookmarkStart w:id="503" w:name="Tc_MOQ58s3YCEGa3HltM0bg-w_9_0"/>
      <w:bookmarkStart w:id="504" w:name="Tc_NalqKFtox0izWvqylU8JcA_8_0"/>
      <w:bookmarkStart w:id="505" w:name="Tc_YyIS2sI3lEiCzHiJlk7eMw_7_0"/>
      <w:bookmarkStart w:id="506" w:name="Tc_EmJ4gkrwQE6OmsR4EE2H5g_6_0"/>
      <w:bookmarkStart w:id="507" w:name="Tc_lfmZNn7U9EaslRJrZLUFXQ_5_20"/>
      <w:bookmarkStart w:id="508" w:name="Tc_5F_-lBKktkC7tvaoO63f8A_5_17"/>
      <w:bookmarkStart w:id="509" w:name="Tc_WnUGtdMH20m764nqZsUAbw_5_14"/>
      <w:bookmarkStart w:id="510" w:name="Tc_TL6TriRBRkWRR7rQFKVH5w_5_11"/>
      <w:bookmarkStart w:id="511" w:name="Tc_4gDd3yzUWUuX9EByJSrWNg_5_8"/>
      <w:bookmarkStart w:id="512" w:name="Tc_aYVKmf9ogEu0-xZ2jhR4kg_5_5"/>
      <w:bookmarkStart w:id="513" w:name="Tc_bpSYwYys90mLhWnFNJu1pA_5_0"/>
      <w:bookmarkStart w:id="514" w:name="Tc_7EOZNnhJAEGN6-e9vEaaKA_4_20"/>
      <w:bookmarkStart w:id="515" w:name="Tc_q3TLtVVyhkq5X-gnDv_1eQ_4_17"/>
      <w:bookmarkStart w:id="516" w:name="Tc_7nEkY2vOsUimjiPw-7BzOQ_4_14"/>
      <w:bookmarkStart w:id="517" w:name="Tc_9VEY9GTe2UunhnSt5Ce76A_4_11"/>
      <w:bookmarkStart w:id="518" w:name="Tc_TBooDk8t8UWpHJ418ziAJw_4_8"/>
      <w:bookmarkStart w:id="519" w:name="Tc_tzRptDPpSUSKjgX77jikYw_4_5"/>
      <w:bookmarkStart w:id="520" w:name="Tc_h5zWlxDGH0W-kNEdV5NOwg_4_2"/>
      <w:bookmarkStart w:id="521" w:name="Tc_xPufRDMELkmb89pQaDWGfA_3_20"/>
      <w:bookmarkStart w:id="522" w:name="Tc_9CqUpdufekmFhkJ3KRgV8Q_3_17"/>
      <w:bookmarkStart w:id="523" w:name="Tc_hDZwqRtxBU27tZalBiMV_w_3_14"/>
      <w:bookmarkStart w:id="524" w:name="Tc_bJMbFHWQP0uVFsAYEjuaCg_3_11"/>
      <w:bookmarkStart w:id="525" w:name="Tc_VohdE8APt0CrFeEmPiKFFQ_3_8"/>
      <w:bookmarkStart w:id="526" w:name="Tc_Hrno72OYqUCICTVm7rLxYg_3_2"/>
      <w:bookmarkStart w:id="527" w:name="Tc_RJ7Bv79nsECWb-XJxh-M7w_2_17"/>
      <w:bookmarkStart w:id="528" w:name="Tc_ZW-Ve1RhbUO9vc75CFz9Lw_2_8"/>
      <w:bookmarkStart w:id="529" w:name="Tc_uI684u_W4USz6lyEu0bAAQ_2_2"/>
      <w:bookmarkStart w:id="530" w:name="Tc_FIHsDbQJvkS8CTyENz3SmA_1_8"/>
      <w:bookmarkStart w:id="531" w:name="Tc_Vd7PePxzoU2_BiUkE4E-CA_1_2"/>
      <w:bookmarkStart w:id="532" w:name="_5abc9c47_b66c_4000_951e_b413024fdce8"/>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60575" cy="175260"/>
                      <wp:effectExtent l="0" t="0" r="0" b="0"/>
                      <wp:wrapNone/>
                      <wp:docPr id="34" name="Frame34"/>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2425" cy="175260"/>
                      <wp:effectExtent l="0" t="0" r="0" b="0"/>
                      <wp:wrapNone/>
                      <wp:docPr id="37" name="Frame37"/>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52425" cy="175260"/>
                      <wp:effectExtent l="0" t="0" r="0" b="0"/>
                      <wp:wrapNone/>
                      <wp:docPr id="40" name="Frame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96850" cy="175260"/>
                      <wp:effectExtent l="0" t="0" r="0" b="0"/>
                      <wp:wrapNone/>
                      <wp:docPr id="42" name="Frame4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5310" cy="175260"/>
                      <wp:effectExtent l="0" t="0" r="0" b="0"/>
                      <wp:wrapNone/>
                      <wp:docPr id="43" name="Frame4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0495" cy="175260"/>
                      <wp:effectExtent l="0" t="0" r="0" b="0"/>
                      <wp:wrapNone/>
                      <wp:docPr id="45" name="Frame4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5915" cy="175260"/>
                      <wp:effectExtent l="0" t="0" r="0" b="0"/>
                      <wp:wrapNone/>
                      <wp:docPr id="46" name="Frame46"/>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0180" cy="175260"/>
                      <wp:effectExtent l="0" t="0" r="0" b="0"/>
                      <wp:wrapNone/>
                      <wp:docPr id="48" name="Frame4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7205" cy="175260"/>
                      <wp:effectExtent l="0" t="0" r="0" b="0"/>
                      <wp:wrapNone/>
                      <wp:docPr id="49" name="Frame4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5740" cy="175260"/>
                      <wp:effectExtent l="0" t="0" r="0" b="0"/>
                      <wp:wrapNone/>
                      <wp:docPr id="51" name="Frame51"/>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94970" cy="175260"/>
                      <wp:effectExtent l="0" t="0" r="0" b="0"/>
                      <wp:wrapNone/>
                      <wp:docPr id="52" name="Frame52"/>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5445" cy="175260"/>
                      <wp:effectExtent l="0" t="0" r="0" b="0"/>
                      <wp:wrapNone/>
                      <wp:docPr id="55" name="Frame55"/>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231.1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4,656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1,343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3" w:name="Tc_ddDEeuFWdEetPj4pRA0fHA_11_20"/>
      <w:bookmarkStart w:id="534" w:name="Tc_fyPoq0--hUKJlMgbB_I9fQ_11_17"/>
      <w:bookmarkStart w:id="535" w:name="Tc_BlVwaEQmHkShhaBt0186Mw_11_14"/>
      <w:bookmarkStart w:id="536" w:name="Tc_LUe5MSpnI0C8HO7bGS6quQ_11_11"/>
      <w:bookmarkStart w:id="537" w:name="Tc_blYPjBr7e02aD42mKhetMQ_11_8"/>
      <w:bookmarkStart w:id="538" w:name="Tc_8B4sEZ4hYkS5aTYgJLLXPw_11_5"/>
      <w:bookmarkStart w:id="539" w:name="Tc_hKGvnMz7S0eFEZOHKkA1Hw_11_0"/>
      <w:bookmarkStart w:id="540" w:name="Tc_u_N5zxUhSEitVwf0JZGHyQ_10_0"/>
      <w:bookmarkStart w:id="541" w:name="Tc_-rhoKP40UkSRV88W_4Wkag_9_0"/>
      <w:bookmarkStart w:id="542" w:name="Tc__B8hu6wPzkqo6exHtOajTA_8_0"/>
      <w:bookmarkStart w:id="543" w:name="Tc_lRF7BAjGwkOhLnFdgjeZ1w_7_0"/>
      <w:bookmarkStart w:id="544" w:name="Tc_bA9Zmao9mESSW7wIZlTulg_6_0"/>
      <w:bookmarkStart w:id="545" w:name="Tc_uQEmVzl8t0aZA3h0B5jdHQ_5_20"/>
      <w:bookmarkStart w:id="546" w:name="Tc_Ueh5YpKzwkSY2fqZHqLq7g_5_17"/>
      <w:bookmarkStart w:id="547" w:name="Tc_6-9yadE96Eyz1Sp-mnb2ig_5_14"/>
      <w:bookmarkStart w:id="548" w:name="Tc_KrwSTXb-TU-xqH3Yfsa0ZQ_5_11"/>
      <w:bookmarkStart w:id="549" w:name="Tc_SfQDioXbY0Ku8nyVYwAN8g_5_8"/>
      <w:bookmarkStart w:id="550" w:name="Tc_3kZJUSevv0WCGLIVuv29PA_5_5"/>
      <w:bookmarkStart w:id="551" w:name="Tc_svTdt5Eneke4E9ESm6OJTQ_5_0"/>
      <w:bookmarkStart w:id="552" w:name="Tc__IzCjwpetkC6FRyleTuzPg_4_20"/>
      <w:bookmarkStart w:id="553" w:name="Tc_ck9veJSZNkC5eb-vYq9-vw_4_17"/>
      <w:bookmarkStart w:id="554" w:name="Tc_1QUtFX6Oh0Wx9MLjEgpu9w_4_14"/>
      <w:bookmarkStart w:id="555" w:name="Tc_UPrYKvQF2Ui1XwGUlknv9w_4_11"/>
      <w:bookmarkStart w:id="556" w:name="Tc_DAtWv_VNKkKkg34kQnivIg_4_8"/>
      <w:bookmarkStart w:id="557" w:name="Tc_voRWxmMTm0qf2PZRRsDbYA_4_5"/>
      <w:bookmarkStart w:id="558" w:name="Tc_GDS5BfDSZUSRQgK7sdoHVA_4_2"/>
      <w:bookmarkStart w:id="559" w:name="Tc_r1INUt8COkmCCjVLY1m1ZA_3_20"/>
      <w:bookmarkStart w:id="560" w:name="Tc_gMkQ8zV9fEiXBlIfXeCCFw_3_17"/>
      <w:bookmarkStart w:id="561" w:name="Tc_lBi44sjhw0un1FkPIsgDIg_3_14"/>
      <w:bookmarkStart w:id="562" w:name="Tc_rKGpn4L2E0av16AaGrE2ng_3_11"/>
      <w:bookmarkStart w:id="563" w:name="Tc_K0-U_r-iBUmNoqvlNywbpw_3_8"/>
      <w:bookmarkStart w:id="564" w:name="Tc_VXasZKMRxU-sQ5aHj2hsdA_3_2"/>
      <w:bookmarkStart w:id="565" w:name="Tc_wEyRkBdD1kCXNg-yZZmJog_2_17"/>
      <w:bookmarkStart w:id="566" w:name="Tc_D__-6xkFM0eg6SXvC7x0Gg_2_8"/>
      <w:bookmarkStart w:id="567" w:name="Tc_Y-Wb-j5XikubpiLQbLymxQ_2_2"/>
      <w:bookmarkStart w:id="568" w:name="Tc_qea_NmHauECW04xHJBw_Gg_1_8"/>
      <w:bookmarkStart w:id="569" w:name="Tc_Fl3k46e5Z0WUelM7ex5S-A_1_2"/>
      <w:bookmarkStart w:id="570" w:name="_493ccc99_bae8_400c_b2a7_d2d9aad19f49"/>
      <w:bookmarkStart w:id="571" w:name="Tc_ddDEeuFWdEetPj4pRA0fHA_11_20"/>
      <w:bookmarkStart w:id="572" w:name="Tc_fyPoq0--hUKJlMgbB_I9fQ_11_17"/>
      <w:bookmarkStart w:id="573" w:name="Tc_BlVwaEQmHkShhaBt0186Mw_11_14"/>
      <w:bookmarkStart w:id="574" w:name="Tc_LUe5MSpnI0C8HO7bGS6quQ_11_11"/>
      <w:bookmarkStart w:id="575" w:name="Tc_blYPjBr7e02aD42mKhetMQ_11_8"/>
      <w:bookmarkStart w:id="576" w:name="Tc_8B4sEZ4hYkS5aTYgJLLXPw_11_5"/>
      <w:bookmarkStart w:id="577" w:name="Tc_hKGvnMz7S0eFEZOHKkA1Hw_11_0"/>
      <w:bookmarkStart w:id="578" w:name="Tc_u_N5zxUhSEitVwf0JZGHyQ_10_0"/>
      <w:bookmarkStart w:id="579" w:name="Tc_-rhoKP40UkSRV88W_4Wkag_9_0"/>
      <w:bookmarkStart w:id="580" w:name="Tc__B8hu6wPzkqo6exHtOajTA_8_0"/>
      <w:bookmarkStart w:id="581" w:name="Tc_lRF7BAjGwkOhLnFdgjeZ1w_7_0"/>
      <w:bookmarkStart w:id="582" w:name="Tc_bA9Zmao9mESSW7wIZlTulg_6_0"/>
      <w:bookmarkStart w:id="583" w:name="Tc_uQEmVzl8t0aZA3h0B5jdHQ_5_20"/>
      <w:bookmarkStart w:id="584" w:name="Tc_Ueh5YpKzwkSY2fqZHqLq7g_5_17"/>
      <w:bookmarkStart w:id="585" w:name="Tc_6-9yadE96Eyz1Sp-mnb2ig_5_14"/>
      <w:bookmarkStart w:id="586" w:name="Tc_KrwSTXb-TU-xqH3Yfsa0ZQ_5_11"/>
      <w:bookmarkStart w:id="587" w:name="Tc_SfQDioXbY0Ku8nyVYwAN8g_5_8"/>
      <w:bookmarkStart w:id="588" w:name="Tc_3kZJUSevv0WCGLIVuv29PA_5_5"/>
      <w:bookmarkStart w:id="589" w:name="Tc_svTdt5Eneke4E9ESm6OJTQ_5_0"/>
      <w:bookmarkStart w:id="590" w:name="Tc__IzCjwpetkC6FRyleTuzPg_4_20"/>
      <w:bookmarkStart w:id="591" w:name="Tc_ck9veJSZNkC5eb-vYq9-vw_4_17"/>
      <w:bookmarkStart w:id="592" w:name="Tc_1QUtFX6Oh0Wx9MLjEgpu9w_4_14"/>
      <w:bookmarkStart w:id="593" w:name="Tc_UPrYKvQF2Ui1XwGUlknv9w_4_11"/>
      <w:bookmarkStart w:id="594" w:name="Tc_DAtWv_VNKkKkg34kQnivIg_4_8"/>
      <w:bookmarkStart w:id="595" w:name="Tc_voRWxmMTm0qf2PZRRsDbYA_4_5"/>
      <w:bookmarkStart w:id="596" w:name="Tc_GDS5BfDSZUSRQgK7sdoHVA_4_2"/>
      <w:bookmarkStart w:id="597" w:name="Tc_r1INUt8COkmCCjVLY1m1ZA_3_20"/>
      <w:bookmarkStart w:id="598" w:name="Tc_gMkQ8zV9fEiXBlIfXeCCFw_3_17"/>
      <w:bookmarkStart w:id="599" w:name="Tc_lBi44sjhw0un1FkPIsgDIg_3_14"/>
      <w:bookmarkStart w:id="600" w:name="Tc_rKGpn4L2E0av16AaGrE2ng_3_11"/>
      <w:bookmarkStart w:id="601" w:name="Tc_K0-U_r-iBUmNoqvlNywbpw_3_8"/>
      <w:bookmarkStart w:id="602" w:name="Tc_VXasZKMRxU-sQ5aHj2hsdA_3_2"/>
      <w:bookmarkStart w:id="603" w:name="Tc_wEyRkBdD1kCXNg-yZZmJog_2_17"/>
      <w:bookmarkStart w:id="604" w:name="Tc_D__-6xkFM0eg6SXvC7x0Gg_2_8"/>
      <w:bookmarkStart w:id="605" w:name="Tc_Y-Wb-j5XikubpiLQbLymxQ_2_2"/>
      <w:bookmarkStart w:id="606" w:name="Tc_qea_NmHauECW04xHJBw_Gg_1_8"/>
      <w:bookmarkStart w:id="607" w:name="Tc_Fl3k46e5Z0WUelM7ex5S-A_1_2"/>
      <w:bookmarkStart w:id="608" w:name="_493ccc99_bae8_400c_b2a7_d2d9aad19f49"/>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60575" cy="175260"/>
                      <wp:effectExtent l="0" t="0" r="0" b="0"/>
                      <wp:wrapNone/>
                      <wp:docPr id="56" name="Frame5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52425" cy="175260"/>
                      <wp:effectExtent l="0" t="0" r="0" b="0"/>
                      <wp:wrapNone/>
                      <wp:docPr id="59" name="Frame5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52425" cy="175260"/>
                      <wp:effectExtent l="0" t="0" r="0" b="0"/>
                      <wp:wrapNone/>
                      <wp:docPr id="62" name="Frame6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6850" cy="175260"/>
                      <wp:effectExtent l="0" t="0" r="0" b="0"/>
                      <wp:wrapNone/>
                      <wp:docPr id="64" name="Frame6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75310" cy="175260"/>
                      <wp:effectExtent l="0" t="0" r="0" b="0"/>
                      <wp:wrapNone/>
                      <wp:docPr id="65" name="Frame6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75895" cy="175260"/>
                      <wp:effectExtent l="0" t="0" r="0" b="0"/>
                      <wp:wrapNone/>
                      <wp:docPr id="67" name="Frame6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10515" cy="175260"/>
                      <wp:effectExtent l="0" t="0" r="0" b="0"/>
                      <wp:wrapNone/>
                      <wp:docPr id="68" name="Frame68"/>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0180" cy="175260"/>
                      <wp:effectExtent l="0" t="0" r="0" b="0"/>
                      <wp:wrapNone/>
                      <wp:docPr id="70" name="Frame7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7205" cy="175260"/>
                      <wp:effectExtent l="0" t="0" r="0" b="0"/>
                      <wp:wrapNone/>
                      <wp:docPr id="71" name="Frame7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5740" cy="175260"/>
                      <wp:effectExtent l="0" t="0" r="0" b="0"/>
                      <wp:wrapNone/>
                      <wp:docPr id="73" name="Frame7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4970" cy="175260"/>
                      <wp:effectExtent l="0" t="0" r="0" b="0"/>
                      <wp:wrapNone/>
                      <wp:docPr id="74" name="Frame7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5445" cy="175260"/>
                      <wp:effectExtent l="0" t="0" r="0" b="0"/>
                      <wp:wrapNone/>
                      <wp:docPr id="77" name="Frame7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April 1, 2024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4,524</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(1,145)</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(2,319)</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0.9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231.0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4,549 </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1,101</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9" w:name="NOTES"/>
      <w:bookmarkStart w:id="610" w:name="_bffd3ea8_209f_42bc_b70c_8bc62511eeb0"/>
      <w:bookmarkEnd w:id="609"/>
      <w:bookmarkEnd w:id="610"/>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November 3, 2021, the Company was wholly owned by International Business Machines Corporation (“IBM” or “former Parent”). In November 2021, our former Parent effected the spin-off (the “Separation” or the “Spin-off”) of the infrastructure services unit of its Global Technology Services segment through the distribution of shares of Kyndryl’s common stock to IBM stockholders.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w:t>
      </w:r>
      <w:r>
        <w:rPr>
          <w:rFonts w:ascii="Times New Roman;Times;serif" w:hAnsi="Times New Roman;Times;serif"/>
          <w:sz w:val="20"/>
          <w:shd w:fill="FFFFFF" w:val="clear"/>
        </w:rPr>
        <w:t>The information included in this Form 10-Q should be read in conjunction with the Company’s Annual Report on Form 10-K for the fiscal year ended March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We prepared these estimates based on the most current and best available information, but actual results could differ materially from these estimates and assumptions.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pStyle w:val="TextBody"/>
        <w:bidi w:val="0"/>
        <w:spacing w:before="0" w:after="0"/>
        <w:ind w:left="0" w:right="0" w:hanging="0"/>
        <w:jc w:val="left"/>
        <w:rPr>
          <w:shd w:fill="FFFFFF" w:val="clear"/>
        </w:rPr>
      </w:pPr>
      <w:r>
        <w:rPr>
          <w:shd w:fill="FFFFFF" w:val="clea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is intended to enhance the transparency and usefulness of income tax disclosures through improved reporting related to the rate reconciliation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income taxes paid. The guidance is effective for annual periods beginning after December 15, 2024,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Business Combinations (Topic 805) and Consolidation (Topic 810): Determining the Accounting Acquirer in the Acquisition of a Variable Interest Entity</w:t>
      </w:r>
      <w:r>
        <w:rPr>
          <w:rFonts w:ascii="Times New Roman;Times;serif" w:hAnsi="Times New Roman;Times;serif"/>
          <w:sz w:val="20"/>
        </w:rPr>
        <w:t xml:space="preserve">, which amends the guidance for 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Times;serif" w:hAnsi="Times New Roman;Times;serif"/>
          <w:color w:val="212529"/>
          <w:sz w:val="20"/>
        </w:rPr>
        <w:t>has evaluated the impact of the guidance and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June 30, 2025, the aggregate amount of RPO related to customer contracts that are unsatisfied or partially unsatisfied was $34.8 billion. Approximately 57 percent of the amount is expected to be recognized as revenue in the next two years, approximately 38 percent in the subsequent three years, and the balance thereafter.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2025 and June 30, 2024, revenue increased by $13 million and $11 million, respectively from performance obligations satisfied (or partially satisfied) in previous periods, mainly due to changes in estimates.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611" w:name="Tc_YkDvfWGQtU6sn7KbBLIj-A_7_5"/>
      <w:bookmarkStart w:id="612" w:name="Tc_yXnl1KmdYEmmZr9pagfiHg_7_2"/>
      <w:bookmarkStart w:id="613" w:name="Tc_x_CCbdnqI0GDrMsNP73_1w_7_0"/>
      <w:bookmarkStart w:id="614" w:name="Tc_0iothBmqC0SGZsg9c2JBcw_6_6"/>
      <w:bookmarkStart w:id="615" w:name="Tc_Q4Qa1WKsR02HtRHqVJv9Lg_6_0"/>
      <w:bookmarkStart w:id="616" w:name="Tc_u7X98OXJeESCs8sBSSa9Hw_5_0"/>
      <w:bookmarkStart w:id="617" w:name="Tc_h7cxWazFi0CWe7x3mwaeOw_4_0"/>
      <w:bookmarkStart w:id="618" w:name="Tc_Ru1dhvLc5UCkt6Unuqx5zw_3_5"/>
      <w:bookmarkStart w:id="619" w:name="Tc_XXdavw_5fE69qFXIohO6IA_3_2"/>
      <w:bookmarkStart w:id="620" w:name="Tc_yj1ZMJlFUUKQF2czf8S5mQ_3_0"/>
      <w:bookmarkStart w:id="621" w:name="Tc_EYTqGJr3mU6tu2aLNFffsw_2_5"/>
      <w:bookmarkStart w:id="622" w:name="Tc_TLIS4qpl-EizFvv_4hRABA_2_2"/>
      <w:bookmarkStart w:id="623" w:name="Tc_xQgpK_0e1km03zJj_zF4XQ_2_0"/>
      <w:bookmarkStart w:id="624" w:name="Tc_uNRvFnT5Y0GSPvuY9fkwqA_1_2"/>
      <w:bookmarkStart w:id="625" w:name="_28f9506e_d6c1_47ac_a1f0_ca6078fb5fae"/>
      <w:bookmarkStart w:id="626" w:name="_6f7b92d8_d466_4764_90a7_76fbe495c34c"/>
      <w:bookmarkStart w:id="627" w:name="Tc_-0Z2sKlF0USBVBYYue9mkg_6_0"/>
      <w:bookmarkStart w:id="628" w:name="Tc_pJtGXFPqCUipVAI2oJqVkA_5_0"/>
      <w:bookmarkStart w:id="629" w:name="Tc_Zwy-NQzOZ0mG7-l-S5Z6NA_4_0"/>
      <w:bookmarkStart w:id="630" w:name="Tc_WMvGCbEudUGC7xot80Mu-g_3_5"/>
      <w:bookmarkStart w:id="631" w:name="Tc_QFAMqZ2k-0OtEUZrSb4WWg_3_2"/>
      <w:bookmarkStart w:id="632" w:name="Tc_FAEtygHSZ0muJ3vbpx8INA_3_0"/>
      <w:bookmarkStart w:id="633" w:name="Tc_diynpObkgkCIlnvquAKTKQ_2_5"/>
      <w:bookmarkStart w:id="634" w:name="Tc_tQMFcvOtvk6037bvlguz5Q_2_2"/>
      <w:bookmarkStart w:id="635" w:name="Tc_ICzGgMdVgUibLz08twyFWA_2_0"/>
      <w:bookmarkStart w:id="636" w:name="Tc_m1-2WXZjpUGd5FWg3dWzNw_1_5"/>
      <w:bookmarkStart w:id="637" w:name="Tc_BD0BahjCCkGDjM3lPY8Euw_1_2"/>
      <w:bookmarkStart w:id="638" w:name="_5c0cd96f_8ff4_4e2c_9d81_b33386a756e8"/>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880"/>
        <w:gridCol w:w="326"/>
        <w:gridCol w:w="211"/>
        <w:gridCol w:w="571"/>
        <w:gridCol w:w="326"/>
        <w:gridCol w:w="226"/>
        <w:gridCol w:w="665"/>
      </w:tblGrid>
      <w:tr>
        <w:trPr/>
        <w:tc>
          <w:tcPr>
            <w:tcW w:w="7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9" name="Frame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81" name="Frame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2275" cy="175260"/>
                      <wp:effectExtent l="0" t="0" r="0" b="0"/>
                      <wp:wrapNone/>
                      <wp:docPr id="82" name="Frame8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8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8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$9 at June 30, 2025 and $13 at March 31, 2025)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r>
      <w:tr>
        <w:trPr/>
        <w:tc>
          <w:tcPr>
            <w:tcW w:w="7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7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65"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341</w:t>
            </w:r>
          </w:p>
        </w:tc>
      </w:tr>
    </w:tbl>
    <w:tbl>
      <w:tblPr>
        <w:tblW w:w="7937" w:type="dxa"/>
        <w:jc w:val="left"/>
        <w:tblInd w:w="0" w:type="dxa"/>
        <w:tblLayout w:type="fixed"/>
        <w:tblCellMar>
          <w:top w:w="0" w:type="dxa"/>
          <w:left w:w="0" w:type="dxa"/>
          <w:bottom w:w="0" w:type="dxa"/>
          <w:right w:w="0" w:type="dxa"/>
        </w:tblCellMar>
      </w:tblPr>
      <w:tblGrid>
        <w:gridCol w:w="211"/>
        <w:gridCol w:w="7726"/>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77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Included unbilled receivable balances of $396</w:t>
            </w:r>
            <w:r>
              <w:rPr>
                <w:rFonts w:ascii="Times New Roman;Times;serif" w:hAnsi="Times New Roman;Times;serif"/>
                <w:sz w:val="20"/>
              </w:rPr>
              <w:t xml:space="preserve"> </w:t>
            </w:r>
            <w:r>
              <w:rPr>
                <w:rFonts w:ascii="Times New Roman;Times;serif" w:hAnsi="Times New Roman;Times;serif"/>
                <w:sz w:val="16"/>
              </w:rPr>
              <w:t>million at June 30, 2025 and $425</w:t>
            </w:r>
            <w:r>
              <w:rPr>
                <w:rFonts w:ascii="Times New Roman;Times;serif" w:hAnsi="Times New Roman;Times;serif"/>
                <w:sz w:val="20"/>
              </w:rPr>
              <w:t xml:space="preserve"> </w:t>
            </w:r>
            <w:r>
              <w:rPr>
                <w:rFonts w:ascii="Times New Roman;Times;serif" w:hAnsi="Times New Roman;Times;serif"/>
                <w:sz w:val="16"/>
              </w:rPr>
              <w:t>million at March 31, 2025.</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amount of revenue recognized during the three months ended June 30, 2025 and June 30, 2024 that was included within the deferred income balance at March 31, 2025 and March 31, 2024 was $322 million and $321 million,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three months ended June 30, 2025 and 2024:</w:t>
      </w:r>
    </w:p>
    <w:p>
      <w:pPr>
        <w:pStyle w:val="TextBody"/>
        <w:bidi w:val="0"/>
        <w:spacing w:before="0" w:after="0"/>
        <w:ind w:left="0" w:right="0" w:hanging="0"/>
        <w:jc w:val="left"/>
        <w:rPr/>
      </w:pPr>
      <w:r>
        <w:rPr/>
        <w:t>​</w:t>
      </w:r>
    </w:p>
    <w:tbl>
      <w:tblPr>
        <w:tblW w:w="4142" w:type="dxa"/>
        <w:jc w:val="left"/>
        <w:tblInd w:w="0" w:type="dxa"/>
        <w:tblLayout w:type="fixed"/>
        <w:tblCellMar>
          <w:top w:w="0" w:type="dxa"/>
          <w:left w:w="0" w:type="dxa"/>
          <w:bottom w:w="0" w:type="dxa"/>
          <w:right w:w="0" w:type="dxa"/>
        </w:tblCellMar>
      </w:tblPr>
      <w:tblGrid>
        <w:gridCol w:w="1726"/>
        <w:gridCol w:w="109"/>
        <w:gridCol w:w="322"/>
        <w:gridCol w:w="506"/>
        <w:gridCol w:w="498"/>
        <w:gridCol w:w="322"/>
        <w:gridCol w:w="659"/>
      </w:tblGrid>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4470" cy="175260"/>
                      <wp:effectExtent l="0" t="0" r="0" b="0"/>
                      <wp:wrapNone/>
                      <wp:docPr id="83" name="Frame8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21310" cy="175260"/>
                      <wp:effectExtent l="0" t="0" r="0" b="0"/>
                      <wp:wrapNone/>
                      <wp:docPr id="84" name="Frame84"/>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16230" cy="175260"/>
                      <wp:effectExtent l="0" t="0" r="0" b="0"/>
                      <wp:wrapNone/>
                      <wp:docPr id="85" name="Frame85"/>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4470" cy="175260"/>
                      <wp:effectExtent l="0" t="0" r="0" b="0"/>
                      <wp:wrapNone/>
                      <wp:docPr id="86" name="Frame86"/>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18465" cy="175260"/>
                      <wp:effectExtent l="0" t="0" r="0" b="0"/>
                      <wp:wrapNone/>
                      <wp:docPr id="87" name="Frame87"/>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8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8" w:type="dxa"/>
            <w:tcBorders/>
            <w:vAlign w:val="center"/>
          </w:tcPr>
          <w:p>
            <w:pPr>
              <w:pStyle w:val="TableContents"/>
              <w:bidi w:val="0"/>
              <w:spacing w:before="0" w:after="1"/>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98"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98"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pPr>
            <w:r>
              <w:rPr/>
              <w:t>​</w:t>
            </w:r>
          </w:p>
        </w:tc>
        <w:tc>
          <w:tcPr>
            <w:tcW w:w="5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98"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w:t>
            </w:r>
          </w:p>
        </w:tc>
        <w:tc>
          <w:tcPr>
            <w:tcW w:w="109" w:type="dxa"/>
            <w:tcBorders/>
            <w:vAlign w:val="center"/>
          </w:tcPr>
          <w:p>
            <w:pPr>
              <w:pStyle w:val="TableContents"/>
              <w:bidi w:val="0"/>
              <w:spacing w:before="0" w:after="1"/>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98" w:type="dxa"/>
            <w:tcBorders/>
            <w:vAlign w:val="center"/>
          </w:tcPr>
          <w:p>
            <w:pPr>
              <w:pStyle w:val="TableContents"/>
              <w:bidi w:val="0"/>
              <w:spacing w:before="0" w:after="1"/>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98"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w:t>
            </w:r>
          </w:p>
        </w:tc>
      </w:tr>
    </w:tbl>
    <w:tbl>
      <w:tblPr>
        <w:tblW w:w="3392" w:type="dxa"/>
        <w:jc w:val="left"/>
        <w:tblInd w:w="0" w:type="dxa"/>
        <w:tblLayout w:type="fixed"/>
        <w:tblCellMar>
          <w:top w:w="0" w:type="dxa"/>
          <w:left w:w="0" w:type="dxa"/>
          <w:bottom w:w="0" w:type="dxa"/>
          <w:right w:w="0" w:type="dxa"/>
        </w:tblCellMar>
      </w:tblPr>
      <w:tblGrid>
        <w:gridCol w:w="211"/>
        <w:gridCol w:w="3181"/>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translation adjustments</w:t>
            </w:r>
            <w:r>
              <w:rPr>
                <w:rFonts w:ascii="Times New Roman;Times;serif" w:hAnsi="Times New Roman;Times;serif"/>
                <w:sz w:val="14"/>
              </w:rPr>
              <w:t>.</w:t>
            </w:r>
          </w:p>
        </w:tc>
      </w:tr>
    </w:tbl>
    <w:p>
      <w:pPr>
        <w:pStyle w:val="TextBody"/>
        <w:bidi w:val="0"/>
        <w:spacing w:before="0" w:after="240"/>
        <w:ind w:left="187" w:right="0" w:firstLine="533"/>
        <w:jc w:val="left"/>
        <w:rPr>
          <w:rFonts w:ascii="Times New Roman;Times;serif" w:hAnsi="Times New Roman;Times;serif"/>
          <w:sz w:val="20"/>
        </w:rPr>
      </w:pPr>
      <w:r>
        <w:rPr>
          <w:rFonts w:ascii="Times New Roman;Times;serif" w:hAnsi="Times New Roman;Times;serif"/>
          <w:sz w:val="20"/>
        </w:rPr>
        <w:t>The contract assets allowance for expected credit losses was not material in any of the periods presented.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Clients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months ended June 30, 2025 and 2024. No single client represented more than 10 percent of the Company’s total accounts receivable balance as of June 30, 2025 and March 31, 2025, respectively.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Costs</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years. For contracts with an estimated amortization period of less than one year, we elected the practical expedient to expense incremental costs immediately.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639" w:name="Tc_J3wNHfjXy0eZvYvJ6ej3pQ_7_5"/>
      <w:bookmarkStart w:id="640" w:name="Tc__mooDFXgZEGs3bcWmMytcw_7_2"/>
      <w:bookmarkStart w:id="641" w:name="Tc_vPyjpLr0uESjmK_0tfjL6A_7_0"/>
      <w:bookmarkStart w:id="642" w:name="Tc_8ThIuwDgGUmSIJKQtriqCQ_6_0"/>
      <w:bookmarkStart w:id="643" w:name="Tc_a0T_1So_QEeJD4_1vibKXA_5_0"/>
      <w:bookmarkStart w:id="644" w:name="Tc_xnhhsm7j-ESUaGjnUIrY2w_4_0"/>
      <w:bookmarkStart w:id="645" w:name="Tc_p1PZU9yR00O2lKH0oD9QPQ_3_5"/>
      <w:bookmarkStart w:id="646" w:name="Tc_B1Jug7JPwE-xNz6mNvcoTA_3_2"/>
      <w:bookmarkStart w:id="647" w:name="Tc_AVtNk3-lA0-33L02cyb3hQ_3_0"/>
      <w:bookmarkStart w:id="648" w:name="Tc_wth7d1D1OUiYjde_HYSq2g_2_5"/>
      <w:bookmarkStart w:id="649" w:name="Tc_Re5oemyKLUyXjrhjG7DFRw_2_2"/>
      <w:bookmarkStart w:id="650" w:name="Tc_S0SNXNwT20mkTwQx728SoQ_2_0"/>
      <w:bookmarkStart w:id="651" w:name="Tc_YNx5ojLyDkS0YAr392uFxA_1_5"/>
      <w:bookmarkStart w:id="652" w:name="Tc_sLdIOCcxJkOXhLshRwfTHw_1_2"/>
      <w:bookmarkStart w:id="653" w:name="_038843f9_8cc6_4be9_aef8_c74b28048e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sz w:val="20"/>
        </w:rPr>
        <w:t>The following table provides amounts of capitalized costs to acquire and fulfill customer contracts at June 30, 2025 and March 31, 2025:</w:t>
      </w:r>
    </w:p>
    <w:p>
      <w:pPr>
        <w:pStyle w:val="TextBody"/>
        <w:bidi w:val="0"/>
        <w:spacing w:before="0" w:after="240"/>
        <w:ind w:left="0" w:right="0" w:firstLine="720"/>
        <w:jc w:val="left"/>
        <w:rPr/>
      </w:pPr>
      <w:r>
        <w:rPr/>
        <w:t>​</w:t>
      </w:r>
    </w:p>
    <w:tbl>
      <w:tblPr>
        <w:tblW w:w="5410" w:type="dxa"/>
        <w:jc w:val="left"/>
        <w:tblInd w:w="0" w:type="dxa"/>
        <w:tblLayout w:type="fixed"/>
        <w:tblCellMar>
          <w:top w:w="0" w:type="dxa"/>
          <w:left w:w="0" w:type="dxa"/>
          <w:bottom w:w="0" w:type="dxa"/>
          <w:right w:w="0" w:type="dxa"/>
        </w:tblCellMar>
      </w:tblPr>
      <w:tblGrid>
        <w:gridCol w:w="3076"/>
        <w:gridCol w:w="326"/>
        <w:gridCol w:w="211"/>
        <w:gridCol w:w="571"/>
        <w:gridCol w:w="326"/>
        <w:gridCol w:w="211"/>
        <w:gridCol w:w="689"/>
      </w:tblGrid>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7515" cy="175260"/>
                      <wp:effectExtent l="0" t="0" r="0" b="0"/>
                      <wp:wrapNone/>
                      <wp:docPr id="93" name="Frame9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costs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2,049</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Of the total deferred costs, $1,144</w:t>
            </w:r>
            <w:r>
              <w:rPr>
                <w:rFonts w:ascii="Times New Roman;Times;serif" w:hAnsi="Times New Roman;Times;serif"/>
                <w:sz w:val="20"/>
              </w:rPr>
              <w:t xml:space="preserve"> </w:t>
            </w:r>
            <w:r>
              <w:rPr>
                <w:rFonts w:ascii="Times New Roman;Times;serif" w:hAnsi="Times New Roman;Times;serif"/>
                <w:sz w:val="16"/>
              </w:rPr>
              <w:t>million was current and $1,968</w:t>
            </w:r>
            <w:r>
              <w:rPr>
                <w:rFonts w:ascii="Times New Roman;Times;serif" w:hAnsi="Times New Roman;Times;serif"/>
                <w:sz w:val="20"/>
              </w:rPr>
              <w:t xml:space="preserve"> </w:t>
            </w:r>
            <w:r>
              <w:rPr>
                <w:rFonts w:ascii="Times New Roman;Times;serif" w:hAnsi="Times New Roman;Times;serif"/>
                <w:sz w:val="16"/>
              </w:rPr>
              <w:t>million was noncurrent at June 30, 2025, and $1,009</w:t>
            </w:r>
            <w:r>
              <w:rPr>
                <w:rFonts w:ascii="Times New Roman;Times;serif" w:hAnsi="Times New Roman;Times;serif"/>
                <w:sz w:val="20"/>
              </w:rPr>
              <w:t xml:space="preserve"> </w:t>
            </w:r>
            <w:r>
              <w:rPr>
                <w:rFonts w:ascii="Times New Roman;Times;serif" w:hAnsi="Times New Roman;Times;serif"/>
                <w:sz w:val="16"/>
              </w:rPr>
              <w:t>million was current and $1,040</w:t>
            </w:r>
            <w:r>
              <w:rPr>
                <w:rFonts w:ascii="Times New Roman;Times;serif" w:hAnsi="Times New Roman;Times;serif"/>
                <w:sz w:val="20"/>
              </w:rPr>
              <w:t xml:space="preserve"> </w:t>
            </w:r>
            <w:r>
              <w:rPr>
                <w:rFonts w:ascii="Times New Roman;Times;serif" w:hAnsi="Times New Roman;Times;serif"/>
                <w:sz w:val="16"/>
              </w:rPr>
              <w:t>million was noncurrent at March 31, 2025.</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amount of total deferred costs amortized for the three months ended June 30, 2025 was $414 million, composed of $63 million of amortization of deferred transition costs, $245 million of amortization of prepaid software and $106 million of amortization of capitalized contract costs. The amount of total deferred costs amortized for the three months ended June 30, 2024 was $417 million, composed of $72 million of amortization of deferred transition costs, $238 million of amortization of prepaid software and $107 million of amortization of capitalized contract costs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54" w:name="_Hlk195173242"/>
      <w:bookmarkEnd w:id="654"/>
      <w:r>
        <w:rPr>
          <w:rFonts w:ascii="Times New Roman;Times;serif" w:hAnsi="Times New Roman;Times;serif"/>
          <w:b/>
          <w:sz w:val="20"/>
        </w:rPr>
        <w:t>NOTE 4. SEGMENTS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our chief executive officer, reviews performance and allocates resources. Our four reportable segments consist of the following: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Canada, France, Germany, India, Italy, Spain / Portugal, and the United Kingdom / Ireland.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measure of segment operating performance used by Kyndryl’s CODM is adjusted EBITDA</w:t>
      </w:r>
      <w:r>
        <w:rPr>
          <w:rFonts w:ascii="Times New Roman;Times;serif" w:hAnsi="Times New Roman;Times;serif"/>
          <w:sz w:val="20"/>
          <w:shd w:fill="FFFFFF" w:val="clear"/>
        </w:rPr>
        <w:t>, which allows our CODM to evaluate operating results excluding certain items whose fluctuation from period to period do not necessarily correspond to changes in the operations of our business.</w:t>
      </w:r>
      <w:r>
        <w:rPr>
          <w:rFonts w:ascii="Times New Roman;Times;serif" w:hAnsi="Times New Roman;Times;serif"/>
          <w:sz w:val="20"/>
        </w:rPr>
        <w:t xml:space="preserve">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The CODM reviews revenue and adjusted EBITDA to assess performance and allocate resources to the segments. The Company does not allocate assets to the above reportable segments for our CODM’s review.</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120"/>
        <w:ind w:left="0" w:right="0" w:firstLine="720"/>
        <w:jc w:val="left"/>
        <w:rPr>
          <w:rFonts w:ascii="Times New Roman;Times;serif" w:hAnsi="Times New Roman;Times;serif"/>
          <w:sz w:val="20"/>
        </w:rPr>
      </w:pPr>
      <w:bookmarkStart w:id="655" w:name="Tc_omHJ9U7PtUWg0OCe6sVFhw_12_5"/>
      <w:bookmarkStart w:id="656" w:name="Tc_ri7sH-tb60WdPQn437k6Bg_12_2"/>
      <w:bookmarkStart w:id="657" w:name="Tc_e74D4_RJYE2eoL8ixD6wJg_12_0"/>
      <w:bookmarkStart w:id="658" w:name="Tc_u_0w7toH-UaMsuGBgMnIng_11_0"/>
      <w:bookmarkStart w:id="659" w:name="Tc_ttq48xASEkSuo1178Z__Ow_10_0"/>
      <w:bookmarkStart w:id="660" w:name="Tc_gM3xzQemNU66d_8YwpUt6w_9_0"/>
      <w:bookmarkStart w:id="661" w:name="Tc_-3YIfBMwEEmdbaBL9ITiMA_8_0"/>
      <w:bookmarkStart w:id="662" w:name="Tc_FNN60RB6jUeFAgEVtb0EEg_7_0"/>
      <w:bookmarkStart w:id="663" w:name="Tc_2Twc2VdNnkyYMhX1pOWv2w_6_0"/>
      <w:bookmarkStart w:id="664" w:name="Tc_N7h37e01502CpQkRfc0n4g_5_3"/>
      <w:bookmarkStart w:id="665" w:name="Tc_jSL5UBNmx0-I07fAYS6M1w_5_0"/>
      <w:bookmarkStart w:id="666" w:name="Tc_je-rx06uNEObNQWBeKw-Sw_4_3"/>
      <w:bookmarkStart w:id="667" w:name="Tc_cYVG2VvJ5kS98Vloe8mSHw_4_0"/>
      <w:bookmarkStart w:id="668" w:name="Tc_WYgSQE7bTEi4gUMpBw7MAA_3_5"/>
      <w:bookmarkStart w:id="669" w:name="Tc_7dZbHRZiAEWxKSJQ8ir_Qg_3_2"/>
      <w:bookmarkStart w:id="670" w:name="Tc_9gUg2LKJg0-eWo5FTYuddw_3_0"/>
      <w:bookmarkStart w:id="671" w:name="Tc_JcG_Iqv570-fP1rbxzuldA_2_5"/>
      <w:bookmarkStart w:id="672" w:name="Tc_gU2AXk7t3k6fZyzGunzVug_2_2"/>
      <w:bookmarkStart w:id="673" w:name="Tc_cwGe3aPPA0O1ppoYOCj--g_2_0"/>
      <w:bookmarkStart w:id="674" w:name="Tc_R6JIkyIJz0C1OTTtWqin5w_1_2"/>
      <w:bookmarkStart w:id="675" w:name="_98f27db0_e841_4820_bb4e_986e78addaab"/>
      <w:bookmarkStart w:id="676" w:name="Tc_hSEiWTc4CkucEEJaYPb4qg_17_14"/>
      <w:bookmarkStart w:id="677" w:name="Tc_qyY37yAq806voTjf4M_AOw_17_11"/>
      <w:bookmarkStart w:id="678" w:name="Tc_cSG8iL4YKUuHpy07KBGQsQ_17_8"/>
      <w:bookmarkStart w:id="679" w:name="Tc_EB6cuI3MN0mDTnKP55Sz5g_17_5"/>
      <w:bookmarkStart w:id="680" w:name="Tc_raY7r_oamEywxKmIZcm8aw_17_2"/>
      <w:bookmarkStart w:id="681" w:name="Tc_RzANxEZWr0OIzW1wi33OcA_17_0"/>
      <w:bookmarkStart w:id="682" w:name="Tc_0a50DXQKm0eVTs4-3DpKhQ_16_0"/>
      <w:bookmarkStart w:id="683" w:name="Tc_R71xxIV3xk6SxGrMTlx9mQ_15_0"/>
      <w:bookmarkStart w:id="684" w:name="Tc_K9hcbVJPg02vnyb6-X9eUQ_14_0"/>
      <w:bookmarkStart w:id="685" w:name="Tc_-Cddpqd2-EqdEzofEuT7hQ_13_14"/>
      <w:bookmarkStart w:id="686" w:name="Tc_ugdHyM9lRUWQToO_6Tq3SQ_13_11"/>
      <w:bookmarkStart w:id="687" w:name="Tc_wGI0DwYfCEqXHGAGgZ6WSg_13_8"/>
      <w:bookmarkStart w:id="688" w:name="Tc_gV9WvyNcSEG_SlHeslkpVQ_13_5"/>
      <w:bookmarkStart w:id="689" w:name="Tc_D-06cU465Ee3KnGU_yYyCQ_13_2"/>
      <w:bookmarkStart w:id="690" w:name="Tc_Osu7MegXZkKjvgxLngOuxg_13_0"/>
      <w:bookmarkStart w:id="691" w:name="Tc_GFoJ4I_RlEWA7Dx_YRkaig_12_14"/>
      <w:bookmarkStart w:id="692" w:name="Tc_DjulSad2tEuInm_4R_mtLA_12_11"/>
      <w:bookmarkStart w:id="693" w:name="Tc_Gx93D797QE2T1pOqs2RsdQ_12_8"/>
      <w:bookmarkStart w:id="694" w:name="Tc_skYwhOdBH0qy-FyVJwe9AA_12_5"/>
      <w:bookmarkStart w:id="695" w:name="Tc_Y7LDtQFpz0eYYs3Sdlad9A_12_2"/>
      <w:bookmarkStart w:id="696" w:name="Tc__aVzFnQvGEGzYsw22zgl7w_12_0"/>
      <w:bookmarkStart w:id="697" w:name="Tc_dFCl3t1I8UyEN951cww3_A_11_14"/>
      <w:bookmarkStart w:id="698" w:name="Tc_fPikD9nJJ0ifWCNuxj_uTQ_11_11"/>
      <w:bookmarkStart w:id="699" w:name="Tc_HJz29s4CLkKgIvgFLbeMBg_11_8"/>
      <w:bookmarkStart w:id="700" w:name="Tc_50woGIjmV0Gba10yK9NpLg_11_2"/>
      <w:bookmarkStart w:id="701" w:name="Tc_Ura9udOKuUi0BosmZss7HA_10_2"/>
      <w:bookmarkStart w:id="702" w:name="Tc_G6pX-qhapk6uf2RUw5zx7A_8_14"/>
      <w:bookmarkStart w:id="703" w:name="Tc_tDVCTHAC-UWg1Jslrxllag_8_11"/>
      <w:bookmarkStart w:id="704" w:name="Tc_yz1yuMBKEkmcXexlJE57oQ_8_8"/>
      <w:bookmarkStart w:id="705" w:name="Tc_Z5yoWiBf1UWrexRuukrqAQ_8_5"/>
      <w:bookmarkStart w:id="706" w:name="Tc_Wrb3UV_xKkCzbYjK_gFRKA_8_2"/>
      <w:bookmarkStart w:id="707" w:name="Tc_oDwxOr74O0CPw5Bjd5cyXQ_8_0"/>
      <w:bookmarkStart w:id="708" w:name="Tc_o0qukyQ9G0S8YQCQ3ExRzw_7_0"/>
      <w:bookmarkStart w:id="709" w:name="Tc_k4gyTHOq6E-v8LoUZ01BIA_6_0"/>
      <w:bookmarkStart w:id="710" w:name="Tc_Srpg9QbjmUmt4Xb2arkbSA_5_0"/>
      <w:bookmarkStart w:id="711" w:name="Tc_8vspfURoTUCS01GaLDiSGw_4_14"/>
      <w:bookmarkStart w:id="712" w:name="Tc_BgGzIJgQJ0WWzNvl4L73_g_4_11"/>
      <w:bookmarkStart w:id="713" w:name="Tc_Ri5r1y8nzEGZaGWASIt8eQ_4_8"/>
      <w:bookmarkStart w:id="714" w:name="Tc_ySOdJx03ZUeuuHUdi-uqPw_4_5"/>
      <w:bookmarkStart w:id="715" w:name="Tc_CkMUB9MM6EGKsrfELVREgA_4_2"/>
      <w:bookmarkStart w:id="716" w:name="Tc_q9mW876egkKKOzARqRxoyQ_4_0"/>
      <w:bookmarkStart w:id="717" w:name="Tc_XAWA1FsuhECIas0jeLAA_Q_3_14"/>
      <w:bookmarkStart w:id="718" w:name="Tc_vaCxU63LBEKwq6HhJx3Xxg_3_11"/>
      <w:bookmarkStart w:id="719" w:name="Tc_sZkV8k7WK0u0NiMQsb-y9g_3_8"/>
      <w:bookmarkStart w:id="720" w:name="Tc_b-E5Yw36vkCM472DL4lMDw_3_5"/>
      <w:bookmarkStart w:id="721" w:name="Tc_1mTMzKmiwUGJPItBhC7mVA_3_2"/>
      <w:bookmarkStart w:id="722" w:name="Tc_2hLEbyOS5km_2UwxD3TugQ_3_0"/>
      <w:bookmarkStart w:id="723" w:name="Tc_K1DmgeMe9UWPj6dnhnSwjg_2_14"/>
      <w:bookmarkStart w:id="724" w:name="Tc_I_K4-5hep0-4h5MiLVQ8iA_2_11"/>
      <w:bookmarkStart w:id="725" w:name="Tc_0INCaUyijUqkJWRmhyvBEQ_2_8"/>
      <w:bookmarkStart w:id="726" w:name="Tc_Crfd3lTrpUOx7aeDEvS7Qg_2_2"/>
      <w:bookmarkStart w:id="727" w:name="Tc_GjyDU-wJJkWZkrbxJjPoRQ_1_2"/>
      <w:bookmarkStart w:id="728" w:name="_4b63389b_9af6_42d9_9b4e_876e081d5272"/>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Times New Roman;Times;serif" w:hAnsi="Times New Roman;Times;serif"/>
          <w:sz w:val="20"/>
        </w:rPr>
        <w:t>The following tables reflect the results of the Company’s segments:</w:t>
      </w:r>
    </w:p>
    <w:tbl>
      <w:tblPr>
        <w:tblW w:w="10205" w:type="dxa"/>
        <w:jc w:val="left"/>
        <w:tblInd w:w="0" w:type="dxa"/>
        <w:tblLayout w:type="fixed"/>
        <w:tblCellMar>
          <w:top w:w="0" w:type="dxa"/>
          <w:left w:w="0" w:type="dxa"/>
          <w:bottom w:w="0" w:type="dxa"/>
          <w:right w:w="0" w:type="dxa"/>
        </w:tblCellMar>
      </w:tblPr>
      <w:tblGrid>
        <w:gridCol w:w="4936"/>
        <w:gridCol w:w="326"/>
        <w:gridCol w:w="211"/>
        <w:gridCol w:w="421"/>
        <w:gridCol w:w="326"/>
        <w:gridCol w:w="211"/>
        <w:gridCol w:w="421"/>
        <w:gridCol w:w="326"/>
        <w:gridCol w:w="211"/>
        <w:gridCol w:w="571"/>
        <w:gridCol w:w="326"/>
        <w:gridCol w:w="255"/>
        <w:gridCol w:w="511"/>
        <w:gridCol w:w="326"/>
        <w:gridCol w:w="211"/>
        <w:gridCol w:w="616"/>
      </w:tblGrid>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7335" cy="175260"/>
                      <wp:effectExtent l="0" t="0" r="0" b="0"/>
                      <wp:wrapNone/>
                      <wp:docPr id="96" name="Frame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7335" cy="175260"/>
                      <wp:effectExtent l="0" t="0" r="0" b="0"/>
                      <wp:wrapNone/>
                      <wp:docPr id="99" name="Frame9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2585" cy="175260"/>
                      <wp:effectExtent l="0" t="0" r="0" b="0"/>
                      <wp:wrapNone/>
                      <wp:docPr id="102" name="Frame1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1925" cy="175260"/>
                      <wp:effectExtent l="0" t="0" r="0" b="0"/>
                      <wp:wrapNone/>
                      <wp:docPr id="104" name="Frame10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4485" cy="175260"/>
                      <wp:effectExtent l="0" t="0" r="0" b="0"/>
                      <wp:wrapNone/>
                      <wp:docPr id="105" name="Frame10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1160" cy="175260"/>
                      <wp:effectExtent l="0" t="0" r="0" b="0"/>
                      <wp:wrapNone/>
                      <wp:docPr id="108" name="Frame10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2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577</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Cost of service, excluding depreciation and amortization and selling, general and administrative expenses, excluding depreciation and </w:t>
        <w:br/>
        <w:t>amortization are both used in calculating segment adjusted EBITDA and exclude depreciation of property, equipment and capitalized software</w:t>
        <w:br/>
        <w:t>and amortization of transition costs and prepaid software.</w:t>
      </w:r>
    </w:p>
    <w:p>
      <w:pPr>
        <w:pStyle w:val="TextBody"/>
        <w:bidi w:val="0"/>
        <w:spacing w:before="0" w:after="240"/>
        <w:ind w:left="0" w:right="0" w:hanging="0"/>
        <w:jc w:val="left"/>
        <w:rPr/>
      </w:pPr>
      <w:r>
        <w:rPr/>
        <w:t xml:space="preserve">† </w:t>
      </w:r>
      <w:r>
        <w:rPr>
          <w:rFonts w:ascii="Times New Roman;Times;serif" w:hAnsi="Times New Roman;Times;serif"/>
          <w:sz w:val="16"/>
        </w:rPr>
        <w:t>Other items include workforce rebalancing charges and other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(loss): </w:t>
      </w:r>
    </w:p>
    <w:p>
      <w:pPr>
        <w:pStyle w:val="TextBody"/>
        <w:bidi w:val="0"/>
        <w:spacing w:before="0" w:after="240"/>
        <w:ind w:left="0" w:right="0" w:hanging="0"/>
        <w:jc w:val="left"/>
        <w:rPr/>
      </w:pPr>
      <w:r>
        <w:rPr/>
        <w:t>​</w:t>
      </w:r>
    </w:p>
    <w:tbl>
      <w:tblPr>
        <w:tblW w:w="8816" w:type="dxa"/>
        <w:jc w:val="left"/>
        <w:tblInd w:w="0" w:type="dxa"/>
        <w:tblLayout w:type="fixed"/>
        <w:tblCellMar>
          <w:top w:w="0" w:type="dxa"/>
          <w:left w:w="0" w:type="dxa"/>
          <w:bottom w:w="0" w:type="dxa"/>
          <w:right w:w="0" w:type="dxa"/>
        </w:tblCellMar>
      </w:tblPr>
      <w:tblGrid>
        <w:gridCol w:w="6181"/>
        <w:gridCol w:w="326"/>
        <w:gridCol w:w="260"/>
        <w:gridCol w:w="666"/>
        <w:gridCol w:w="401"/>
        <w:gridCol w:w="260"/>
        <w:gridCol w:w="722"/>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24935" cy="175260"/>
                      <wp:effectExtent l="0" t="0" r="0" b="0"/>
                      <wp:wrapNone/>
                      <wp:docPr id="109" name="Frame109"/>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5100" cy="175260"/>
                      <wp:effectExtent l="0" t="0" r="0" b="0"/>
                      <wp:wrapNone/>
                      <wp:docPr id="111" name="Frame11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2910" cy="175260"/>
                      <wp:effectExtent l="0" t="0" r="0" b="0"/>
                      <wp:wrapNone/>
                      <wp:docPr id="112" name="Frame112"/>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54635" cy="175260"/>
                      <wp:effectExtent l="0" t="0" r="0" b="0"/>
                      <wp:wrapNone/>
                      <wp:docPr id="113" name="Frame113"/>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5100" cy="175260"/>
                      <wp:effectExtent l="0" t="0" r="0" b="0"/>
                      <wp:wrapNone/>
                      <wp:docPr id="114" name="Frame11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58470" cy="175260"/>
                      <wp:effectExtent l="0" t="0" r="0" b="0"/>
                      <wp:wrapNone/>
                      <wp:docPr id="115" name="Frame11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6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1" w:type="dxa"/>
            <w:tcBorders/>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401"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666"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0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1"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40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401"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1"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1"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Pretax income (loss) </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01"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2025, the Company’s effective tax rate was 39.1%, compared to 82.7% for the three months ended June 30, 2024.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effective tax rates for the three months ended June 30, 2025 and 2024 were higher than the Company’s statutory rate primarily due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2025, the U.S. government enacted new tax legislation that, among other things, made permanent items such as 100% bonus depreciation on certain fixed assets, immediate expensing of domestic research costs and an increased business interest expense limitation. It also included modifications to several international tax provisions. We are currently assessing the impacts of the new legislation on our consolidated financial statements. </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729" w:name="Tc_A4HJ0ZN-iUCxnXd_mrL7Ew_6_0"/>
      <w:bookmarkStart w:id="730" w:name="Tc_13n7qmmj3Uak_dnsoSATHQ_5_2"/>
      <w:bookmarkStart w:id="731" w:name="Tc_OCbwj1jbEUqZ_0m4CT99LA_5_0"/>
      <w:bookmarkStart w:id="732" w:name="Tc_Vp5qlUAH-U2mKMp4q2bJFQ_4_0"/>
      <w:bookmarkStart w:id="733" w:name="Tc_3E1vijL6D0GbdvcvwaiSlA_3_0"/>
      <w:bookmarkStart w:id="734" w:name="Tc_CvRGrUBqMEW4GgHckwNs-A_2_4"/>
      <w:bookmarkStart w:id="735" w:name="Tc_ELDU1iCuCEinNNO6FabarQ_2_2"/>
      <w:bookmarkStart w:id="736" w:name="Tc_h8TBki4-Y0KMXhkRJsTkHg_2_0"/>
      <w:bookmarkStart w:id="737" w:name="Tc_s0HTZ7D7_U6jOmdX92OfqQ_1_2"/>
      <w:bookmarkStart w:id="738" w:name="Tc_-7X3oUa1UkCflbZ1MOC1Kg_10_0"/>
      <w:bookmarkStart w:id="739" w:name="Tc_nBdLDqZSpkyuD_IK2S7sFA_9_5"/>
      <w:bookmarkStart w:id="740" w:name="Tc_36cqfo5LyEeZ9540CSEkpA_9_2"/>
      <w:bookmarkStart w:id="741" w:name="Tc_H92amGwdbkSK2-8f77tYZw_9_0"/>
      <w:bookmarkStart w:id="742" w:name="Tc_tIVPv5-QUESdaAadgeeR2w_7_0"/>
      <w:bookmarkStart w:id="743" w:name="Tc_uU6hvwRGDEG5cDvFwtdaSA_6_0"/>
      <w:bookmarkStart w:id="744" w:name="Tc_8GtdwSuwV0SKWIu4-yCq8Q_5_0"/>
      <w:bookmarkStart w:id="745" w:name="Tc_UhWkAfjOd0uAzWfXXue6xg_3_5"/>
      <w:bookmarkStart w:id="746" w:name="Tc_hiNCoR94cEuwsegVS6Hplw_3_2"/>
      <w:bookmarkStart w:id="747" w:name="Tc_0GWFGBy2w0eYKX7dLT0diA_3_0"/>
      <w:bookmarkStart w:id="748" w:name="Tc_n-o5Y9W1xU6tj_v8NFciCQ_2_5"/>
      <w:bookmarkStart w:id="749" w:name="Tc_yPzWBNSFRkiSgFLr2fY1Kw_2_2"/>
      <w:bookmarkStart w:id="750" w:name="Tc_djyuDXAcrUyLNKxeKIaulQ_2_0"/>
      <w:bookmarkStart w:id="751" w:name="Tc_rYtB-vv-eEqZMe6pZiJI_w_1_2"/>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b/>
          <w:sz w:val="20"/>
        </w:rPr>
        <w:t xml:space="preserve">NOTE 6. EARNINGS PER SHARE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dividends in the periods presented. The following table provides the computation of basic and diluted earnings per share of common stock for the three months ended June 30, 2025 and 2024. </w:t>
      </w:r>
    </w:p>
    <w:p>
      <w:pPr>
        <w:pStyle w:val="TextBody"/>
        <w:bidi w:val="0"/>
        <w:spacing w:before="0" w:after="240"/>
        <w:ind w:left="0" w:right="0" w:firstLine="720"/>
        <w:jc w:val="left"/>
        <w:rPr/>
      </w:pPr>
      <w:r>
        <w:rPr/>
        <w:t>​</w:t>
      </w:r>
    </w:p>
    <w:tbl>
      <w:tblPr>
        <w:tblW w:w="8313" w:type="dxa"/>
        <w:jc w:val="left"/>
        <w:tblInd w:w="0" w:type="dxa"/>
        <w:tblLayout w:type="fixed"/>
        <w:tblCellMar>
          <w:top w:w="0" w:type="dxa"/>
          <w:left w:w="0" w:type="dxa"/>
          <w:bottom w:w="0" w:type="dxa"/>
          <w:right w:w="0" w:type="dxa"/>
        </w:tblCellMar>
      </w:tblPr>
      <w:tblGrid>
        <w:gridCol w:w="5896"/>
        <w:gridCol w:w="109"/>
        <w:gridCol w:w="283"/>
        <w:gridCol w:w="768"/>
        <w:gridCol w:w="146"/>
        <w:gridCol w:w="283"/>
        <w:gridCol w:w="828"/>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743960" cy="175260"/>
                      <wp:effectExtent l="0" t="0" r="0" b="0"/>
                      <wp:wrapNone/>
                      <wp:docPr id="116" name="Frame116"/>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9705" cy="175260"/>
                      <wp:effectExtent l="0" t="0" r="0" b="0"/>
                      <wp:wrapNone/>
                      <wp:docPr id="118" name="Frame11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87680" cy="175260"/>
                      <wp:effectExtent l="0" t="0" r="0" b="0"/>
                      <wp:wrapNone/>
                      <wp:docPr id="119" name="Frame11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20" name="Frame1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9705" cy="175260"/>
                      <wp:effectExtent l="0" t="0" r="0" b="0"/>
                      <wp:wrapNone/>
                      <wp:docPr id="121" name="Frame12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5780" cy="175260"/>
                      <wp:effectExtent l="0" t="0" r="0" b="0"/>
                      <wp:wrapNone/>
                      <wp:docPr id="122" name="Frame12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58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8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r>
      <w:tr>
        <w:trPr/>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earnings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1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230.5</w:t>
            </w:r>
          </w:p>
        </w:tc>
      </w:tr>
      <w:tr>
        <w:trPr/>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 and equity awards</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4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diluted earnings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c>
          <w:tcPr>
            <w:tcW w:w="1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r>
      <w:tr>
        <w:trPr/>
        <w:tc>
          <w:tcPr>
            <w:tcW w:w="58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r>
      <w:tr>
        <w:trPr/>
        <w:tc>
          <w:tcPr>
            <w:tcW w:w="5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1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5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1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0.05</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securities were not included in the computation of diluted earnings per share because to do so would have been anti-dilutive:</w:t>
      </w:r>
    </w:p>
    <w:p>
      <w:pPr>
        <w:pStyle w:val="TextBody"/>
        <w:bidi w:val="0"/>
        <w:spacing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4021"/>
        <w:gridCol w:w="109"/>
        <w:gridCol w:w="991"/>
        <w:gridCol w:w="231"/>
        <w:gridCol w:w="1087"/>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553335" cy="175260"/>
                      <wp:effectExtent l="0" t="0" r="0" b="0"/>
                      <wp:wrapNone/>
                      <wp:docPr id="123" name="Frame12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29285" cy="175260"/>
                      <wp:effectExtent l="0" t="0" r="0" b="0"/>
                      <wp:wrapNone/>
                      <wp:docPr id="125" name="Frame12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6685" cy="175260"/>
                      <wp:effectExtent l="0" t="0" r="0" b="0"/>
                      <wp:wrapNone/>
                      <wp:docPr id="126" name="Frame12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0245" cy="175260"/>
                      <wp:effectExtent l="0" t="0" r="0" b="0"/>
                      <wp:wrapNone/>
                      <wp:docPr id="127" name="Frame127"/>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31" w:type="dxa"/>
            <w:tcBorders/>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31"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31"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31" w:type="dxa"/>
            <w:tcBorders/>
            <w:vAlign w:val="center"/>
          </w:tcPr>
          <w:p>
            <w:pPr>
              <w:pStyle w:val="TableContents"/>
              <w:bidi w:val="0"/>
              <w:spacing w:before="0" w:after="0"/>
              <w:ind w:left="0" w:right="0" w:hanging="0"/>
              <w:jc w:val="left"/>
              <w:rPr/>
            </w:pPr>
            <w:r>
              <w:rPr/>
              <w:t>​</w:t>
            </w:r>
          </w:p>
        </w:tc>
        <w:tc>
          <w:tcPr>
            <w:tcW w:w="108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ind w:left="0" w:right="0" w:hanging="0"/>
        <w:jc w:val="left"/>
        <w:rPr>
          <w:sz w:val="4"/>
          <w:szCs w:val="4"/>
        </w:rPr>
      </w:pPr>
      <w:r>
        <w:rPr>
          <w:sz w:val="4"/>
          <w:szCs w:val="4"/>
        </w:rPr>
      </w:r>
      <w:bookmarkStart w:id="752" w:name="_5a685292_2809_4681_8347_a4cbbbb4c9e4_3"/>
      <w:bookmarkStart w:id="753" w:name="_5a685292_2809_4681_8347_a4cbbbb4c9e4_2"/>
      <w:bookmarkStart w:id="754" w:name="_5a685292_2809_4681_8347_a4cbbbb4c9e4"/>
      <w:bookmarkStart w:id="755" w:name="_21fc5b9f_f66e_491c_b0de_12c3c90498b1_3"/>
      <w:bookmarkStart w:id="756" w:name="_21fc5b9f_f66e_491c_b0de_12c3c90498b1_2"/>
      <w:bookmarkStart w:id="757" w:name="_21fc5b9f_f66e_491c_b0de_12c3c90498b1"/>
      <w:bookmarkStart w:id="758" w:name="Tc_kB_MCYBDdkeAa_enWkdxPw_9_19"/>
      <w:bookmarkStart w:id="759" w:name="Tc_E_kSFSL7FU6q8Z664QOubQ_9_16"/>
      <w:bookmarkStart w:id="760" w:name="Tc_lFwRO5jXKE-lJohT9kVlAw_9_13"/>
      <w:bookmarkStart w:id="761" w:name="Tc_uahyUxDtR0qwLoi4rVPuMw_9_10"/>
      <w:bookmarkStart w:id="762" w:name="Tc_hRmyntkI9USPQ0fh2HZesQ_9_7"/>
      <w:bookmarkStart w:id="763" w:name="Tc_fSctIiLUrkauKJ34gjit9g_9_4"/>
      <w:bookmarkStart w:id="764" w:name="Tc_bfOigKR4-UyhwxclLZDQRg_9_0"/>
      <w:bookmarkStart w:id="765" w:name="Tc_LD-LkrAAYECL9owbTVB_Bw_8_2"/>
      <w:bookmarkStart w:id="766" w:name="Tc_oczX_cepGk-E6VVsfr6zhg_8_0"/>
      <w:bookmarkStart w:id="767" w:name="Tc_pV4QodQhBUeuOe5B0NZtiw_7_0"/>
      <w:bookmarkStart w:id="768" w:name="Tc_b_c7xXdPcEaXsGTK8z6DAg_6_20"/>
      <w:bookmarkStart w:id="769" w:name="Tc_KX_iyW26aUOaBxg8mxaMWQ_6_2"/>
      <w:bookmarkStart w:id="770" w:name="Tc_hRRfVZOfFE6DUeK6VesmPg_6_0"/>
      <w:bookmarkStart w:id="771" w:name="Tc_xvSi0ZgrBkyBzKNeTUl5gA_5_19"/>
      <w:bookmarkStart w:id="772" w:name="Tc_usinbAMyGkKkj9KmwoWZ0A_5_16"/>
      <w:bookmarkStart w:id="773" w:name="Tc_su3paBwug0KKkxsgMqGQRA_5_13"/>
      <w:bookmarkStart w:id="774" w:name="Tc_Ejxu3qEYa0CtTqP_Qtrwyg_5_10"/>
      <w:bookmarkStart w:id="775" w:name="Tc_uzHZyNn4_Em-wcmNkqZ1xg_5_7"/>
      <w:bookmarkStart w:id="776" w:name="Tc_Cy4LqtCnBEC0r79YoHPqlQ_5_4"/>
      <w:bookmarkStart w:id="777" w:name="Tc_QV45v27P1E-Dc_jDTQpofQ_5_2"/>
      <w:bookmarkStart w:id="778" w:name="Tc_YCHkZ2CzA0quTgwAkyC61A_5_0"/>
      <w:bookmarkStart w:id="779" w:name="Tc_4oGTlcm-30iFjBvr_DiGOQ_4_0"/>
      <w:bookmarkStart w:id="780" w:name="Tc_TQZgvvpO50Wbvn-brfc73A_3_19"/>
      <w:bookmarkStart w:id="781" w:name="Tc_AIu5rMrAxUmaWh8TP_8Mtg_3_16"/>
      <w:bookmarkStart w:id="782" w:name="Tc__nF1VOPwHEumOlPVX3o82w_3_13"/>
      <w:bookmarkStart w:id="783" w:name="Tc_xqAL0qm2aE6AaYz9QupT2w_3_10"/>
      <w:bookmarkStart w:id="784" w:name="Tc_ZA6OEBcjJkGXQ97OZ4YWQg_3_7"/>
      <w:bookmarkStart w:id="785" w:name="Tc_XcvF-N007kSzgwLo5Nq8jA_3_4"/>
      <w:bookmarkStart w:id="786" w:name="Tc_ubR4NMJCE0mOY6ejo6GGHg_3_2"/>
      <w:bookmarkStart w:id="787" w:name="Tc_u1iSPyHwNkG-9GUpvIsZFw_3_0"/>
      <w:bookmarkStart w:id="788" w:name="Tc_eFTTBgAGQESVPASbomZghg_2_13"/>
      <w:bookmarkStart w:id="789" w:name="Tc_f5zLw2JmkkeaTfAUVNdLGQ_2_4"/>
      <w:bookmarkStart w:id="790" w:name="Tc_yKCWwNE0CEuVpnmXIR8V1Q_2_2"/>
      <w:bookmarkStart w:id="791" w:name="Tc_h75G2O12aU-mGovHzdQPOg_1_2"/>
      <w:bookmarkStart w:id="792" w:name="_5a685292_2809_4681_8347_a4cbbbb4c9e4_3"/>
      <w:bookmarkStart w:id="793" w:name="_5a685292_2809_4681_8347_a4cbbbb4c9e4_2"/>
      <w:bookmarkStart w:id="794" w:name="_5a685292_2809_4681_8347_a4cbbbb4c9e4"/>
      <w:bookmarkStart w:id="795" w:name="_21fc5b9f_f66e_491c_b0de_12c3c90498b1_3"/>
      <w:bookmarkStart w:id="796" w:name="_21fc5b9f_f66e_491c_b0de_12c3c90498b1_2"/>
      <w:bookmarkStart w:id="797" w:name="_21fc5b9f_f66e_491c_b0de_12c3c90498b1"/>
      <w:bookmarkStart w:id="798" w:name="Tc_kB_MCYBDdkeAa_enWkdxPw_9_19"/>
      <w:bookmarkStart w:id="799" w:name="Tc_E_kSFSL7FU6q8Z664QOubQ_9_16"/>
      <w:bookmarkStart w:id="800" w:name="Tc_lFwRO5jXKE-lJohT9kVlAw_9_13"/>
      <w:bookmarkStart w:id="801" w:name="Tc_uahyUxDtR0qwLoi4rVPuMw_9_10"/>
      <w:bookmarkStart w:id="802" w:name="Tc_hRmyntkI9USPQ0fh2HZesQ_9_7"/>
      <w:bookmarkStart w:id="803" w:name="Tc_fSctIiLUrkauKJ34gjit9g_9_4"/>
      <w:bookmarkStart w:id="804" w:name="Tc_bfOigKR4-UyhwxclLZDQRg_9_0"/>
      <w:bookmarkStart w:id="805" w:name="Tc_LD-LkrAAYECL9owbTVB_Bw_8_2"/>
      <w:bookmarkStart w:id="806" w:name="Tc_oczX_cepGk-E6VVsfr6zhg_8_0"/>
      <w:bookmarkStart w:id="807" w:name="Tc_pV4QodQhBUeuOe5B0NZtiw_7_0"/>
      <w:bookmarkStart w:id="808" w:name="Tc_b_c7xXdPcEaXsGTK8z6DAg_6_20"/>
      <w:bookmarkStart w:id="809" w:name="Tc_KX_iyW26aUOaBxg8mxaMWQ_6_2"/>
      <w:bookmarkStart w:id="810" w:name="Tc_hRRfVZOfFE6DUeK6VesmPg_6_0"/>
      <w:bookmarkStart w:id="811" w:name="Tc_xvSi0ZgrBkyBzKNeTUl5gA_5_19"/>
      <w:bookmarkStart w:id="812" w:name="Tc_usinbAMyGkKkj9KmwoWZ0A_5_16"/>
      <w:bookmarkStart w:id="813" w:name="Tc_su3paBwug0KKkxsgMqGQRA_5_13"/>
      <w:bookmarkStart w:id="814" w:name="Tc_Ejxu3qEYa0CtTqP_Qtrwyg_5_10"/>
      <w:bookmarkStart w:id="815" w:name="Tc_uzHZyNn4_Em-wcmNkqZ1xg_5_7"/>
      <w:bookmarkStart w:id="816" w:name="Tc_Cy4LqtCnBEC0r79YoHPqlQ_5_4"/>
      <w:bookmarkStart w:id="817" w:name="Tc_QV45v27P1E-Dc_jDTQpofQ_5_2"/>
      <w:bookmarkStart w:id="818" w:name="Tc_YCHkZ2CzA0quTgwAkyC61A_5_0"/>
      <w:bookmarkStart w:id="819" w:name="Tc_4oGTlcm-30iFjBvr_DiGOQ_4_0"/>
      <w:bookmarkStart w:id="820" w:name="Tc_TQZgvvpO50Wbvn-brfc73A_3_19"/>
      <w:bookmarkStart w:id="821" w:name="Tc_AIu5rMrAxUmaWh8TP_8Mtg_3_16"/>
      <w:bookmarkStart w:id="822" w:name="Tc__nF1VOPwHEumOlPVX3o82w_3_13"/>
      <w:bookmarkStart w:id="823" w:name="Tc_xqAL0qm2aE6AaYz9QupT2w_3_10"/>
      <w:bookmarkStart w:id="824" w:name="Tc_ZA6OEBcjJkGXQ97OZ4YWQg_3_7"/>
      <w:bookmarkStart w:id="825" w:name="Tc_XcvF-N007kSzgwLo5Nq8jA_3_4"/>
      <w:bookmarkStart w:id="826" w:name="Tc_ubR4NMJCE0mOY6ejo6GGHg_3_2"/>
      <w:bookmarkStart w:id="827" w:name="Tc_u1iSPyHwNkG-9GUpvIsZFw_3_0"/>
      <w:bookmarkStart w:id="828" w:name="Tc_eFTTBgAGQESVPASbomZghg_2_13"/>
      <w:bookmarkStart w:id="829" w:name="Tc_f5zLw2JmkkeaTfAUVNdLGQ_2_4"/>
      <w:bookmarkStart w:id="830" w:name="Tc_yKCWwNE0CEuVpnmXIR8V1Q_2_2"/>
      <w:bookmarkStart w:id="831" w:name="Tc_h75G2O12aU-mGovHzdQPOg_1_2"/>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There were no impairments of non-financial assets recognized for the three months ended June 30,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June 30, 2025 and March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91"/>
        <w:gridCol w:w="326"/>
        <w:gridCol w:w="870"/>
        <w:gridCol w:w="326"/>
        <w:gridCol w:w="216"/>
        <w:gridCol w:w="325"/>
        <w:gridCol w:w="326"/>
        <w:gridCol w:w="270"/>
        <w:gridCol w:w="541"/>
        <w:gridCol w:w="326"/>
        <w:gridCol w:w="228"/>
        <w:gridCol w:w="555"/>
        <w:gridCol w:w="326"/>
        <w:gridCol w:w="216"/>
        <w:gridCol w:w="325"/>
        <w:gridCol w:w="326"/>
        <w:gridCol w:w="324"/>
        <w:gridCol w:w="487"/>
        <w:gridCol w:w="326"/>
        <w:gridCol w:w="245"/>
        <w:gridCol w:w="530"/>
      </w:tblGrid>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26" w:type="dxa"/>
            <w:tcBorders/>
            <w:vAlign w:val="center"/>
          </w:tcPr>
          <w:p>
            <w:pPr>
              <w:pStyle w:val="TableContents"/>
              <w:bidi w:val="0"/>
              <w:spacing w:before="0" w:after="1"/>
              <w:ind w:left="0" w:right="0" w:hanging="0"/>
              <w:jc w:val="left"/>
              <w:rPr/>
            </w:pPr>
            <w:r>
              <w:rPr/>
              <w:t>​</w:t>
            </w:r>
          </w:p>
        </w:tc>
        <w:tc>
          <w:tcPr>
            <w:tcW w:w="2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2025</w:t>
            </w:r>
          </w:p>
        </w:tc>
        <w:tc>
          <w:tcPr>
            <w:tcW w:w="326" w:type="dxa"/>
            <w:tcBorders/>
            <w:vAlign w:val="center"/>
          </w:tcPr>
          <w:p>
            <w:pPr>
              <w:pStyle w:val="TableContents"/>
              <w:bidi w:val="0"/>
              <w:spacing w:before="0" w:after="1"/>
              <w:ind w:left="0" w:right="0" w:hanging="0"/>
              <w:jc w:val="left"/>
              <w:rPr/>
            </w:pPr>
            <w:r>
              <w:rPr/>
              <w:t>​</w:t>
            </w:r>
          </w:p>
        </w:tc>
        <w:tc>
          <w:tcPr>
            <w:tcW w:w="277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designated as hedging instruments: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 xml:space="preserve">Cross-currency swap contracts </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not designated as hedging instruments: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0" w:type="dxa"/>
            <w:tcBorders/>
            <w:vAlign w:val="center"/>
          </w:tcPr>
          <w:p>
            <w:pPr>
              <w:pStyle w:val="TableContents"/>
              <w:bidi w:val="0"/>
              <w:spacing w:before="0" w:after="1"/>
              <w:ind w:left="0" w:right="0" w:hanging="0"/>
              <w:jc w:val="left"/>
              <w:rPr>
                <w:color w:val="34283D"/>
              </w:rPr>
            </w:pPr>
            <w:r>
              <w:rPr>
                <w:color w:val="34283D"/>
              </w:rPr>
              <w:t>​</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Balance Sheet. The Company may enter into master netting agreements with certain counterparties that allow for netting of exposures. There was no netting of derivative assets against liabilities in the Consolidated Balance Sheet at June 30, 2025 and March 31, 2025.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June 30, 2025 and March 31, 2025 were $467 million and $765 million,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shd w:fill="FFFFFF" w:val="clear"/>
        </w:rPr>
        <w:t xml:space="preserve"> </w:t>
      </w:r>
      <w:r>
        <w:rPr>
          <w:rFonts w:ascii="Times New Roman;Times;serif" w:hAnsi="Times New Roman;Times;serif"/>
          <w:sz w:val="20"/>
        </w:rPr>
        <w:t>See Note 9 – Borrowings for additional information.</w:t>
      </w:r>
      <w:r>
        <w:rPr>
          <w:rFonts w:ascii="Times New Roman;Times;serif" w:hAnsi="Times New Roman;Times;serif"/>
          <w:sz w:val="20"/>
          <w:shd w:fill="FFFFFF" w:val="clear"/>
        </w:rPr>
        <w:t xml:space="preserve"> Our outstanding debt </w:t>
      </w:r>
      <w:r>
        <w:rPr>
          <w:rFonts w:ascii="Times New Roman;Times;serif" w:hAnsi="Times New Roman;Times;serif"/>
          <w:sz w:val="20"/>
        </w:rPr>
        <w:t>(excluding finance lease obligations)</w:t>
      </w:r>
      <w:r>
        <w:rPr>
          <w:rFonts w:ascii="Times New Roman;Times;serif" w:hAnsi="Times New Roman;Times;serif"/>
          <w:sz w:val="20"/>
          <w:shd w:fill="FFFFFF" w:val="clear"/>
        </w:rPr>
        <w:t xml:space="preserve"> had a carrying value of $2.9 billion as of June 30, 2025 and March 31, 2025. The debt had an estimated fair value of $2.7 billion as of June 30, 2025 and 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Transfers of Financial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has entered into </w:t>
      </w:r>
      <w:r>
        <w:rPr>
          <w:rFonts w:ascii="Times New Roman;Times;serif" w:hAnsi="Times New Roman;Times;serif"/>
          <w:sz w:val="20"/>
        </w:rPr>
        <w:t>agreements</w:t>
      </w:r>
      <w:r>
        <w:rPr>
          <w:rFonts w:ascii="Times New Roman;Times;serif" w:hAnsi="Times New Roman;Times;serif"/>
          <w:sz w:val="20"/>
          <w:shd w:fill="FFFFFF" w:val="clear"/>
        </w:rPr>
        <w:t xml:space="preserve"> with third-party financial institutions to sell certain financial assets (primarily trade receivables) without recourse. The Company has determined these are true sales. </w:t>
      </w:r>
      <w:r>
        <w:rPr>
          <w:rFonts w:ascii="Times New Roman;Times;serif" w:hAnsi="Times New Roman;Times;serif"/>
          <w:sz w:val="20"/>
        </w:rPr>
        <w:t>The carrying value of the financial asset sold is derecognized, and a net gain or loss on the sale is recognized, at the time of the transfer.</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arrangements are reflected as cash provided by operating activities in the Consolidated Statement of Cash Flows. Gross proceeds from receivables sold to third parties under this program were $0.6 billion for the three months ended June 30, 2025 and $0.8 billion for the three months ended June 30, 2024. The fees associated with the transfers of receivables were $5 million for the three months ended June 30, 2025 and $10 million for the three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32" w:name="Tc_0j0HNP7pA0uwzQsMV5tMCg_6_17"/>
      <w:bookmarkStart w:id="833" w:name="Tc_TxpdU25AlkSjvPtaWDekJw_6_15"/>
      <w:bookmarkStart w:id="834" w:name="Tc_swCQxdEQnUenkG6hDXcfQQ_6_14"/>
      <w:bookmarkStart w:id="835" w:name="Tc_hp9XUpr7LE-YYMXayPQ1xQ_6_11"/>
      <w:bookmarkStart w:id="836" w:name="Tc_GINPBxQJDE-YAXIgfbm_mg_6_8"/>
      <w:bookmarkStart w:id="837" w:name="Tc_JYqFowDbyEq8Wi-vP2dEjA_6_6"/>
      <w:bookmarkStart w:id="838" w:name="Tc_PD-3PN-LT0yAml7X0OcyuA_6_5"/>
      <w:bookmarkStart w:id="839" w:name="Tc_bSLPm1svHkuaLIa4qfkL4g_6_2"/>
      <w:bookmarkStart w:id="840" w:name="Tc_dARLX59rp0yod_6_cOT8eg_6_0"/>
      <w:bookmarkStart w:id="841" w:name="Tc_tHCAGwpFXkCEJudUBpX5bg_5_0"/>
      <w:bookmarkStart w:id="842" w:name="Tc_iNc9e5r7BkaRldfQ-xtmfg_4_17"/>
      <w:bookmarkStart w:id="843" w:name="Tc_Wtug0f6xV0OXtb-c3dPmTw_4_15"/>
      <w:bookmarkStart w:id="844" w:name="Tc_bP0F8NyOi02gL4-pYzaZdQ_4_14"/>
      <w:bookmarkStart w:id="845" w:name="Tc_hISsMTa5Tkmvo4Y9z03MUg_4_11"/>
      <w:bookmarkStart w:id="846" w:name="Tc_gzigj3xgb0CU_opjk5u0jw_4_8"/>
      <w:bookmarkStart w:id="847" w:name="Tc_YZZK25yWYki32eLF0UqooQ_4_6"/>
      <w:bookmarkStart w:id="848" w:name="Tc_rSY-JZg730CKnO04ozPKHg_4_5"/>
      <w:bookmarkStart w:id="849" w:name="Tc_5HVXkcZ_tkmpJr6NynATVg_4_2"/>
      <w:bookmarkStart w:id="850" w:name="Tc_VfiEryL2RU6hhqk7mXsc1A_4_0"/>
      <w:bookmarkStart w:id="851" w:name="Tc_VK-ciZyOJEmBFFXkwUZzUA_3_0"/>
      <w:bookmarkStart w:id="852" w:name="Tc_7RePX559jU-LAK5Ee3Smcw_2_17"/>
      <w:bookmarkStart w:id="853" w:name="Tc_tC3mpHRb3Uej72aZv0_eBQ_2_14"/>
      <w:bookmarkStart w:id="854" w:name="Tc_GtjLdes-zkCnslVZnJqDow_2_11"/>
      <w:bookmarkStart w:id="855" w:name="Tc_y_w3T43RHECfoiUnB96kxw_2_8"/>
      <w:bookmarkStart w:id="856" w:name="Tc_JjxpSrwuJ0uLh2Lqb1dOjQ_2_5"/>
      <w:bookmarkStart w:id="857" w:name="Tc_5yZfynNejkKU2FKTZQ2pZg_2_2"/>
      <w:bookmarkStart w:id="858" w:name="Tc_vFZ_Ld-3f0adGfi4qjuySQ_2_0"/>
      <w:bookmarkStart w:id="859" w:name="Tc_hoDJxYLETEGPVnMmzV7w6A_1_11"/>
      <w:bookmarkStart w:id="860" w:name="Tc_zANY450yXUGZRy-f79Chpw_1_2"/>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b/>
          <w:sz w:val="20"/>
        </w:rPr>
        <w:t>Derivative Financial Instruments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notional amounts of the Company’s outstanding derivatives: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36"/>
        <w:gridCol w:w="109"/>
        <w:gridCol w:w="288"/>
        <w:gridCol w:w="784"/>
        <w:gridCol w:w="326"/>
        <w:gridCol w:w="477"/>
        <w:gridCol w:w="955"/>
        <w:gridCol w:w="326"/>
        <w:gridCol w:w="260"/>
        <w:gridCol w:w="705"/>
        <w:gridCol w:w="109"/>
        <w:gridCol w:w="288"/>
        <w:gridCol w:w="784"/>
        <w:gridCol w:w="326"/>
        <w:gridCol w:w="477"/>
        <w:gridCol w:w="955"/>
        <w:gridCol w:w="326"/>
        <w:gridCol w:w="251"/>
        <w:gridCol w:w="823"/>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38860" cy="175260"/>
                      <wp:effectExtent l="0" t="0" r="0" b="0"/>
                      <wp:wrapNone/>
                      <wp:docPr id="128" name="Frame12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2880" cy="175260"/>
                      <wp:effectExtent l="0" t="0" r="0" b="0"/>
                      <wp:wrapNone/>
                      <wp:docPr id="130" name="Frame13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7840" cy="175260"/>
                      <wp:effectExtent l="0" t="0" r="0" b="0"/>
                      <wp:wrapNone/>
                      <wp:docPr id="131" name="Frame131"/>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02895" cy="175260"/>
                      <wp:effectExtent l="0" t="0" r="0" b="0"/>
                      <wp:wrapNone/>
                      <wp:docPr id="133" name="Frame133"/>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06425" cy="175260"/>
                      <wp:effectExtent l="0" t="0" r="0" b="0"/>
                      <wp:wrapNone/>
                      <wp:docPr id="134" name="Frame13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5100" cy="175260"/>
                      <wp:effectExtent l="0" t="0" r="0" b="0"/>
                      <wp:wrapNone/>
                      <wp:docPr id="136" name="Frame13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47675" cy="175260"/>
                      <wp:effectExtent l="0" t="0" r="0" b="0"/>
                      <wp:wrapNone/>
                      <wp:docPr id="137" name="Frame137"/>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880" cy="175260"/>
                      <wp:effectExtent l="0" t="0" r="0" b="0"/>
                      <wp:wrapNone/>
                      <wp:docPr id="139" name="Frame13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7840" cy="175260"/>
                      <wp:effectExtent l="0" t="0" r="0" b="0"/>
                      <wp:wrapNone/>
                      <wp:docPr id="140" name="Frame14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02895" cy="175260"/>
                      <wp:effectExtent l="0" t="0" r="0" b="0"/>
                      <wp:wrapNone/>
                      <wp:docPr id="142" name="Frame142"/>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06425" cy="175260"/>
                      <wp:effectExtent l="0" t="0" r="0" b="0"/>
                      <wp:wrapNone/>
                      <wp:docPr id="143" name="Frame14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59385" cy="175260"/>
                      <wp:effectExtent l="0" t="0" r="0" b="0"/>
                      <wp:wrapNone/>
                      <wp:docPr id="145" name="Frame14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22605" cy="175260"/>
                      <wp:effectExtent l="0" t="0" r="0" b="0"/>
                      <wp:wrapNone/>
                      <wp:docPr id="146" name="Frame14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2025</w:t>
            </w:r>
          </w:p>
        </w:tc>
        <w:tc>
          <w:tcPr>
            <w:tcW w:w="109" w:type="dxa"/>
            <w:tcBorders/>
            <w:vAlign w:val="center"/>
          </w:tcPr>
          <w:p>
            <w:pPr>
              <w:pStyle w:val="TableContents"/>
              <w:bidi w:val="0"/>
              <w:spacing w:before="0" w:after="0"/>
              <w:ind w:left="0" w:right="0" w:hanging="0"/>
              <w:jc w:val="left"/>
              <w:rPr/>
            </w:pPr>
            <w:r>
              <w:rPr/>
              <w:t>​</w:t>
            </w:r>
          </w:p>
        </w:tc>
        <w:tc>
          <w:tcPr>
            <w:tcW w:w="423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26" w:type="dxa"/>
            <w:tcBorders/>
            <w:vAlign w:val="center"/>
          </w:tcPr>
          <w:p>
            <w:pPr>
              <w:pStyle w:val="TableContents"/>
              <w:bidi w:val="0"/>
              <w:spacing w:before="0" w:after="0"/>
              <w:ind w:left="0" w:right="0" w:hanging="0"/>
              <w:jc w:val="left"/>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26"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c>
          <w:tcPr>
            <w:tcW w:w="109"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26" w:type="dxa"/>
            <w:tcBorders/>
            <w:vAlign w:val="center"/>
          </w:tcPr>
          <w:p>
            <w:pPr>
              <w:pStyle w:val="TableContents"/>
              <w:bidi w:val="0"/>
              <w:spacing w:before="0" w:after="0"/>
              <w:ind w:left="0" w:right="0" w:hanging="0"/>
              <w:jc w:val="left"/>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26" w:type="dxa"/>
            <w:tcBorders/>
            <w:vAlign w:val="center"/>
          </w:tcPr>
          <w:p>
            <w:pPr>
              <w:pStyle w:val="TableContents"/>
              <w:bidi w:val="0"/>
              <w:spacing w:before="0" w:after="0"/>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Cash flow hedges</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Net investment hedges</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1,148</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notional amounts of derivative instruments do not necessarily represent the amounts exchanged by the Company with third parties and are not necessarily a direct measure of the financial exposure.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and intercompany payments for royalties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2025, the maximum remaining length of time over which the Company has hedged its exposure is approximately one year. At June 30, 2025 and March 31, 2025, the weighted-average remaining maturity of these instruments was approximately 0.5 years. At June 30, 2025 and March 31, 2025, in connection with cash flow hedges of foreign currency cost transactions, the Company had unrealized losses of $8 million and unrealized gains of $1 million (each before taxes), respectively, in accumulated other comprehensive income (“AOCI”). The Company estimates that $8 million (before taxes) of deferred net losses on derivatives in AOCI at June 30, 2025 will be reclassified to net income within the next twelve months, providing an offsetting economic impact against the underlying anticipated transactions.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Investment Hedges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sz w:val="20"/>
        </w:rPr>
      </w:pPr>
      <w:bookmarkStart w:id="861" w:name="Tc_NYyuqH0-zE-YlIzQ1YPTtQ_9_19"/>
      <w:bookmarkStart w:id="862" w:name="Tc_fiBdHQqBDUy8_kPr4tV0Sw_9_16"/>
      <w:bookmarkStart w:id="863" w:name="Tc_cLSOkdpfLkmab9eFIF3p6A_9_13"/>
      <w:bookmarkStart w:id="864" w:name="Tc_E_btb1NEuUKY_6r5TULVow_9_10"/>
      <w:bookmarkStart w:id="865" w:name="Tc_AtQpWmVWo0Gt7TfJRxTApg_9_5"/>
      <w:bookmarkStart w:id="866" w:name="Tc_Ws1VSe5jWkS1xis4V05vFA_9_2"/>
      <w:bookmarkStart w:id="867" w:name="Tc_SOJZAEqDbEy6hGkW5sUSWg_9_0"/>
      <w:bookmarkStart w:id="868" w:name="Tc_-o132m7HtUW17IxIf22xcQ_8_11"/>
      <w:bookmarkStart w:id="869" w:name="Tc_RB-1EgoaVEWcE-emZ7cJ2w_8_8"/>
      <w:bookmarkStart w:id="870" w:name="Tc_mDAtQe3BaEWpl9ZosIFDvg_8_0"/>
      <w:bookmarkStart w:id="871" w:name="Tc_mHgXbRxztkuhP1ACY17pkA_7_11"/>
      <w:bookmarkStart w:id="872" w:name="Tc_1glOdKGKEEmYi-rWUruEsw_7_8"/>
      <w:bookmarkStart w:id="873" w:name="Tc_mV4DbAArjUeO0sR9_uVLRA_7_0"/>
      <w:bookmarkStart w:id="874" w:name="Tc_Kh78FbeZXUiPOWuQTwTMoA_6_0"/>
      <w:bookmarkStart w:id="875" w:name="Tc_8nZpQKwsvU2-SMiRKw012Q_5_20"/>
      <w:bookmarkStart w:id="876" w:name="Tc_wOdhgEvDJkC-0BE_-35MxQ_5_19"/>
      <w:bookmarkStart w:id="877" w:name="Tc_ZULclv5d4UWI7X3OLmFpRw_5_17"/>
      <w:bookmarkStart w:id="878" w:name="Tc_jf58q7ZzbkCW2F2rYFVrAw_5_16"/>
      <w:bookmarkStart w:id="879" w:name="Tc_Jzv_JjRmOkCblvMZ2xyqjw_5_14"/>
      <w:bookmarkStart w:id="880" w:name="Tc_d98CWMkP2kaY-dLlFJ-iqw_5_13"/>
      <w:bookmarkStart w:id="881" w:name="Tc_a0SEm_jOL0ey_foxB1xmRQ_5_10"/>
      <w:bookmarkStart w:id="882" w:name="Tc_OxqC8uUD9E2OoZuRc_rM8A_5_8"/>
      <w:bookmarkStart w:id="883" w:name="Tc_ThD69ZhUiUivZrSQrCIEwQ_5_5"/>
      <w:bookmarkStart w:id="884" w:name="Tc_tnXv3SBCjEqDWoi8t_7bjw_5_2"/>
      <w:bookmarkStart w:id="885" w:name="Tc_rlUElEMHYkS7Y-gqGKj25w_5_0"/>
      <w:bookmarkStart w:id="886" w:name="Tc_lR0Te2iW30uFohUby-bfhw_4_0"/>
      <w:bookmarkStart w:id="887" w:name="Tc_W2k_btH8AkalwOgIQaHn8A_3_19"/>
      <w:bookmarkStart w:id="888" w:name="Tc_eLtwXVXFuECOTpOTz8djMA_3_16"/>
      <w:bookmarkStart w:id="889" w:name="Tc_IGRTBYa8sU6ak5SjxqDpCA_3_13"/>
      <w:bookmarkStart w:id="890" w:name="Tc_iwfcCyoat0K2xzm7HOV6dA_3_10"/>
      <w:bookmarkStart w:id="891" w:name="Tc_QCf00_SH40mVoe5qeiifHQ_3_8"/>
      <w:bookmarkStart w:id="892" w:name="Tc_qQWjIKkqd0qPVp1cd5YRww_3_5"/>
      <w:bookmarkStart w:id="893" w:name="Tc_JE6gPhpJsU-EeYwke4ga6w_3_2"/>
      <w:bookmarkStart w:id="894" w:name="Tc_-i_Fe57lx0uBH29HJTbUqw_3_0"/>
      <w:bookmarkStart w:id="895" w:name="Tc_M2l6K2k5AUOFdy_RsrLGPg_2_16"/>
      <w:bookmarkStart w:id="896" w:name="Tc_jOG-ahpqWUmRg77vOnQ86g_2_10"/>
      <w:bookmarkStart w:id="897" w:name="Tc_ekGx4abErkKAbgixE8U-LA_2_8"/>
      <w:bookmarkStart w:id="898" w:name="Tc_xf3_MRt_P0W3KdSrQrFmTw_2_2"/>
      <w:bookmarkStart w:id="899" w:name="Tc_b4memapY2UaI597b-31uJA_2_0"/>
      <w:bookmarkStart w:id="900" w:name="Tc_UqGJ-em5sUCrT3dCIL40Kw_1_16"/>
      <w:bookmarkStart w:id="901" w:name="Tc_bVJ-uHat5Eih8Tq7bUvG0w_1_10"/>
      <w:bookmarkStart w:id="902" w:name="Tc_BoBdsJZEAUSAmO-sODrtdQ_1_8"/>
      <w:bookmarkStart w:id="903" w:name="Tc_AVbvO35Ackua9wIASg-O0g_1_2"/>
      <w:bookmarkStart w:id="904" w:name="XBRL_TS_cabbc6dba85b46748bb77233fe829b2f"/>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sz w:val="20"/>
        </w:rPr>
        <w:t>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June 30, 2025, the maximum remaining length of time over which the Company has hedged its exposure is approximately nine years. The weighted-average remaining maturity of the Company’s net investment hedge instruments was approximately three years at June 30, 2025 and March 31, 2025. At June 30, 2025 and March 31, 2025, the Company had unrealized losses of $158 million and unrealized losses of $6 million (each before taxes), respectively, in AOCI related to net investment hedges.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 the Consolidated Income Statement. The gains and losses on these contracts generally offset the gains and losses in the underlying hedged exposures, which are also reported in other expense in the Consolidated Income Statement. Cash flows from derivatives not designated as hedges are reported in cash flows from investing activities in the Consolidated Statement of Cash Flows. The terms of these swap contracts are generally less than one year.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465"/>
        <w:gridCol w:w="326"/>
        <w:gridCol w:w="259"/>
        <w:gridCol w:w="512"/>
        <w:gridCol w:w="330"/>
        <w:gridCol w:w="259"/>
        <w:gridCol w:w="326"/>
        <w:gridCol w:w="326"/>
        <w:gridCol w:w="1192"/>
        <w:gridCol w:w="326"/>
        <w:gridCol w:w="275"/>
        <w:gridCol w:w="372"/>
        <w:gridCol w:w="351"/>
        <w:gridCol w:w="275"/>
        <w:gridCol w:w="372"/>
        <w:gridCol w:w="326"/>
        <w:gridCol w:w="321"/>
        <w:gridCol w:w="410"/>
        <w:gridCol w:w="387"/>
        <w:gridCol w:w="321"/>
        <w:gridCol w:w="474"/>
      </w:tblGrid>
      <w:tr>
        <w:trPr/>
        <w:tc>
          <w:tcPr>
            <w:tcW w:w="2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r>
      <w:tr>
        <w:trPr/>
        <w:tc>
          <w:tcPr>
            <w:tcW w:w="2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6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26" w:type="dxa"/>
            <w:tcBorders/>
            <w:vAlign w:val="center"/>
          </w:tcPr>
          <w:p>
            <w:pPr>
              <w:pStyle w:val="TableContents"/>
              <w:bidi w:val="0"/>
              <w:spacing w:before="0" w:after="0"/>
              <w:ind w:left="0" w:right="0" w:hanging="0"/>
              <w:jc w:val="left"/>
              <w:rPr/>
            </w:pPr>
            <w:r>
              <w:rPr/>
              <w:t>​</w:t>
            </w:r>
          </w:p>
        </w:tc>
        <w:tc>
          <w:tcPr>
            <w:tcW w:w="19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6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left"/>
              <w:rPr/>
            </w:pPr>
            <w:r>
              <w:rPr/>
              <w:t>​</w:t>
            </w:r>
          </w:p>
        </w:tc>
        <w:tc>
          <w:tcPr>
            <w:tcW w:w="1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26" w:type="dxa"/>
            <w:tcBorders/>
            <w:vAlign w:val="center"/>
          </w:tcPr>
          <w:p>
            <w:pPr>
              <w:pStyle w:val="TableContents"/>
              <w:bidi w:val="0"/>
              <w:spacing w:before="0" w:after="0"/>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center"/>
              <w:rPr/>
            </w:pPr>
            <w:r>
              <w:rPr/>
              <w:t>    </w:t>
            </w:r>
          </w:p>
        </w:tc>
        <w:tc>
          <w:tcPr>
            <w:tcW w:w="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0" w:type="dxa"/>
            <w:tcBorders/>
            <w:vAlign w:val="center"/>
          </w:tcPr>
          <w:p>
            <w:pPr>
              <w:pStyle w:val="TableContents"/>
              <w:bidi w:val="0"/>
              <w:spacing w:before="0" w:after="0"/>
              <w:ind w:left="0" w:right="0" w:hanging="0"/>
              <w:jc w:val="center"/>
              <w:rPr/>
            </w:pPr>
            <w:r>
              <w:rPr/>
              <w:t>    </w:t>
            </w:r>
          </w:p>
        </w:tc>
        <w:tc>
          <w:tcPr>
            <w:tcW w:w="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vAlign w:val="center"/>
          </w:tcPr>
          <w:p>
            <w:pPr>
              <w:pStyle w:val="TableContents"/>
              <w:bidi w:val="0"/>
              <w:spacing w:before="0" w:after="0"/>
              <w:ind w:left="0" w:right="0" w:hanging="0"/>
              <w:jc w:val="center"/>
              <w:rPr/>
            </w:pPr>
            <w:r>
              <w:rPr/>
              <w:t>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1" w:type="dxa"/>
            <w:tcBorders/>
            <w:vAlign w:val="center"/>
          </w:tcPr>
          <w:p>
            <w:pPr>
              <w:pStyle w:val="TableContents"/>
              <w:bidi w:val="0"/>
              <w:spacing w:before="0" w:after="0"/>
              <w:ind w:left="0" w:right="0" w:hanging="0"/>
              <w:jc w:val="center"/>
              <w:rPr/>
            </w:pPr>
            <w:r>
              <w:rPr/>
              <w:t>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7" w:type="dxa"/>
            <w:tcBorders/>
            <w:vAlign w:val="center"/>
          </w:tcPr>
          <w:p>
            <w:pPr>
              <w:pStyle w:val="TableContents"/>
              <w:bidi w:val="0"/>
              <w:spacing w:before="0" w:after="0"/>
              <w:ind w:left="0" w:right="0" w:hanging="0"/>
              <w:jc w:val="center"/>
              <w:rPr/>
            </w:pPr>
            <w:r>
              <w:rPr/>
              <w:t>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26"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center"/>
              <w:rPr/>
            </w:pPr>
            <w:r>
              <w:rPr/>
              <w:t>​</w:t>
            </w:r>
          </w:p>
        </w:tc>
        <w:tc>
          <w:tcPr>
            <w:tcW w:w="330"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9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center"/>
              <w:rPr/>
            </w:pPr>
            <w:r>
              <w:rPr/>
              <w:t>​</w:t>
            </w:r>
          </w:p>
        </w:tc>
        <w:tc>
          <w:tcPr>
            <w:tcW w:w="351" w:type="dxa"/>
            <w:tcBorders/>
            <w:shd w:fill="CCEEFF" w:val="clear"/>
            <w:vAlign w:val="center"/>
          </w:tcPr>
          <w:p>
            <w:pPr>
              <w:pStyle w:val="TableContents"/>
              <w:bidi w:val="0"/>
              <w:spacing w:before="0" w:after="0"/>
              <w:ind w:left="0" w:right="0" w:hanging="0"/>
              <w:jc w:val="center"/>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10" w:type="dxa"/>
            <w:tcBorders/>
            <w:shd w:fill="CCEEFF" w:val="clear"/>
            <w:vAlign w:val="center"/>
          </w:tcPr>
          <w:p>
            <w:pPr>
              <w:pStyle w:val="TableContents"/>
              <w:bidi w:val="0"/>
              <w:spacing w:before="0" w:after="0"/>
              <w:ind w:left="0" w:right="0" w:hanging="0"/>
              <w:jc w:val="center"/>
              <w:rPr/>
            </w:pPr>
            <w:r>
              <w:rPr/>
              <w:t>​</w:t>
            </w:r>
          </w:p>
        </w:tc>
        <w:tc>
          <w:tcPr>
            <w:tcW w:w="387"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74" w:type="dxa"/>
            <w:tcBorders/>
            <w:shd w:fill="CCEEFF" w:val="clear"/>
            <w:vAlign w:val="center"/>
          </w:tcPr>
          <w:p>
            <w:pPr>
              <w:pStyle w:val="TableContents"/>
              <w:bidi w:val="0"/>
              <w:spacing w:before="0" w:after="0"/>
              <w:ind w:left="0" w:right="0" w:hanging="0"/>
              <w:jc w:val="center"/>
              <w:rPr/>
            </w:pPr>
            <w:r>
              <w:rPr/>
              <w:t>​</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3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10"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74" w:type="dxa"/>
            <w:tcBorders/>
            <w:vAlign w:val="center"/>
          </w:tcPr>
          <w:p>
            <w:pPr>
              <w:pStyle w:val="TableContents"/>
              <w:bidi w:val="0"/>
              <w:spacing w:before="0" w:after="0"/>
              <w:ind w:left="0" w:right="0" w:hanging="0"/>
              <w:jc w:val="right"/>
              <w:rPr/>
            </w:pPr>
            <w:r>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righ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3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30"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30"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1"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87"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905" w:name="Tc_bYidpEC3Tk-PeV61bs94gw_5_7"/>
      <w:bookmarkStart w:id="906" w:name="Tc_vDjrJkhhC0GrQ_IQ_Os73g_5_4"/>
      <w:bookmarkStart w:id="907" w:name="Tc_vOuMH5VLC0K7FpyIjuOa6w_5_0"/>
      <w:bookmarkStart w:id="908" w:name="Tc_WJ9JP15Ta0KL8YINEdJscA_4_7"/>
      <w:bookmarkStart w:id="909" w:name="Tc_vougU4zHF0q-azb3WxZ6oA_4_4"/>
      <w:bookmarkStart w:id="910" w:name="Tc_GVZG3VMaLUeO-Gf4xn8ymg_4_0"/>
      <w:bookmarkStart w:id="911" w:name="Tc__MD6ohh_lUm6ShweJfWnaQ_3_7"/>
      <w:bookmarkStart w:id="912" w:name="Tc_aCGgmCPwl026GGddXhtKgA_3_4"/>
      <w:bookmarkStart w:id="913" w:name="Tc_yMDkkA5QyES-29aGQRcRnQ_3_2"/>
      <w:bookmarkStart w:id="914" w:name="Tc_ddzBDyivUE6JjncgJoilEA_3_0"/>
      <w:bookmarkStart w:id="915" w:name="Tc_k36PSv2bg0qt4TxjHDScPQ_2_4"/>
      <w:bookmarkStart w:id="916" w:name="Tc_d9K6eZvLcEybZk_e6Pmv7w_2_2"/>
      <w:bookmarkStart w:id="917" w:name="Tc_GgUoKi-AokqhNOSK1xSShg_2_0"/>
      <w:bookmarkStart w:id="918" w:name="Tc_pPjarhm2CES19B9-tzAJhQ_1_4"/>
      <w:bookmarkStart w:id="919" w:name="Tc_JHJ2CODN3UGRXmZjLKm1UA_1_2"/>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hanging="0"/>
        <w:jc w:val="left"/>
        <w:rPr/>
      </w:pPr>
      <w:r>
        <w:rPr/>
        <w:t>​</w:t>
      </w:r>
    </w:p>
    <w:tbl>
      <w:tblPr>
        <w:tblW w:w="6886" w:type="dxa"/>
        <w:jc w:val="left"/>
        <w:tblInd w:w="0" w:type="dxa"/>
        <w:tblLayout w:type="fixed"/>
        <w:tblCellMar>
          <w:top w:w="0" w:type="dxa"/>
          <w:left w:w="0" w:type="dxa"/>
          <w:bottom w:w="0" w:type="dxa"/>
          <w:right w:w="0" w:type="dxa"/>
        </w:tblCellMar>
      </w:tblPr>
      <w:tblGrid>
        <w:gridCol w:w="2356"/>
        <w:gridCol w:w="326"/>
        <w:gridCol w:w="2026"/>
        <w:gridCol w:w="109"/>
        <w:gridCol w:w="324"/>
        <w:gridCol w:w="400"/>
        <w:gridCol w:w="412"/>
        <w:gridCol w:w="324"/>
        <w:gridCol w:w="609"/>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96060" cy="175260"/>
                      <wp:effectExtent l="0" t="0" r="0" b="0"/>
                      <wp:wrapNone/>
                      <wp:docPr id="147" name="Frame147"/>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5740" cy="175260"/>
                      <wp:effectExtent l="0" t="0" r="0" b="0"/>
                      <wp:wrapNone/>
                      <wp:docPr id="150" name="Frame15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54000" cy="175260"/>
                      <wp:effectExtent l="0" t="0" r="0" b="0"/>
                      <wp:wrapNone/>
                      <wp:docPr id="151" name="Frame15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61620" cy="175260"/>
                      <wp:effectExtent l="0" t="0" r="0" b="0"/>
                      <wp:wrapNone/>
                      <wp:docPr id="152" name="Frame15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5740" cy="175260"/>
                      <wp:effectExtent l="0" t="0" r="0" b="0"/>
                      <wp:wrapNone/>
                      <wp:docPr id="153" name="Frame15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86715" cy="175260"/>
                      <wp:effectExtent l="0" t="0" r="0" b="0"/>
                      <wp:wrapNone/>
                      <wp:docPr id="154" name="Frame154"/>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left"/>
              <w:rPr/>
            </w:pPr>
            <w:r>
              <w:rPr/>
              <w:t>​</w:t>
            </w:r>
          </w:p>
        </w:tc>
        <w:tc>
          <w:tcPr>
            <w:tcW w:w="206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1"/>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3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center"/>
              <w:rPr/>
            </w:pPr>
            <w:r>
              <w:rPr/>
              <w:t>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1"/>
              <w:ind w:left="0" w:right="0" w:hanging="0"/>
              <w:jc w:val="center"/>
              <w:rPr/>
            </w:pPr>
            <w:r>
              <w:rPr/>
              <w:t>​</w:t>
            </w:r>
          </w:p>
        </w:tc>
        <w:tc>
          <w:tcPr>
            <w:tcW w:w="7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1"/>
              <w:ind w:left="0" w:right="0" w:hanging="0"/>
              <w:jc w:val="center"/>
              <w:rPr/>
            </w:pPr>
            <w:r>
              <w:rPr/>
              <w:t>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412"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412"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2025 and 2024, our net income included a loss of $61 million and a gain of $27 million (each before taxes), respectively, from foreign currency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0" w:name="Tc_DmITLS5CKkGjpifrFH8Y1w_9_12"/>
      <w:bookmarkStart w:id="921" w:name="Tc_Ua7BkXCzZ0KFgzOFcnu_cw_9_9"/>
      <w:bookmarkStart w:id="922" w:name="Tc_oZQny9J2nkaNGgGPQ1kHXw_9_3"/>
      <w:bookmarkStart w:id="923" w:name="Tc_aIDGf16lFkOgjhkYOyGXYA_9_0"/>
      <w:bookmarkStart w:id="924" w:name="Tc_4wxrjdTFFkmDA0jL5c-XWw_8_12"/>
      <w:bookmarkStart w:id="925" w:name="Tc_TIWntpFm30GbpsYuc6g8Hg_8_9"/>
      <w:bookmarkStart w:id="926" w:name="Tc_mpQ4d8X33U6OYgH9QAqqfw_8_0"/>
      <w:bookmarkStart w:id="927" w:name="Tc_7gdOvnvUYU2_O8Sjn9GUIQ_7_12"/>
      <w:bookmarkStart w:id="928" w:name="Tc__MTQZufd9EGAVE1JXTwBCg_7_0"/>
      <w:bookmarkStart w:id="929" w:name="Tc_NrnmkRvF3U69WaIJosWrJg_6_12"/>
      <w:bookmarkStart w:id="930" w:name="Tc_48JQhcky1EamTc2nJbF-zw_6_0"/>
      <w:bookmarkStart w:id="931" w:name="Tc_JktNMIkYfEeiLj3vOs7trw_5_0"/>
      <w:bookmarkStart w:id="932" w:name="Tc_za_iQ0sJCUGl6OHQ73QCmg_4_14"/>
      <w:bookmarkStart w:id="933" w:name="Tc_DAowjxthgkapI0mpEwvAFA_4_11"/>
      <w:bookmarkStart w:id="934" w:name="Tc_H81vaplqjk2sjeQH-LVeXg_4_8"/>
      <w:bookmarkStart w:id="935" w:name="Tc_t9i_bSa4WUCuH1JK2kB9Rg_4_5"/>
      <w:bookmarkStart w:id="936" w:name="Tc_0sMonlIefECvDCwkexyUUg_4_2"/>
      <w:bookmarkStart w:id="937" w:name="Tc_2bXGY5XAYUCSK5foKYc0yQ_4_0"/>
      <w:bookmarkStart w:id="938" w:name="Tc__nO07HqvzUSYY9DayqAtSw_3_0"/>
      <w:bookmarkStart w:id="939" w:name="Tc_Svnh9JJLL0Kn74r9moxmrg_2_14"/>
      <w:bookmarkStart w:id="940" w:name="Tc_qTutR4g5ZUqPlwKdgurhRg_2_11"/>
      <w:bookmarkStart w:id="941" w:name="Tc_aj8etDOVW0m07KsycTFcpg_2_8"/>
      <w:bookmarkStart w:id="942" w:name="Tc_LtUUcL_UEUmFNyFxZTSR4Q_2_5"/>
      <w:bookmarkStart w:id="943" w:name="Tc_ItWtar2hW0i35NKosT1KMA_2_2"/>
      <w:bookmarkStart w:id="944" w:name="Tc_76TP1i_WFEm6WaFuEPRZYg_2_0"/>
      <w:bookmarkStart w:id="945" w:name="Tc_KmOZ4G3U7kSpFCDL_9ma9Q_1_11"/>
      <w:bookmarkStart w:id="946" w:name="Tc_Wa9kV_kkT0KnS37_CpSjew_1_8"/>
      <w:bookmarkStart w:id="947" w:name="Tc_hmkLCR42iESZWVmObsuJ2w_1_5"/>
      <w:bookmarkStart w:id="948" w:name="Tc_PYmREJqtFUyh_MQmkryMKA_1_2"/>
      <w:bookmarkStart w:id="949" w:name="Tc_z3DLdux56Ua5DlAFW-ezsQ_8_17"/>
      <w:bookmarkStart w:id="950" w:name="Tc_xq2Nq15PNEuatQS4rwh8aQ_8_14"/>
      <w:bookmarkStart w:id="951" w:name="Tc_UWsUUw-0pkeww0vH8SXYtg_8_11"/>
      <w:bookmarkStart w:id="952" w:name="Tc_yeQfWEJoM0iOYPrA68elOA_8_8"/>
      <w:bookmarkStart w:id="953" w:name="Tc_JqOM-StqrUaQx3avMYkAjA_8_5"/>
      <w:bookmarkStart w:id="954" w:name="Tc_NARscB3alEmEdG1xbBgUVg_8_2"/>
      <w:bookmarkStart w:id="955" w:name="Tc_H3107WZO00efMbdMwO-iIw_8_0"/>
      <w:bookmarkStart w:id="956" w:name="Tc_gT6XQ78VvUGy_CdtaHdzXw_7_0"/>
      <w:bookmarkStart w:id="957" w:name="Tc_uUGXrnZoSk6DVYcLy_JnBA_6_0"/>
      <w:bookmarkStart w:id="958" w:name="Tc_uauk0H7-GUmKL1MQf5EoOw_5_0"/>
      <w:bookmarkStart w:id="959" w:name="Tc_KvINYiL-t0aFF5BrrISRkg_4_17"/>
      <w:bookmarkStart w:id="960" w:name="Tc_7gKVff38HEuQh6ve0Ec4mw_4_14"/>
      <w:bookmarkStart w:id="961" w:name="Tc_xk_5l1IctE6abDLUL8whHg_4_11"/>
      <w:bookmarkStart w:id="962" w:name="Tc_jh3UgMSOwk-vZ5Pnw8uHxg_4_8"/>
      <w:bookmarkStart w:id="963" w:name="Tc_h6BuZxqwnUuxn6PORdtDyg_4_5"/>
      <w:bookmarkStart w:id="964" w:name="Tc_y4YEt-GkekqTEo9mOqHCGQ_4_2"/>
      <w:bookmarkStart w:id="965" w:name="Tc_tksRUYjFCEeQnYlUtbPF0w_4_0"/>
      <w:bookmarkStart w:id="966" w:name="Tc_UMscafmwzkeJmjUGlvoSaw_3_17"/>
      <w:bookmarkStart w:id="967" w:name="Tc_FULexbskA0-R77YwFAyn5A_3_14"/>
      <w:bookmarkStart w:id="968" w:name="Tc_corMSZMS3kSjZvXdf34OGw_3_11"/>
      <w:bookmarkStart w:id="969" w:name="Tc_AiRJBOVeY0GMGAVbDGlwMg_3_8"/>
      <w:bookmarkStart w:id="970" w:name="Tc_ltXRjgBYHEetkIO_G4y0wA_3_5"/>
      <w:bookmarkStart w:id="971" w:name="Tc_uPeWYkyPJ0yx3tuBbjPEfQ_3_2"/>
      <w:bookmarkStart w:id="972" w:name="Tc_egFKwEf90kC1qscp5kNnKw_3_0"/>
      <w:bookmarkStart w:id="973" w:name="Tc_VbmbV3CZSEOp05lKft3TVA_2_17"/>
      <w:bookmarkStart w:id="974" w:name="Tc_S6RvABmw-06oShRzU8Fxkw_2_14"/>
      <w:bookmarkStart w:id="975" w:name="Tc_uNEUPTpWwUyCnhS7yedjEQ_2_11"/>
      <w:bookmarkStart w:id="976" w:name="Tc_JuRloJFLvUye8qdxhZTL9g_2_8"/>
      <w:bookmarkStart w:id="977" w:name="Tc_80F3HPigvE-uQ12dxFvmuA_2_5"/>
      <w:bookmarkStart w:id="978" w:name="Tc_qC_5p0qvzESiyhyg4S9ADg_2_2"/>
      <w:bookmarkStart w:id="979" w:name="Tc_bpH8DU9YxUSwW_gIJtFH4A_1_11"/>
      <w:bookmarkStart w:id="980" w:name="Tc_P1fS8Qbb0kC7duuXIxWM9w_1_2"/>
      <w:bookmarkStart w:id="981" w:name="_bb19c293_f2b5_4510_8ba5_768ad491c046"/>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Times;serif" w:hAnsi="Times New Roman;Times;serif"/>
          <w:b/>
          <w:sz w:val="20"/>
        </w:rPr>
        <w:t>NOTE 8.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68"/>
        <w:gridCol w:w="326"/>
        <w:gridCol w:w="415"/>
        <w:gridCol w:w="831"/>
        <w:gridCol w:w="326"/>
        <w:gridCol w:w="329"/>
        <w:gridCol w:w="752"/>
        <w:gridCol w:w="326"/>
        <w:gridCol w:w="360"/>
        <w:gridCol w:w="721"/>
        <w:gridCol w:w="146"/>
        <w:gridCol w:w="415"/>
        <w:gridCol w:w="831"/>
        <w:gridCol w:w="326"/>
        <w:gridCol w:w="329"/>
        <w:gridCol w:w="752"/>
        <w:gridCol w:w="326"/>
        <w:gridCol w:w="318"/>
        <w:gridCol w:w="808"/>
      </w:tblGrid>
      <w:tr>
        <w:trPr/>
        <w:tc>
          <w:tcPr>
            <w:tcW w:w="1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95680" cy="175260"/>
                      <wp:effectExtent l="0" t="0" r="0" b="0"/>
                      <wp:wrapNone/>
                      <wp:docPr id="155" name="Frame155"/>
                      <a:graphic xmlns:a="http://schemas.openxmlformats.org/drawingml/2006/main">
                        <a:graphicData uri="http://schemas.microsoft.com/office/word/2010/wordprocessingShape">
                          <wps:wsp>
                            <wps:cNvSpPr txBox="1"/>
                            <wps:spPr>
                              <a:xfrm>
                                <a:off x="0" y="0"/>
                                <a:ext cx="995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3525" cy="175260"/>
                      <wp:effectExtent l="0" t="0" r="0" b="0"/>
                      <wp:wrapNone/>
                      <wp:docPr id="157" name="Frame15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7685" cy="175260"/>
                      <wp:effectExtent l="0" t="0" r="0" b="0"/>
                      <wp:wrapNone/>
                      <wp:docPr id="158" name="Frame15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8915" cy="175260"/>
                      <wp:effectExtent l="0" t="0" r="0" b="0"/>
                      <wp:wrapNone/>
                      <wp:docPr id="160" name="Frame16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77520" cy="175260"/>
                      <wp:effectExtent l="0" t="0" r="0" b="0"/>
                      <wp:wrapNone/>
                      <wp:docPr id="161" name="Frame16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8600" cy="175260"/>
                      <wp:effectExtent l="0" t="0" r="0" b="0"/>
                      <wp:wrapNone/>
                      <wp:docPr id="163"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57835" cy="175260"/>
                      <wp:effectExtent l="0" t="0" r="0" b="0"/>
                      <wp:wrapNone/>
                      <wp:docPr id="164" name="Frame1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2710" cy="175260"/>
                      <wp:effectExtent l="0" t="0" r="0" b="0"/>
                      <wp:wrapNone/>
                      <wp:docPr id="165" name="Frame1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3525" cy="175260"/>
                      <wp:effectExtent l="0" t="0" r="0" b="0"/>
                      <wp:wrapNone/>
                      <wp:docPr id="166" name="Frame1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27685" cy="175260"/>
                      <wp:effectExtent l="0" t="0" r="0" b="0"/>
                      <wp:wrapNone/>
                      <wp:docPr id="167" name="Frame16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8915" cy="175260"/>
                      <wp:effectExtent l="0" t="0" r="0" b="0"/>
                      <wp:wrapNone/>
                      <wp:docPr id="169" name="Frame169"/>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77520" cy="175260"/>
                      <wp:effectExtent l="0" t="0" r="0" b="0"/>
                      <wp:wrapNone/>
                      <wp:docPr id="170" name="Frame170"/>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1930" cy="175260"/>
                      <wp:effectExtent l="0" t="0" r="0" b="0"/>
                      <wp:wrapNone/>
                      <wp:docPr id="172" name="Frame17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13080" cy="175260"/>
                      <wp:effectExtent l="0" t="0" r="0" b="0"/>
                      <wp:wrapNone/>
                      <wp:docPr id="173" name="Frame17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2025</w:t>
            </w:r>
          </w:p>
        </w:tc>
        <w:tc>
          <w:tcPr>
            <w:tcW w:w="146" w:type="dxa"/>
            <w:tcBorders/>
            <w:vAlign w:val="center"/>
          </w:tcPr>
          <w:p>
            <w:pPr>
              <w:pStyle w:val="TableContents"/>
              <w:bidi w:val="0"/>
              <w:spacing w:before="0" w:after="0"/>
              <w:ind w:left="0" w:right="0" w:hanging="0"/>
              <w:jc w:val="left"/>
              <w:rPr/>
            </w:pPr>
            <w:r>
              <w:rPr/>
              <w:t>​</w:t>
            </w:r>
          </w:p>
        </w:tc>
        <w:tc>
          <w:tcPr>
            <w:tcW w:w="41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5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46" w:type="dxa"/>
            <w:tcBorders/>
            <w:shd w:fill="CCEEFF" w:val="clear"/>
            <w:vAlign w:val="center"/>
          </w:tcPr>
          <w:p>
            <w:pPr>
              <w:pStyle w:val="TableContents"/>
              <w:bidi w:val="0"/>
              <w:spacing w:before="0" w:after="0"/>
              <w:ind w:left="0" w:right="0" w:hanging="0"/>
              <w:jc w:val="center"/>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218</w:t>
            </w:r>
          </w:p>
        </w:tc>
      </w:tr>
    </w:tbl>
    <w:tbl>
      <w:tblPr>
        <w:tblW w:w="4457" w:type="dxa"/>
        <w:jc w:val="left"/>
        <w:tblInd w:w="0" w:type="dxa"/>
        <w:tblLayout w:type="fixed"/>
        <w:tblCellMar>
          <w:top w:w="0" w:type="dxa"/>
          <w:left w:w="0" w:type="dxa"/>
          <w:bottom w:w="0" w:type="dxa"/>
          <w:right w:w="0" w:type="dxa"/>
        </w:tblCellMar>
      </w:tblPr>
      <w:tblGrid>
        <w:gridCol w:w="211"/>
        <w:gridCol w:w="424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include effects from foreign currency translation.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carrying amount of intangible assets decreased by $50 million during the three months ended June 30, 2025, primarily due to the reclassification of certain capitalized software intangibles to prepaid assets and other noncurrent assets resulting from the migration of on-premises software to a cloud-based solution. Aggregate intangible asset amortization expense was $15 million and $19 million for the three months ended June 30, 2025 and 2024, respectively. This included amortization of capitalized software of $8 million and $12 million for the three months ended June 30, 2025, and 2024, respectively, which was reported in “Depreciation of property, equipment and capitalized software” on the Consolidated Statement of 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June 30, 2025:</w:t>
      </w:r>
    </w:p>
    <w:p>
      <w:pPr>
        <w:pStyle w:val="TextBody"/>
        <w:bidi w:val="0"/>
        <w:spacing w:before="0" w:after="240"/>
        <w:ind w:left="0" w:right="0" w:firstLine="720"/>
        <w:jc w:val="left"/>
        <w:rPr/>
      </w:pPr>
      <w:r>
        <w:rPr/>
        <w:t>​</w:t>
      </w:r>
    </w:p>
    <w:tbl>
      <w:tblPr>
        <w:tblW w:w="7908" w:type="dxa"/>
        <w:jc w:val="left"/>
        <w:tblInd w:w="0" w:type="dxa"/>
        <w:tblLayout w:type="fixed"/>
        <w:tblCellMar>
          <w:top w:w="0" w:type="dxa"/>
          <w:left w:w="0" w:type="dxa"/>
          <w:bottom w:w="0" w:type="dxa"/>
          <w:right w:w="0" w:type="dxa"/>
        </w:tblCellMar>
      </w:tblPr>
      <w:tblGrid>
        <w:gridCol w:w="2581"/>
        <w:gridCol w:w="109"/>
        <w:gridCol w:w="352"/>
        <w:gridCol w:w="579"/>
        <w:gridCol w:w="326"/>
        <w:gridCol w:w="425"/>
        <w:gridCol w:w="641"/>
        <w:gridCol w:w="109"/>
        <w:gridCol w:w="357"/>
        <w:gridCol w:w="589"/>
        <w:gridCol w:w="109"/>
        <w:gridCol w:w="379"/>
        <w:gridCol w:w="626"/>
        <w:gridCol w:w="109"/>
        <w:gridCol w:w="211"/>
        <w:gridCol w:w="40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38935" cy="175260"/>
                      <wp:effectExtent l="0" t="0" r="0" b="0"/>
                      <wp:wrapNone/>
                      <wp:docPr id="174" name="Frame17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3520" cy="175260"/>
                      <wp:effectExtent l="0" t="0" r="0" b="0"/>
                      <wp:wrapNone/>
                      <wp:docPr id="176" name="Frame17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7665" cy="175260"/>
                      <wp:effectExtent l="0" t="0" r="0" b="0"/>
                      <wp:wrapNone/>
                      <wp:docPr id="177" name="Frame17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69875" cy="175260"/>
                      <wp:effectExtent l="0" t="0" r="0" b="0"/>
                      <wp:wrapNone/>
                      <wp:docPr id="179" name="Frame179"/>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7035" cy="175260"/>
                      <wp:effectExtent l="0" t="0" r="0" b="0"/>
                      <wp:wrapNone/>
                      <wp:docPr id="180" name="Frame18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6695" cy="175260"/>
                      <wp:effectExtent l="0" t="0" r="0" b="0"/>
                      <wp:wrapNone/>
                      <wp:docPr id="182" name="Frame18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4015" cy="175260"/>
                      <wp:effectExtent l="0" t="0" r="0" b="0"/>
                      <wp:wrapNone/>
                      <wp:docPr id="183" name="Frame183"/>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40665" cy="175260"/>
                      <wp:effectExtent l="0" t="0" r="0" b="0"/>
                      <wp:wrapNone/>
                      <wp:docPr id="185" name="Frame18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97510" cy="175260"/>
                      <wp:effectExtent l="0" t="0" r="0" b="0"/>
                      <wp:wrapNone/>
                      <wp:docPr id="186" name="Frame186"/>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7810" cy="175260"/>
                      <wp:effectExtent l="0" t="0" r="0" b="0"/>
                      <wp:wrapNone/>
                      <wp:docPr id="189" name="Frame1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vAlign w:val="center"/>
          </w:tcPr>
          <w:p>
            <w:pPr>
              <w:pStyle w:val="TableContents"/>
              <w:bidi w:val="0"/>
              <w:spacing w:before="0" w:after="1"/>
              <w:ind w:left="0" w:right="0" w:hanging="0"/>
              <w:jc w:val="center"/>
              <w:rPr/>
            </w:pPr>
            <w:r>
              <w:rPr/>
              <w:t>​</w: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5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center"/>
              <w:rPr/>
            </w:pPr>
            <w:r>
              <w:rPr/>
              <w:t>​</w:t>
            </w:r>
          </w:p>
        </w:tc>
        <w:tc>
          <w:tcPr>
            <w:tcW w:w="6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center"/>
              <w:rPr/>
            </w:pPr>
            <w:r>
              <w:rPr/>
              <w:t>​</w:t>
            </w:r>
          </w:p>
        </w:tc>
        <w:tc>
          <w:tcPr>
            <w:tcW w:w="58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40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8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982" w:name="Tc_cuQpmAeyfEqXkT4G7ki-Nw_9_8"/>
      <w:bookmarkStart w:id="983" w:name="Tc_hy0SXGG0jkWf_ncz7kZqfA_9_5"/>
      <w:bookmarkStart w:id="984" w:name="Tc_DJYuKvPtPU238gWQkS0eYA_9_2"/>
      <w:bookmarkStart w:id="985" w:name="Tc_zgvymdCz60O18p1MZMqiYg_9_0"/>
      <w:bookmarkStart w:id="986" w:name="Tc_2yMwRtB_FEKmGt9mKiBMaw_8_6"/>
      <w:bookmarkStart w:id="987" w:name="Tc_Iugdnuq3GUmTHogHbp2sEg_8_0"/>
      <w:bookmarkStart w:id="988" w:name="Tc_26Vg7Sn7ZkuoqD93ZNx5dg_7_6"/>
      <w:bookmarkStart w:id="989" w:name="Tc_xHCEnlFwbUOjUCsJEtKXlQ_7_0"/>
      <w:bookmarkStart w:id="990" w:name="Tc_z_SVS3_uAEOyhAB0oMyCdQ_6_0"/>
      <w:bookmarkStart w:id="991" w:name="Tc_eOrgeNxCJkOKTkuZ6wFyrg_5_8"/>
      <w:bookmarkStart w:id="992" w:name="Tc_4Q10894-8EmIByuHApHK2w_5_6"/>
      <w:bookmarkStart w:id="993" w:name="Tc_Uq3S-a5x60uTAJlBXyfknA_5_5"/>
      <w:bookmarkStart w:id="994" w:name="Tc_RCatNXpiiUmWzA1Xx3ssPw_5_2"/>
      <w:bookmarkStart w:id="995" w:name="Tc_W-V-oWwarUSPf67IdkGzfA_5_0"/>
      <w:bookmarkStart w:id="996" w:name="Tc_gdh4Mt2w806VliZYpIixZw_4_8"/>
      <w:bookmarkStart w:id="997" w:name="Tc_-b5B4bbC2ESMfmxwunJInQ_4_5"/>
      <w:bookmarkStart w:id="998" w:name="Tc_kiiNL1gtu0uHjEaOqmve5Q_4_2"/>
      <w:bookmarkStart w:id="999" w:name="Tc_MWcPfLoz_kyBdvsr25h0kw_4_0"/>
      <w:bookmarkStart w:id="1000" w:name="Tc_1lmd372IT02Hb9SfhpK3vQ_3_8"/>
      <w:bookmarkStart w:id="1001" w:name="Tc_5GfR1flmi0CXYc6xYI2aNg_3_5"/>
      <w:bookmarkStart w:id="1002" w:name="Tc_pNWOxgYO40--QvIq4Z6DSg_3_2"/>
      <w:bookmarkStart w:id="1003" w:name="Tc_Ugjz6JpdOU6whZdmli6Nmw_3_0"/>
      <w:bookmarkStart w:id="1004" w:name="Tc_BMiIBns_eUSjaGc75JED9Q_2_5"/>
      <w:bookmarkStart w:id="1005" w:name="_b85549c5_b9d9_4325_bb51_aa312e0fd12c"/>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three months ended June 30, 2025 were as follows:</w:t>
      </w:r>
    </w:p>
    <w:p>
      <w:pPr>
        <w:pStyle w:val="TextBody"/>
        <w:bidi w:val="0"/>
        <w:spacing w:before="0" w:after="240"/>
        <w:ind w:left="0" w:right="0" w:hanging="0"/>
        <w:jc w:val="left"/>
        <w:rPr/>
      </w:pPr>
      <w:r>
        <w:rPr/>
        <w:t>​</w:t>
      </w:r>
    </w:p>
    <w:tbl>
      <w:tblPr>
        <w:tblW w:w="5729" w:type="dxa"/>
        <w:jc w:val="left"/>
        <w:tblInd w:w="0" w:type="dxa"/>
        <w:tblLayout w:type="fixed"/>
        <w:tblCellMar>
          <w:top w:w="0" w:type="dxa"/>
          <w:left w:w="0" w:type="dxa"/>
          <w:bottom w:w="0" w:type="dxa"/>
          <w:right w:w="0" w:type="dxa"/>
        </w:tblCellMar>
      </w:tblPr>
      <w:tblGrid>
        <w:gridCol w:w="1561"/>
        <w:gridCol w:w="109"/>
        <w:gridCol w:w="419"/>
        <w:gridCol w:w="842"/>
        <w:gridCol w:w="109"/>
        <w:gridCol w:w="533"/>
        <w:gridCol w:w="877"/>
        <w:gridCol w:w="109"/>
        <w:gridCol w:w="330"/>
        <w:gridCol w:w="84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91235" cy="175260"/>
                      <wp:effectExtent l="0" t="0" r="0" b="0"/>
                      <wp:wrapNone/>
                      <wp:docPr id="190" name="Frame19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6065" cy="175260"/>
                      <wp:effectExtent l="0" t="0" r="0" b="0"/>
                      <wp:wrapNone/>
                      <wp:docPr id="192" name="Frame192"/>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34670" cy="175260"/>
                      <wp:effectExtent l="0" t="0" r="0" b="0"/>
                      <wp:wrapNone/>
                      <wp:docPr id="193" name="Frame193"/>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38455" cy="175260"/>
                      <wp:effectExtent l="0" t="0" r="0" b="0"/>
                      <wp:wrapNone/>
                      <wp:docPr id="195" name="Frame19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56895" cy="175260"/>
                      <wp:effectExtent l="0" t="0" r="0" b="0"/>
                      <wp:wrapNone/>
                      <wp:docPr id="196" name="Frame196"/>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9550" cy="175260"/>
                      <wp:effectExtent l="0" t="0" r="0" b="0"/>
                      <wp:wrapNone/>
                      <wp:docPr id="198" name="Frame19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33400" cy="175260"/>
                      <wp:effectExtent l="0" t="0" r="0" b="0"/>
                      <wp:wrapNone/>
                      <wp:docPr id="199" name="Frame19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center"/>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0"/>
              <w:ind w:left="0" w:right="0" w:hanging="0"/>
              <w:jc w:val="left"/>
              <w:rPr/>
            </w:pPr>
            <w:r>
              <w:rPr/>
              <w:t>​</w:t>
            </w:r>
          </w:p>
        </w:tc>
        <w:tc>
          <w:tcPr>
            <w:tcW w:w="4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4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shd w:fill="CCEEFF" w:val="clear"/>
            <w:vAlign w:val="center"/>
          </w:tcPr>
          <w:p>
            <w:pPr>
              <w:pStyle w:val="TableContents"/>
              <w:bidi w:val="0"/>
              <w:spacing w:before="0" w:after="0"/>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793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goodwill impairment losses recorded for the three months ended June 30, 2025 and 2024.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006" w:name="Tc_XoeG_200R0y0_mH1Oiar7g_13_9"/>
      <w:bookmarkStart w:id="1007" w:name="Tc_GygzZF6NS0WBzZ5fi_rwZQ_13_6"/>
      <w:bookmarkStart w:id="1008" w:name="Tc__HnXhxcG4kK5jjTk6R8HGg_13_0"/>
      <w:bookmarkStart w:id="1009" w:name="Tc_zYuRt09t5Ui1TN1jO1yYQQ_12_0"/>
      <w:bookmarkStart w:id="1010" w:name="Tc_kEY_f1D-REqu5TbTrF8_Lw_11_0"/>
      <w:bookmarkStart w:id="1011" w:name="Tc_NTpiHi07WUm8NGOTYOvhng_10_0"/>
      <w:bookmarkStart w:id="1012" w:name="Tc_QO8HresefkiZXtf59erpJA_9_9"/>
      <w:bookmarkStart w:id="1013" w:name="Tc_iQ_swYXV9kmyMyzpZS4oTQ_9_6"/>
      <w:bookmarkStart w:id="1014" w:name="Tc_FL-mKDX3TkWiHWoXLCVarw_8_4"/>
      <w:bookmarkStart w:id="1015" w:name="Tc_1BUZidfDVESnX_1YSLRo6A_8_2"/>
      <w:bookmarkStart w:id="1016" w:name="Tc_OKJG3IQ6rUOKsX-d9kxwpg_8_0"/>
      <w:bookmarkStart w:id="1017" w:name="Tc_51aKbuxctUeoCqaXTPVjKA_7_4"/>
      <w:bookmarkStart w:id="1018" w:name="Tc_kK0PXd4q80iuHH_za9BlCg_7_0"/>
      <w:bookmarkStart w:id="1019" w:name="Tc_XyIuRgAYEk6lXA1Ii0d-rw_6_4"/>
      <w:bookmarkStart w:id="1020" w:name="Tc_n0Sb7g5W-kqDAHDe2WrPyA_6_0"/>
      <w:bookmarkStart w:id="1021" w:name="Tc_qGFu8dOcMEKKKc-G9viSBg_5_4"/>
      <w:bookmarkStart w:id="1022" w:name="Tc_ZUeMhSyngUm1KoTiISKj4w_5_0"/>
      <w:bookmarkStart w:id="1023" w:name="Tc_3xHzR8PWZUqEten9CID-bQ_4_4"/>
      <w:bookmarkStart w:id="1024" w:name="Tc_9pa5tjWEg0GPDN-DhPuN9g_4_0"/>
      <w:bookmarkStart w:id="1025" w:name="Tc_U1K4tr7E-kWVCerPf8Ix7Q_3_9"/>
      <w:bookmarkStart w:id="1026" w:name="Tc_W9N4MDvvpkuUuX3rpvP2BA_3_6"/>
      <w:bookmarkStart w:id="1027" w:name="Tc_7TDhkQc7sUKCyhdryJqeHw_3_4"/>
      <w:bookmarkStart w:id="1028" w:name="Tc_eq1eAlRee0mwQN7JG8Ucwg_3_0"/>
      <w:bookmarkStart w:id="1029" w:name="Tc_QRGKRdHFjkW620S5QtsfJw_2_9"/>
      <w:bookmarkStart w:id="1030" w:name="Tc_8IcEmWV46Eqg3o3NwOao8w_2_6"/>
      <w:bookmarkStart w:id="1031" w:name="Tc_x_3cylIp3kmylbQ7o1octg_2_4"/>
      <w:bookmarkStart w:id="1032" w:name="Tc_sC6OOVP3S0ikSuhjtkkBtQ_2_2"/>
      <w:bookmarkStart w:id="1033" w:name="Tc_Yk6YXBktSkWuA0ju9SXMEw_2_0"/>
      <w:bookmarkStart w:id="1034" w:name="Tc_t81pnBlxVUST4jxPmuQdJw_1_9"/>
      <w:bookmarkStart w:id="1035" w:name="Tc_dnu8dG4M_kOCBWuRfO7l5Q_1_6"/>
      <w:bookmarkStart w:id="1036" w:name="_9b70f58b_f864_4406_9b52_0e1dea77c29e"/>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sz w:val="20"/>
        </w:rPr>
        <w:t>NOTE 9. BORROWINGS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our debt:</w:t>
      </w:r>
    </w:p>
    <w:p>
      <w:pPr>
        <w:pStyle w:val="TextBody"/>
        <w:bidi w:val="0"/>
        <w:spacing w:before="0" w:after="0"/>
        <w:ind w:left="0" w:right="0" w:firstLine="720"/>
        <w:jc w:val="left"/>
        <w:rPr/>
      </w:pPr>
      <w:r>
        <w:rPr/>
        <w:t>​</w:t>
      </w:r>
    </w:p>
    <w:tbl>
      <w:tblPr>
        <w:tblW w:w="7978" w:type="dxa"/>
        <w:jc w:val="left"/>
        <w:tblInd w:w="0" w:type="dxa"/>
        <w:tblLayout w:type="fixed"/>
        <w:tblCellMar>
          <w:top w:w="0" w:type="dxa"/>
          <w:left w:w="0" w:type="dxa"/>
          <w:bottom w:w="0" w:type="dxa"/>
          <w:right w:w="0" w:type="dxa"/>
        </w:tblCellMar>
      </w:tblPr>
      <w:tblGrid>
        <w:gridCol w:w="3301"/>
        <w:gridCol w:w="326"/>
        <w:gridCol w:w="1051"/>
        <w:gridCol w:w="109"/>
        <w:gridCol w:w="1291"/>
        <w:gridCol w:w="109"/>
        <w:gridCol w:w="211"/>
        <w:gridCol w:w="571"/>
        <w:gridCol w:w="109"/>
        <w:gridCol w:w="211"/>
        <w:gridCol w:w="68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96135" cy="175260"/>
                      <wp:effectExtent l="0" t="0" r="0" b="0"/>
                      <wp:wrapNone/>
                      <wp:docPr id="200" name="Frame20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67385" cy="175260"/>
                      <wp:effectExtent l="0" t="0" r="0" b="0"/>
                      <wp:wrapNone/>
                      <wp:docPr id="202" name="Frame20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19785" cy="175260"/>
                      <wp:effectExtent l="0" t="0" r="0" b="0"/>
                      <wp:wrapNone/>
                      <wp:docPr id="204" name="Frame20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62585" cy="175260"/>
                      <wp:effectExtent l="0" t="0" r="0" b="0"/>
                      <wp:wrapNone/>
                      <wp:docPr id="207" name="Frame2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7515" cy="175260"/>
                      <wp:effectExtent l="0" t="0" r="0" b="0"/>
                      <wp:wrapNone/>
                      <wp:docPr id="210" name="Frame21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2034</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6.35%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and other obligations</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5.46%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2025-2031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33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3,042</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Including the cross-currency swaps that the Company entered into subsequent to the issuance of the unsecured senior notes due 2034, the effective interest rate on such notes was approximately 3.84%</w:t>
            </w:r>
            <w:r>
              <w:rPr>
                <w:rFonts w:ascii="Times New Roman;Times;serif" w:hAnsi="Times New Roman;Times;serif"/>
                <w:sz w:val="20"/>
              </w:rPr>
              <w:t xml:space="preserve"> </w:t>
            </w:r>
            <w:r>
              <w:rPr>
                <w:rFonts w:ascii="Times New Roman;Times;serif" w:hAnsi="Times New Roman;Times;serif"/>
                <w:sz w:val="16"/>
              </w:rPr>
              <w:t xml:space="preserve">at the time of issuance. For more information, see Note 7 – Financial Assets and Liabilities.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6"/>
        </w:rPr>
        <w:t>Weighted-average discount rate.</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037" w:name="_7444e10c_16ac_472b_a194_9eeacbbb6002"/>
      <w:bookmarkStart w:id="1038" w:name="Tc_Y80CqR3C_kGiglFjOUlFDQ_9_2"/>
      <w:bookmarkStart w:id="1039" w:name="Tc_CZzQG8LhkE2h34eadLTvEQ_9_0"/>
      <w:bookmarkStart w:id="1040" w:name="Tc_EdNKwU6O0ku0PV1flrUROA_8_0"/>
      <w:bookmarkStart w:id="1041" w:name="Tc_zxdCZb43UUyZr6jzRDXl8A_7_3"/>
      <w:bookmarkStart w:id="1042" w:name="Tc_uT_-a-XeuUiAZw9ZI7oqEQ_7_0"/>
      <w:bookmarkStart w:id="1043" w:name="Tc_t6TAPaFMgk2lEILhsekF4A_6_0"/>
      <w:bookmarkStart w:id="1044" w:name="Tc_WhBBGwfBe06HN7tefjU9pQ_5_3"/>
      <w:bookmarkStart w:id="1045" w:name="Tc_eCUMlmRHk0-RvOCQtzF6Iw_5_0"/>
      <w:bookmarkStart w:id="1046" w:name="Tc_-8P9FA51-UONpJymOjVMLg_4_0"/>
      <w:bookmarkStart w:id="1047" w:name="Tc_Qh7_PhCw7kORXG6j9JfCMg_3_2"/>
      <w:bookmarkStart w:id="1048" w:name="Tc_-G6ATEA1O0-cfbwD-raP-A_3_0"/>
      <w:bookmarkStart w:id="1049" w:name="Tc_kuZqHjr1PkWJU6k1BXGmqQ_2_0"/>
      <w:bookmarkStart w:id="1050" w:name="Tc_5jRiTFpSSUa-TxbE0iIdjA_1_2"/>
      <w:bookmarkStart w:id="1051" w:name="Tc_cUO0hOKKz0qzzRjqbVhggw_1_0"/>
      <w:bookmarkStart w:id="1052" w:name="_9069e9da_3daa_4653_907d_b1441e8212f9"/>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sz w:val="20"/>
        </w:rPr>
        <w:t>Contractual obligations of long-term debt outstanding at June 30, 2025, exclusive of finance lease obligations, are as follows:</w:t>
      </w:r>
    </w:p>
    <w:p>
      <w:pPr>
        <w:pStyle w:val="TextBody"/>
        <w:bidi w:val="0"/>
        <w:spacing w:before="0" w:after="240"/>
        <w:ind w:left="0" w:right="0" w:firstLine="720"/>
        <w:jc w:val="left"/>
        <w:rPr/>
      </w:pPr>
      <w:r>
        <w:rPr/>
        <w:t>​</w:t>
      </w:r>
    </w:p>
    <w:tbl>
      <w:tblPr>
        <w:tblW w:w="3806" w:type="dxa"/>
        <w:jc w:val="left"/>
        <w:tblInd w:w="0" w:type="dxa"/>
        <w:tblLayout w:type="fixed"/>
        <w:tblCellMar>
          <w:top w:w="0" w:type="dxa"/>
          <w:left w:w="0" w:type="dxa"/>
          <w:bottom w:w="0" w:type="dxa"/>
          <w:right w:w="0" w:type="dxa"/>
        </w:tblCellMar>
      </w:tblPr>
      <w:tblGrid>
        <w:gridCol w:w="2581"/>
        <w:gridCol w:w="326"/>
        <w:gridCol w:w="211"/>
        <w:gridCol w:w="688"/>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38935" cy="175260"/>
                      <wp:effectExtent l="0" t="0" r="0" b="0"/>
                      <wp:wrapNone/>
                      <wp:docPr id="211" name="Frame21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6880" cy="175260"/>
                      <wp:effectExtent l="0" t="0" r="0" b="0"/>
                      <wp:wrapNone/>
                      <wp:docPr id="214" name="Frame21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nine months)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2,932</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Contractual obligations approximate scheduled repayments.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2025, there were no borrowings under the Company’s revolving credit agreement. The Company is in compliance with its debt covenants in all periods presented.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June 30, 2025 and March 31, 2025 were not material. Additionally, the Company has contractual commitments that are noncancellable with certain software, hardware and cloud partners used in the delivery of services to customers. During the three months ended June 30, 2025, contractual commitments decreased due to satisfaction of existing commitments outpacing new additions.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reviews claims, suits, investigations and proceedings at least quarterly, and decisions are made with respect to recording or adjusting provisions and disclosing reasonably possible losses or range of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(individually or in the aggregate) to reflect the impact and status of settlement discussions, discovery, procedural and substantive rulings, reviews by counsel and other information pertinent to a particular matter.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53" w:name="Tc_Q3xGR6MG5kapg8pIztXN1g_25_8"/>
      <w:bookmarkStart w:id="1054" w:name="Tc_0y7LHeSBakOMmU9k1Fz94Q_25_5"/>
      <w:bookmarkStart w:id="1055" w:name="Tc_LkM_fBD9lEqp1Qa9IUjP6A_25_2"/>
      <w:bookmarkStart w:id="1056" w:name="Tc_62YD3HxKZ02xp3uhdwhO2g_25_0"/>
      <w:bookmarkStart w:id="1057" w:name="Tc_KRb2En7gH0aUc1qIIafFJw_24_8"/>
      <w:bookmarkStart w:id="1058" w:name="Tc_y0bLeRzUjki0i9doJXmjhg_24_5"/>
      <w:bookmarkStart w:id="1059" w:name="Tc_aBeS-G9WcEic8opU_3U_6w_24_2"/>
      <w:bookmarkStart w:id="1060" w:name="Tc_dyTJfCY8T0KBGKdpcEOT4A_24_0"/>
      <w:bookmarkStart w:id="1061" w:name="Tc_of993DUS00CjWqn-UQ-vgA_23_8"/>
      <w:bookmarkStart w:id="1062" w:name="Tc_godjY05noUq14TO1Q649UA_23_5"/>
      <w:bookmarkStart w:id="1063" w:name="Tc_xaRObSylOU2b5sjWnGpMEA_23_2"/>
      <w:bookmarkStart w:id="1064" w:name="Tc_purGaK8TBE6p5J-culAbtw_23_0"/>
      <w:bookmarkStart w:id="1065" w:name="Tc_cBNFQJIuPUaNBBHrGj0MQQ_22_9"/>
      <w:bookmarkStart w:id="1066" w:name="Tc_a_gcbTviu02pbArXyYkYvQ_22_6"/>
      <w:bookmarkStart w:id="1067" w:name="Tc_8qQYRNJeukqz5H7jxa7eRA_22_3"/>
      <w:bookmarkStart w:id="1068" w:name="Tc_oTXvfRpMMEKAfUkySuiKTg_22_0"/>
      <w:bookmarkStart w:id="1069" w:name="Tc_B3XYIRFXH0KKS9DTWD0CHQ_21_8"/>
      <w:bookmarkStart w:id="1070" w:name="Tc_vK3EvM4w00OEB5iTq8nGzQ_21_5"/>
      <w:bookmarkStart w:id="1071" w:name="Tc_I_j_Ba_yXUOyFmN6jQbH4w_21_2"/>
      <w:bookmarkStart w:id="1072" w:name="Tc_Jf8L0Fh37k2IRhmIeFaa1A_21_0"/>
      <w:bookmarkStart w:id="1073" w:name="Tc_-hQg2XWcqUiSAq6n4eAEEw_20_0"/>
      <w:bookmarkStart w:id="1074" w:name="Tc_trAX3jeCT0iTyBcVZqJQ9Q_19_8"/>
      <w:bookmarkStart w:id="1075" w:name="Tc_xKUFTXUnjU-NfYr3iIjGDw_19_6"/>
      <w:bookmarkStart w:id="1076" w:name="Tc_N0vmpMAFKEqOWIdZ6IzUFQ_19_5"/>
      <w:bookmarkStart w:id="1077" w:name="Tc_vbpdiKRWPUq7etUl6pICtg_19_2"/>
      <w:bookmarkStart w:id="1078" w:name="Tc_9qIePvdlWUCWRFBdTcBvIw_19_0"/>
      <w:bookmarkStart w:id="1079" w:name="Tc_oNDveItR6EiP7wosjHqjvQ_18_6"/>
      <w:bookmarkStart w:id="1080" w:name="Tc_LwhhSi9iVkyyw7MzDqsBkA_18_0"/>
      <w:bookmarkStart w:id="1081" w:name="Tc_9wBCwI7tfE-uhwL9hYuw0w_17_8"/>
      <w:bookmarkStart w:id="1082" w:name="Tc_cjAEL--g6k6ZvlFf-LAj_g_17_6"/>
      <w:bookmarkStart w:id="1083" w:name="Tc_abz8XLFSf0iiMGAM2RxDqg_17_5"/>
      <w:bookmarkStart w:id="1084" w:name="Tc_NGtyelWNgU2S0q4JPMLZZg_17_2"/>
      <w:bookmarkStart w:id="1085" w:name="Tc_ufyHPmW6qECoxBG3SkB0eA_17_0"/>
      <w:bookmarkStart w:id="1086" w:name="Tc_bWyR_4xJg0iX9jnsmIb_TA_16_0"/>
      <w:bookmarkStart w:id="1087" w:name="Tc_O4meCkN8jUmgQcsLDIsQ5g_15_0"/>
      <w:bookmarkStart w:id="1088" w:name="Tc_b12hpl6jtUmxk0sQqxbvFw_13_8"/>
      <w:bookmarkStart w:id="1089" w:name="Tc_iHsCBP4U2EmAh022aP4Erg_13_6"/>
      <w:bookmarkStart w:id="1090" w:name="Tc_509aFMJko0SlpAM2YgEZ_Q_13_5"/>
      <w:bookmarkStart w:id="1091" w:name="Tc_n_pCWkdHHUGgQcmPMWLOIw_13_2"/>
      <w:bookmarkStart w:id="1092" w:name="Tc_XX29W6trmESIv6k5Yeo2Kw_13_0"/>
      <w:bookmarkStart w:id="1093" w:name="Tc_MR8j8UmjxU25I2JFyt_-Eg_12_8"/>
      <w:bookmarkStart w:id="1094" w:name="Tc_D4x3HY-1tESKuwn8jC4o5Q_12_5"/>
      <w:bookmarkStart w:id="1095" w:name="Tc_LatvgXkzSUSaKTBhVIT3Ew_12_2"/>
      <w:bookmarkStart w:id="1096" w:name="Tc_iDg2zhRoi0K4f4tSETSsNg_12_0"/>
      <w:bookmarkStart w:id="1097" w:name="Tc_lUo7nznJgES-1eTAaBQFWQ_11_8"/>
      <w:bookmarkStart w:id="1098" w:name="Tc_bz9Ya73IvkmA1KZKjHjizA_11_5"/>
      <w:bookmarkStart w:id="1099" w:name="Tc_OuBrvdyCcECrVFHV2IzzUg_11_2"/>
      <w:bookmarkStart w:id="1100" w:name="Tc_UWYIswggzUmIAaeivFj5oA_11_0"/>
      <w:bookmarkStart w:id="1101" w:name="Tc_0Ji99_5XXEaMYwuNijQemg_10_6"/>
      <w:bookmarkStart w:id="1102" w:name="Tc_bU1xgjLeq066nlFwvR02vw_10_0"/>
      <w:bookmarkStart w:id="1103" w:name="Tc_9sTYrlia8kO2rzOJhWYYMA_9_8"/>
      <w:bookmarkStart w:id="1104" w:name="Tc_F0X-glkp202xR_IsxFeObQ_9_5"/>
      <w:bookmarkStart w:id="1105" w:name="Tc_PuQJnGvJk0qaoOf9WWd8MA_9_2"/>
      <w:bookmarkStart w:id="1106" w:name="Tc_LQfo3lp_ZEeccpaqvtEPCQ_9_0"/>
      <w:bookmarkStart w:id="1107" w:name="Tc_o38E2UxtU0eu_qUUJ6bDCA_8_0"/>
      <w:bookmarkStart w:id="1108" w:name="Tc_ai4OwA8p-0me9Y_cRQ4c_Q_7_8"/>
      <w:bookmarkStart w:id="1109" w:name="Tc_aRquwYOoUU2saBc7CPMQjw_7_6"/>
      <w:bookmarkStart w:id="1110" w:name="Tc_afNTuA8oG0-eaIrHmkq-lQ_7_5"/>
      <w:bookmarkStart w:id="1111" w:name="Tc_3u-z7nse40elfuFXmIg55Q_7_2"/>
      <w:bookmarkStart w:id="1112" w:name="Tc_xxbPA4HJxkiLzVPouUsBfw_7_0"/>
      <w:bookmarkStart w:id="1113" w:name="Tc_WABEueR-mUeyCwVhxgbLgw_6_6"/>
      <w:bookmarkStart w:id="1114" w:name="Tc_WPm0OdnNxUCk1z3LwW1NyA_6_0"/>
      <w:bookmarkStart w:id="1115" w:name="Tc_3a9PgQmYWEuAaO2GpJltMw_5_8"/>
      <w:bookmarkStart w:id="1116" w:name="Tc_WI6Y1Mluw06bIpEy-Y_jqQ_5_6"/>
      <w:bookmarkStart w:id="1117" w:name="Tc_QNTlpt-wJ0KgDMalli-OeA_5_5"/>
      <w:bookmarkStart w:id="1118" w:name="Tc_HzLACQMMFEmGiIvWDiMRbQ_5_2"/>
      <w:bookmarkStart w:id="1119" w:name="Tc_7G5psHbfnUeqPXTi-dwDNQ_5_0"/>
      <w:bookmarkStart w:id="1120" w:name="Tc_2R8q_yuCMk2qwxNnxtR-jg_4_0"/>
      <w:bookmarkStart w:id="1121" w:name="Tc_GCF00AJp-0a_D3VQY5teWQ_3_0"/>
      <w:bookmarkStart w:id="1122" w:name="Tc_9T0j4p68LEClq7QOMERkBQ_2_8"/>
      <w:bookmarkStart w:id="1123" w:name="Tc_kEwRBuIM506XOmLoGXMxdQ_2_5"/>
      <w:bookmarkStart w:id="1124" w:name="Tc_AI1l7mZ-NUS-IQ-6QfGvKw_2_2"/>
      <w:bookmarkStart w:id="1125" w:name="Tc_M53bU_h0_0GVqO4qiGgNcw_2_0"/>
      <w:bookmarkStart w:id="1126" w:name="Tc_rH829TDuCUK6LljgxhSl0w_1_8"/>
      <w:bookmarkStart w:id="1127" w:name="Tc_u0nxkd5TzkCZ4qX6bui7Qw_1_5"/>
      <w:bookmarkStart w:id="1128" w:name="Tc_j9w7aPJEG02TpmrFGAcQig_1_2"/>
      <w:bookmarkStart w:id="1129" w:name="_a093d55c_f111_457a_82fe_124e08b8ae90"/>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imes New Roman;Times;serif" w:hAnsi="Times New Roman;Times;serif"/>
          <w:b/>
          <w:sz w:val="20"/>
        </w:rPr>
        <w:t>NOTE 11.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reclassifications and taxes related to items of other comprehensive income (loss) for the three months ended June 30, 2025 and 2024:</w:t>
      </w:r>
    </w:p>
    <w:p>
      <w:pPr>
        <w:pStyle w:val="TextBody"/>
        <w:bidi w:val="0"/>
        <w:spacing w:before="0" w:after="0"/>
        <w:ind w:left="0" w:right="0" w:hanging="0"/>
        <w:jc w:val="left"/>
        <w:rPr/>
      </w:pPr>
      <w:r>
        <w:rPr/>
        <w:t>​</w:t>
      </w:r>
    </w:p>
    <w:tbl>
      <w:tblPr>
        <w:tblW w:w="9472" w:type="dxa"/>
        <w:jc w:val="left"/>
        <w:tblInd w:w="0" w:type="dxa"/>
        <w:tblLayout w:type="fixed"/>
        <w:tblCellMar>
          <w:top w:w="0" w:type="dxa"/>
          <w:left w:w="0" w:type="dxa"/>
          <w:bottom w:w="0" w:type="dxa"/>
          <w:right w:w="0" w:type="dxa"/>
        </w:tblCellMar>
      </w:tblPr>
      <w:tblGrid>
        <w:gridCol w:w="5596"/>
        <w:gridCol w:w="326"/>
        <w:gridCol w:w="211"/>
        <w:gridCol w:w="541"/>
        <w:gridCol w:w="326"/>
        <w:gridCol w:w="448"/>
        <w:gridCol w:w="737"/>
        <w:gridCol w:w="326"/>
        <w:gridCol w:w="275"/>
        <w:gridCol w:w="686"/>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553460" cy="175260"/>
                      <wp:effectExtent l="0" t="0" r="0" b="0"/>
                      <wp:wrapNone/>
                      <wp:docPr id="215" name="Frame215"/>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43535" cy="175260"/>
                      <wp:effectExtent l="0" t="0" r="0" b="0"/>
                      <wp:wrapNone/>
                      <wp:docPr id="218" name="Frame21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4480" cy="175260"/>
                      <wp:effectExtent l="0" t="0" r="0" b="0"/>
                      <wp:wrapNone/>
                      <wp:docPr id="220" name="Frame22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67995" cy="175260"/>
                      <wp:effectExtent l="0" t="0" r="0" b="0"/>
                      <wp:wrapNone/>
                      <wp:docPr id="221" name="Frame22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4625" cy="175260"/>
                      <wp:effectExtent l="0" t="0" r="0" b="0"/>
                      <wp:wrapNone/>
                      <wp:docPr id="223" name="Frame22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35610" cy="175260"/>
                      <wp:effectExtent l="0" t="0" r="0" b="0"/>
                      <wp:wrapNone/>
                      <wp:docPr id="224" name="Frame22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on net investment hedges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130" w:name="Tc_DhJEbu2lxE6yYGrqN57G5Q_11_11"/>
      <w:bookmarkStart w:id="1131" w:name="Tc_84aAow1v3k-Udva4FTmFMQ_11_8"/>
      <w:bookmarkStart w:id="1132" w:name="Tc_zQirjczSCEGnhBJ0ORLhgQ_11_5"/>
      <w:bookmarkStart w:id="1133" w:name="Tc_3NX8gUoiGkCnVpVL43bWKA_11_2"/>
      <w:bookmarkStart w:id="1134" w:name="Tc_mc7yGkgYd0CT7w7Dxfkqsg_11_0"/>
      <w:bookmarkStart w:id="1135" w:name="Tc_UasCSyFtIkSNyQ2aWYOD1Q_10_0"/>
      <w:bookmarkStart w:id="1136" w:name="Tc_E1K7mVVDlE2vLo-LukncoQ_9_11"/>
      <w:bookmarkStart w:id="1137" w:name="Tc_yQpmWUk0H0WkUOzPsv0DvQ_9_8"/>
      <w:bookmarkStart w:id="1138" w:name="Tc_fbVUDyeqYEmKuP3nJg858Q_9_5"/>
      <w:bookmarkStart w:id="1139" w:name="Tc_cQAc_Mm4K0CrO7NFgzIm5Q_9_3"/>
      <w:bookmarkStart w:id="1140" w:name="Tc_hg810amjAk2mMpDkm0z6SA_9_2"/>
      <w:bookmarkStart w:id="1141" w:name="Tc_UJB5ts3RxEeoqUJGSwGLKw_9_0"/>
      <w:bookmarkStart w:id="1142" w:name="Tc_UGok4bBXz0uO2lcpAJZvMg_7_11"/>
      <w:bookmarkStart w:id="1143" w:name="Tc_qV4-pIXlAEWmcrRwoWcyxA_7_8"/>
      <w:bookmarkStart w:id="1144" w:name="Tc_X3BFBKfdQUuJB0P--WX6Fw_7_5"/>
      <w:bookmarkStart w:id="1145" w:name="Tc_nsr05dnDyEGiFp9tIu9qYA_7_2"/>
      <w:bookmarkStart w:id="1146" w:name="Tc_wtsXzG4_Y0Cb_HsbPyNctw_7_0"/>
      <w:bookmarkStart w:id="1147" w:name="Tc_VZuCSqcQkE-DAigdgd5B3g_6_0"/>
      <w:bookmarkStart w:id="1148" w:name="Tc_iUpPApnmYUCkbd-ZmHmq3Q_5_11"/>
      <w:bookmarkStart w:id="1149" w:name="Tc_9SnxYaX3xk-WBL9709bfaw_5_8"/>
      <w:bookmarkStart w:id="1150" w:name="Tc_4Ctpa_tGfkuG8SuIPyDEwA_5_5"/>
      <w:bookmarkStart w:id="1151" w:name="Tc_GsMXFkFPDkSw7xXa1MJkUg_5_2"/>
      <w:bookmarkStart w:id="1152" w:name="Tc_iWVbWIWxfkaoUWegmu0-Xg_5_0"/>
      <w:bookmarkStart w:id="1153" w:name="Tc_rQ_oGJ61lkWYKmtOF5bvTw_4_11"/>
      <w:bookmarkStart w:id="1154" w:name="Tc_Lv8-ZWj9k0-UcjzYXXNT_w_4_8"/>
      <w:bookmarkStart w:id="1155" w:name="Tc_VrbfHDmgp0mHIIZXtEa8EA_4_5"/>
      <w:bookmarkStart w:id="1156" w:name="Tc_y5nuev6E3UqYh8B0isCyYg_4_2"/>
      <w:bookmarkStart w:id="1157" w:name="Tc_k8Yq2LX0ZEasIZIt47313w_4_0"/>
      <w:bookmarkStart w:id="1158" w:name="Tc_T12e4AvRWEyPPSP3iBCMUg_3_11"/>
      <w:bookmarkStart w:id="1159" w:name="Tc_BN1alBlce0uub-oT78Vgnw_3_8"/>
      <w:bookmarkStart w:id="1160" w:name="Tc_ZXTML4alSkCdBkOgfOWSMw_3_5"/>
      <w:bookmarkStart w:id="1161" w:name="Tc_kpRODZ-VUUKQ7FHPRX73WA_3_2"/>
      <w:bookmarkStart w:id="1162" w:name="Tc_EXAEZOhTfk223mDsaCiR-Q_2_11"/>
      <w:bookmarkStart w:id="1163" w:name="Tc_fS7JB2yDREit3khTYPJbow_2_8"/>
      <w:bookmarkStart w:id="1164" w:name="Tc_vrfxC_0s3UCgQyEAJdG2eQ_2_5"/>
      <w:bookmarkStart w:id="1165" w:name="Tc_H_EXhefxskO5A5fTkB-OXw_2_2"/>
      <w:bookmarkStart w:id="1166" w:name="Tc_pmsr-9qX90O4wmdyv78XNQ_1_11"/>
      <w:bookmarkStart w:id="1167" w:name="Tc_gnt89hntzkG5dm37ainyAQ_1_8"/>
      <w:bookmarkStart w:id="1168" w:name="Tc_0ZgzztwQZkGgO6OAaurLyQ_1_5"/>
      <w:bookmarkStart w:id="1169" w:name="Tc_UaRDDqP6s0Sj5h6aMn_UcQ_1_2"/>
      <w:bookmarkStart w:id="1170" w:name="_b41a7b62_b1fe_468e_9b63_3568e9e0dcfb"/>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Pr>
          <w:rFonts w:ascii="Times New Roman;Times;serif" w:hAnsi="Times New Roman;Times;serif"/>
          <w:sz w:val="20"/>
        </w:rPr>
        <w:t>The following table presents the components of accumulated other comprehensive income (loss), net of taxes:</w:t>
      </w:r>
    </w:p>
    <w:p>
      <w:pPr>
        <w:pStyle w:val="TextBody"/>
        <w:bidi w:val="0"/>
        <w:spacing w:before="0" w:after="240"/>
        <w:ind w:left="0" w:right="0" w:hanging="0"/>
        <w:jc w:val="left"/>
        <w:rPr/>
      </w:pPr>
      <w:r>
        <w:rPr/>
        <w:t>​</w:t>
      </w:r>
    </w:p>
    <w:tbl>
      <w:tblPr>
        <w:tblW w:w="8432" w:type="dxa"/>
        <w:jc w:val="left"/>
        <w:tblInd w:w="0" w:type="dxa"/>
        <w:tblLayout w:type="fixed"/>
        <w:tblCellMar>
          <w:top w:w="0" w:type="dxa"/>
          <w:left w:w="0" w:type="dxa"/>
          <w:bottom w:w="0" w:type="dxa"/>
          <w:right w:w="0" w:type="dxa"/>
        </w:tblCellMar>
      </w:tblPr>
      <w:tblGrid>
        <w:gridCol w:w="2971"/>
        <w:gridCol w:w="326"/>
        <w:gridCol w:w="448"/>
        <w:gridCol w:w="737"/>
        <w:gridCol w:w="109"/>
        <w:gridCol w:w="274"/>
        <w:gridCol w:w="821"/>
        <w:gridCol w:w="32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86585" cy="175260"/>
                      <wp:effectExtent l="0" t="0" r="0" b="0"/>
                      <wp:wrapNone/>
                      <wp:docPr id="225" name="Frame22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4480" cy="175260"/>
                      <wp:effectExtent l="0" t="0" r="0" b="0"/>
                      <wp:wrapNone/>
                      <wp:docPr id="227" name="Frame22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67995" cy="175260"/>
                      <wp:effectExtent l="0" t="0" r="0" b="0"/>
                      <wp:wrapNone/>
                      <wp:docPr id="228" name="Frame22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3990" cy="175260"/>
                      <wp:effectExtent l="0" t="0" r="0" b="0"/>
                      <wp:wrapNone/>
                      <wp:docPr id="230" name="Frame23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21335" cy="175260"/>
                      <wp:effectExtent l="0" t="0" r="0" b="0"/>
                      <wp:wrapNone/>
                      <wp:docPr id="231" name="Frame23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3200" cy="175260"/>
                      <wp:effectExtent l="0" t="0" r="0" b="0"/>
                      <wp:wrapNone/>
                      <wp:docPr id="233" name="Frame23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63550" cy="175260"/>
                      <wp:effectExtent l="0" t="0" r="0" b="0"/>
                      <wp:wrapNone/>
                      <wp:docPr id="234" name="Frame234"/>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9865" cy="175260"/>
                      <wp:effectExtent l="0" t="0" r="0" b="0"/>
                      <wp:wrapNone/>
                      <wp:docPr id="236" name="Frame23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10870" cy="175260"/>
                      <wp:effectExtent l="0" t="0" r="0" b="0"/>
                      <wp:wrapNone/>
                      <wp:docPr id="237" name="Frame23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2024</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r>
    </w:tbl>
    <w:tbl>
      <w:tblPr>
        <w:tblW w:w="9077" w:type="dxa"/>
        <w:jc w:val="left"/>
        <w:tblInd w:w="0" w:type="dxa"/>
        <w:tblLayout w:type="fixed"/>
        <w:tblCellMar>
          <w:top w:w="0" w:type="dxa"/>
          <w:left w:w="0" w:type="dxa"/>
          <w:bottom w:w="0" w:type="dxa"/>
          <w:right w:w="0" w:type="dxa"/>
        </w:tblCellMar>
      </w:tblPr>
      <w:tblGrid>
        <w:gridCol w:w="211"/>
        <w:gridCol w:w="8866"/>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88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 xml:space="preserve">Foreign currency translation adjustments are presented gross </w:t>
            </w:r>
            <w:r>
              <w:rPr>
                <w:rFonts w:ascii="Times New Roman;Times;serif" w:hAnsi="Times New Roman;Times;serif"/>
                <w:sz w:val="16"/>
                <w:shd w:fill="FFFFFF" w:val="clear"/>
              </w:rPr>
              <w:t>except for any associated hedges, which are presented net of tax.</w:t>
            </w:r>
          </w:p>
        </w:tc>
      </w:tr>
    </w:tbl>
    <w:p>
      <w:pPr>
        <w:pStyle w:val="TextBody"/>
        <w:pBdr/>
        <w:bidi w:val="0"/>
        <w:spacing w:before="0" w:after="240"/>
        <w:ind w:left="0" w:right="0" w:hanging="36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Share Repurchase Program</w:t>
      </w:r>
    </w:p>
    <w:p>
      <w:pPr>
        <w:pStyle w:val="TextBody"/>
        <w:pBdr/>
        <w:bidi w:val="0"/>
        <w:spacing w:before="0" w:after="240"/>
        <w:ind w:left="0" w:right="0" w:hanging="36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the Company repurchased 1.8 million shares of its common stock at an aggregate cost of $65 million under the Share Repurchase Program.</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71" w:name="_72ca02d1_7435_4a64_80e0_cbdd75c8a608"/>
      <w:bookmarkStart w:id="1172" w:name="Tc_Eq_4kGiBCEaLO9fxsypskg_7_5"/>
      <w:bookmarkStart w:id="1173" w:name="Tc_ZKPjQTtt4k2Llbp7oW7e9g_7_2"/>
      <w:bookmarkStart w:id="1174" w:name="Tc_wYTKGdT3mEGfCPkil-dggA_7_0"/>
      <w:bookmarkStart w:id="1175" w:name="Tc_IP3DRMRi7U-7-cvhLAXoFA_6_0"/>
      <w:bookmarkStart w:id="1176" w:name="Tc_6DtCWt6ifUaU45wsCEOe7Q_5_0"/>
      <w:bookmarkStart w:id="1177" w:name="Tc_5CGNXD9NSUKl-1Ha1OU1Ww_4_0"/>
      <w:bookmarkStart w:id="1178" w:name="Tc_daZ0rwQUG0iLRgLrvuc1LQ_3_5"/>
      <w:bookmarkStart w:id="1179" w:name="Tc_7i9L3OZawEK3EoVX6Hx58g_3_2"/>
      <w:bookmarkStart w:id="1180" w:name="Tc_WxEJe1ujDk2DSRguC5j3XA_3_0"/>
      <w:bookmarkStart w:id="1181" w:name="Tc_VU91ateJ10aH9Eyd8EoDQw_2_5"/>
      <w:bookmarkStart w:id="1182" w:name="Tc_i0zMqe4aJEqGiYD7Zbi5VA_2_2"/>
      <w:bookmarkStart w:id="1183" w:name="Tc_bCCz_ZjHtE2kRysZlJrVHw_2_0"/>
      <w:bookmarkStart w:id="1184" w:name="Tc_EWzMoFsHVkGpbLhMhyY87w_1_2"/>
      <w:bookmarkStart w:id="1185" w:name="_a626043b_af6a_4b5d_9ce3_a62aafcac447"/>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r>
        <w:rPr>
          <w:rFonts w:ascii="Times New Roman;Times;serif" w:hAnsi="Times New Roman;Times;serif"/>
          <w:b/>
          <w:sz w:val="20"/>
        </w:rPr>
        <w:t>NOTE 12.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months ended June 30, 2025 and 2024.</w:t>
      </w:r>
    </w:p>
    <w:p>
      <w:pPr>
        <w:pStyle w:val="TextBody"/>
        <w:bidi w:val="0"/>
        <w:spacing w:before="0" w:after="240"/>
        <w:ind w:left="0" w:right="0" w:hanging="0"/>
        <w:jc w:val="left"/>
        <w:rPr/>
      </w:pPr>
      <w:r>
        <w:rPr/>
        <w:t>​</w:t>
      </w:r>
    </w:p>
    <w:tbl>
      <w:tblPr>
        <w:tblW w:w="5710" w:type="dxa"/>
        <w:jc w:val="left"/>
        <w:tblInd w:w="0" w:type="dxa"/>
        <w:tblLayout w:type="fixed"/>
        <w:tblCellMar>
          <w:top w:w="0" w:type="dxa"/>
          <w:left w:w="0" w:type="dxa"/>
          <w:bottom w:w="0" w:type="dxa"/>
          <w:right w:w="0" w:type="dxa"/>
        </w:tblCellMar>
      </w:tblPr>
      <w:tblGrid>
        <w:gridCol w:w="3076"/>
        <w:gridCol w:w="326"/>
        <w:gridCol w:w="292"/>
        <w:gridCol w:w="605"/>
        <w:gridCol w:w="452"/>
        <w:gridCol w:w="292"/>
        <w:gridCol w:w="667"/>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53260" cy="175260"/>
                      <wp:effectExtent l="0" t="0" r="0" b="0"/>
                      <wp:wrapNone/>
                      <wp:docPr id="238" name="Frame238"/>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5420" cy="175260"/>
                      <wp:effectExtent l="0" t="0" r="0" b="0"/>
                      <wp:wrapNone/>
                      <wp:docPr id="240" name="Frame24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4175" cy="175260"/>
                      <wp:effectExtent l="0" t="0" r="0" b="0"/>
                      <wp:wrapNone/>
                      <wp:docPr id="241" name="Frame241"/>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87020" cy="175260"/>
                      <wp:effectExtent l="0" t="0" r="0" b="0"/>
                      <wp:wrapNone/>
                      <wp:docPr id="242" name="Frame242"/>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5420" cy="175260"/>
                      <wp:effectExtent l="0" t="0" r="0" b="0"/>
                      <wp:wrapNone/>
                      <wp:docPr id="243" name="Frame24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23545" cy="175260"/>
                      <wp:effectExtent l="0" t="0" r="0" b="0"/>
                      <wp:wrapNone/>
                      <wp:docPr id="244" name="Frame244"/>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2" w:type="dxa"/>
            <w:tcBorders/>
            <w:vAlign w:val="center"/>
          </w:tcPr>
          <w:p>
            <w:pPr>
              <w:pStyle w:val="TableContents"/>
              <w:bidi w:val="0"/>
              <w:spacing w:before="0" w:after="1"/>
              <w:ind w:left="0" w:right="0" w:hanging="0"/>
              <w:jc w:val="left"/>
              <w:rPr/>
            </w:pPr>
            <w:r>
              <w:rPr/>
              <w:t>    </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bidi w:val="0"/>
              <w:spacing w:before="0" w:after="1"/>
              <w:ind w:left="0" w:right="0" w:hanging="0"/>
              <w:jc w:val="left"/>
              <w:rPr/>
            </w:pPr>
            <w:r>
              <w:rPr/>
              <w:t> </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52" w:type="dxa"/>
            <w:tcBorders/>
            <w:shd w:fill="CCEEFF" w:val="clear"/>
            <w:vAlign w:val="center"/>
          </w:tcPr>
          <w:p>
            <w:pPr>
              <w:pStyle w:val="TableContents"/>
              <w:bidi w:val="0"/>
              <w:spacing w:before="0" w:after="1"/>
              <w:ind w:left="0" w:right="0" w:hanging="0"/>
              <w:jc w:val="left"/>
              <w:rPr/>
            </w:pPr>
            <w:r>
              <w:rPr/>
              <w:t> </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52"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6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52"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6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actuarial losses (gains)*</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52"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26" w:type="dxa"/>
            <w:tcBorders/>
            <w:shd w:fill="CCEEFF" w:val="clear"/>
            <w:vAlign w:val="center"/>
          </w:tcPr>
          <w:p>
            <w:pPr>
              <w:pStyle w:val="TableContents"/>
              <w:bidi w:val="0"/>
              <w:spacing w:before="0" w:after="1"/>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52" w:type="dxa"/>
            <w:tcBorders/>
            <w:shd w:fill="CCEEFF" w:val="clear"/>
            <w:vAlign w:val="center"/>
          </w:tcPr>
          <w:p>
            <w:pPr>
              <w:pStyle w:val="TableContents"/>
              <w:bidi w:val="0"/>
              <w:spacing w:before="0" w:after="1"/>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w:t>
            </w:r>
          </w:p>
        </w:tc>
      </w:tr>
    </w:tbl>
    <w:tbl>
      <w:tblPr>
        <w:tblW w:w="8417" w:type="dxa"/>
        <w:jc w:val="left"/>
        <w:tblInd w:w="0" w:type="dxa"/>
        <w:tblLayout w:type="fixed"/>
        <w:tblCellMar>
          <w:top w:w="0" w:type="dxa"/>
          <w:left w:w="0" w:type="dxa"/>
          <w:bottom w:w="0" w:type="dxa"/>
          <w:right w:w="0" w:type="dxa"/>
        </w:tblCellMar>
      </w:tblPr>
      <w:tblGrid>
        <w:gridCol w:w="211"/>
        <w:gridCol w:w="820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8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components of net periodic pension cost are included in other expense in the Consolidated Income Statement.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13. WORKFORCE REBALANCING AND SITE-RATIONALIZATION CHARGES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2025, the Company initiated actions to reduce our overall cost structure and increase our operating efficiency which we expect to continue through the end of the fiscal year 2026. We expect these actions will result in workforce rebalancing charges (the “Fiscal 2026 Program”) of approximately $80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186" w:name="Tc_NTvMpg0hREK3vh4vUcoxWw_6_11"/>
      <w:bookmarkStart w:id="1187" w:name="Tc_x-ozGe1wp0m_2s-6QgT3fQ_6_8"/>
      <w:bookmarkStart w:id="1188" w:name="Tc_V2QCULPcHUGk0B6swbLs8A_6_5"/>
      <w:bookmarkStart w:id="1189" w:name="Tc_5MqCAHqQX0eZz_FXRr0AvQ_6_2"/>
      <w:bookmarkStart w:id="1190" w:name="Tc_Q5DwD7nJkECVSD4YOaFbaA_6_0"/>
      <w:bookmarkStart w:id="1191" w:name="Tc_0z_Ls7Hz8kCOXhXc0NbrJQ_4_9"/>
      <w:bookmarkStart w:id="1192" w:name="Tc_c1E4t6FoykuH9yEKgM-ymg_4_3"/>
      <w:bookmarkStart w:id="1193" w:name="Tc_JKmWDkI0l0mAthHz3NXH7w_4_0"/>
      <w:bookmarkStart w:id="1194" w:name="Tc_gBXaIvewrUedISHDH5WeEA_3_11"/>
      <w:bookmarkStart w:id="1195" w:name="Tc_N1cbG_c0YU-cdQfvxW4GSg_3_9"/>
      <w:bookmarkStart w:id="1196" w:name="Tc_4eYoV_SM_UqS_zOheGixUg_3_8"/>
      <w:bookmarkStart w:id="1197" w:name="Tc_wWF_GUSPN0qXGEdCObOzfA_3_5"/>
      <w:bookmarkStart w:id="1198" w:name="Tc_6E1wKg9VyUaPZ9HBJ5ThZA_3_3"/>
      <w:bookmarkStart w:id="1199" w:name="Tc_6msxCpObLEiPJ5xJL7b8vQ_3_2"/>
      <w:bookmarkStart w:id="1200" w:name="Tc_Tw2vaW50NkSuC6a1N_Oevg_3_0"/>
      <w:bookmarkStart w:id="1201" w:name="Tc_Q-55WEKoMUevbwy4z42zSQ_2_11"/>
      <w:bookmarkStart w:id="1202" w:name="Tc_twL1U1EcXUmuJ_EoeVlzYw_2_8"/>
      <w:bookmarkStart w:id="1203" w:name="Tc_gnNApZdXV0a2yIumnJkpoA_2_5"/>
      <w:bookmarkStart w:id="1204" w:name="Tc_dsMN79EEL0WdAMeY5N8OVw_2_2"/>
      <w:bookmarkStart w:id="1205" w:name="Tc_HCGOhCtGLUOBBor1AzhlMw_2_0"/>
      <w:bookmarkStart w:id="1206" w:name="Tc_TvKV30mey0yHB_qwHrEs7A_1_8"/>
      <w:bookmarkStart w:id="1207" w:name="Tc_Tx0jQpo0VU2kyGfU42bodQ_1_2"/>
      <w:bookmarkStart w:id="1208" w:name="Tc_gZpEu2Nd40muWy_qKssmPg_8_11"/>
      <w:bookmarkStart w:id="1209" w:name="Tc_gskIfKP-ek-hVmmtAwexVA_8_8"/>
      <w:bookmarkStart w:id="1210" w:name="Tc_wy34YTPrWUCigPgZkVvQpg_8_5"/>
      <w:bookmarkStart w:id="1211" w:name="Tc_oQbrq2HswUyv7bt9EC75_Q_8_2"/>
      <w:bookmarkStart w:id="1212" w:name="Tc_sqKJObFAQEWO4R4FZbPojQ_8_0"/>
      <w:bookmarkStart w:id="1213" w:name="Tc_PpBSYFlNIkqgfjrRMHZ87w_7_12"/>
      <w:bookmarkStart w:id="1214" w:name="Tc_rK9-oxhWIEu-mOpjHytSug_7_9"/>
      <w:bookmarkStart w:id="1215" w:name="Tc_AuNjIJt130-vXWnoPCRTBA_7_6"/>
      <w:bookmarkStart w:id="1216" w:name="Tc_lAIS-2Xmu0CrgvOKUAYi8Q_7_3"/>
      <w:bookmarkStart w:id="1217" w:name="Tc_0imoGG8y2UGbNgHvnODXAQ_7_0"/>
      <w:bookmarkStart w:id="1218" w:name="Tc_fO11RssOLUGuEX4Yy0HBhw_6_0"/>
      <w:bookmarkStart w:id="1219" w:name="Tc_ibG_9mdGoUCdd_vNsiLXQw_5_0"/>
      <w:bookmarkStart w:id="1220" w:name="Tc_b29k4ecTaUCG2Ym3iFhR3w_4_0"/>
      <w:bookmarkStart w:id="1221" w:name="Tc_exBfESvY2U-mAkPhKvf1Tg_3_11"/>
      <w:bookmarkStart w:id="1222" w:name="Tc_ccnQ26AnJUuhMQS8Or9OOw_3_8"/>
      <w:bookmarkStart w:id="1223" w:name="Tc_JU65Lv1ZHka2IjDHDKxCMg_3_5"/>
      <w:bookmarkStart w:id="1224" w:name="Tc_0-ibqV8Kc0u2xX5_MWlnPA_3_2"/>
      <w:bookmarkStart w:id="1225" w:name="Tc_P25zbG7tKEGSbmipFckzLQ_3_0"/>
      <w:bookmarkStart w:id="1226" w:name="Tc_1JAzXvbez0ORWhZBiJ1-Ow_2_11"/>
      <w:bookmarkStart w:id="1227" w:name="Tc_MZc4S9fiaUuTT_MDqATq5g_2_8"/>
      <w:bookmarkStart w:id="1228" w:name="Tc_31C-4630TEGAzKq_7G_7rw_2_5"/>
      <w:bookmarkStart w:id="1229" w:name="Tc_LXL5jyHshkua66VStIdHVg_2_2"/>
      <w:bookmarkStart w:id="1230" w:name="Tc_LeHIHyfRSECiT3u_hkd1rQ_2_0"/>
      <w:bookmarkStart w:id="1231" w:name="Tc_d1RXuLF1lUu3I9Uqndsmww_1_8"/>
      <w:bookmarkStart w:id="1232" w:name="Tc_UcqLCOLSC0q5MPOU_BeDfA_1_2"/>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ascii="Times New Roman;Times;serif" w:hAnsi="Times New Roman;Times;serif"/>
          <w:sz w:val="20"/>
        </w:rPr>
        <w:t>During the year ended March 31, 2025, the Company implemented actions to reduce our overall cost structure and increase our operating efficiency (the “Fiscal 2025 Program”). The total charges incurred related to the Fiscal 2025 Program were $162 million, consisting of $114 million in workforce rebalancing charges and $48 million in charges related to ceasing to use leased and owned fixed assets. The Company expects that these actions will reduce future payroll costs, rent expenses and depreciation of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segment breakout of charges incurred during the three months ended June 30, 2025 and 2024.</w:t>
      </w:r>
    </w:p>
    <w:p>
      <w:pPr>
        <w:pStyle w:val="TextBody"/>
        <w:bidi w:val="0"/>
        <w:spacing w:before="0" w:after="0"/>
        <w:ind w:left="0" w:right="0" w:hanging="0"/>
        <w:jc w:val="left"/>
        <w:rPr/>
      </w:pPr>
      <w:r>
        <w:rPr/>
        <w:t>​</w:t>
      </w:r>
    </w:p>
    <w:tbl>
      <w:tblPr>
        <w:tblW w:w="8331" w:type="dxa"/>
        <w:jc w:val="left"/>
        <w:tblInd w:w="0" w:type="dxa"/>
        <w:tblLayout w:type="fixed"/>
        <w:tblCellMar>
          <w:top w:w="0" w:type="dxa"/>
          <w:left w:w="0" w:type="dxa"/>
          <w:bottom w:w="0" w:type="dxa"/>
          <w:right w:w="0" w:type="dxa"/>
        </w:tblCellMar>
      </w:tblPr>
      <w:tblGrid>
        <w:gridCol w:w="1741"/>
        <w:gridCol w:w="326"/>
        <w:gridCol w:w="332"/>
        <w:gridCol w:w="544"/>
        <w:gridCol w:w="512"/>
        <w:gridCol w:w="332"/>
        <w:gridCol w:w="544"/>
        <w:gridCol w:w="326"/>
        <w:gridCol w:w="619"/>
        <w:gridCol w:w="1016"/>
        <w:gridCol w:w="359"/>
        <w:gridCol w:w="472"/>
        <w:gridCol w:w="1208"/>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05535" cy="175260"/>
                      <wp:effectExtent l="0" t="0" r="0" b="0"/>
                      <wp:wrapNone/>
                      <wp:docPr id="245" name="Frame24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0820" cy="175260"/>
                      <wp:effectExtent l="0" t="0" r="0" b="0"/>
                      <wp:wrapNone/>
                      <wp:docPr id="247" name="Frame24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45440" cy="175260"/>
                      <wp:effectExtent l="0" t="0" r="0" b="0"/>
                      <wp:wrapNone/>
                      <wp:docPr id="248" name="Frame248"/>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25120" cy="175260"/>
                      <wp:effectExtent l="0" t="0" r="0" b="0"/>
                      <wp:wrapNone/>
                      <wp:docPr id="249" name="Frame249"/>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0820" cy="175260"/>
                      <wp:effectExtent l="0" t="0" r="0" b="0"/>
                      <wp:wrapNone/>
                      <wp:docPr id="250" name="Frame25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45440" cy="175260"/>
                      <wp:effectExtent l="0" t="0" r="0" b="0"/>
                      <wp:wrapNone/>
                      <wp:docPr id="251" name="Frame251"/>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93065" cy="175260"/>
                      <wp:effectExtent l="0" t="0" r="0" b="0"/>
                      <wp:wrapNone/>
                      <wp:docPr id="253" name="Frame253"/>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5160" cy="175260"/>
                      <wp:effectExtent l="0" t="0" r="0" b="0"/>
                      <wp:wrapNone/>
                      <wp:docPr id="254" name="Frame25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7965" cy="175260"/>
                      <wp:effectExtent l="0" t="0" r="0" b="0"/>
                      <wp:wrapNone/>
                      <wp:docPr id="255" name="Frame255"/>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99720" cy="175260"/>
                      <wp:effectExtent l="0" t="0" r="0" b="0"/>
                      <wp:wrapNone/>
                      <wp:docPr id="256" name="Frame256"/>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67080" cy="175260"/>
                      <wp:effectExtent l="0" t="0" r="0" b="0"/>
                      <wp:wrapNone/>
                      <wp:docPr id="257" name="Frame257"/>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3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12" w:type="dxa"/>
            <w:tcBorders/>
            <w:vAlign w:val="center"/>
          </w:tcPr>
          <w:p>
            <w:pPr>
              <w:pStyle w:val="TableContents"/>
              <w:bidi w:val="0"/>
              <w:spacing w:before="0" w:after="0"/>
              <w:ind w:left="0" w:right="0" w:hanging="0"/>
              <w:jc w:val="left"/>
              <w:rPr/>
            </w:pPr>
            <w:r>
              <w:rPr/>
              <w:t>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 Program</w:t>
            </w:r>
          </w:p>
        </w:tc>
        <w:tc>
          <w:tcPr>
            <w:tcW w:w="359" w:type="dxa"/>
            <w:tcBorders/>
            <w:vAlign w:val="center"/>
          </w:tcPr>
          <w:p>
            <w:pPr>
              <w:pStyle w:val="TableContents"/>
              <w:bidi w:val="0"/>
              <w:spacing w:before="0" w:after="0"/>
              <w:ind w:left="0" w:right="0" w:hanging="0"/>
              <w:jc w:val="left"/>
              <w:rPr/>
            </w:pPr>
            <w:r>
              <w:rPr/>
              <w:t>    </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 Program</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12"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9" w:type="dxa"/>
            <w:tcBorders/>
            <w:shd w:fill="CCEEFF" w:val="clear"/>
            <w:vAlign w:val="center"/>
          </w:tcPr>
          <w:p>
            <w:pPr>
              <w:pStyle w:val="TableContents"/>
              <w:bidi w:val="0"/>
              <w:spacing w:before="0" w:after="0"/>
              <w:ind w:left="0" w:right="0" w:hanging="0"/>
              <w:jc w:val="left"/>
              <w:rPr/>
            </w:pPr>
            <w:r>
              <w:rPr/>
              <w:t>​</w:t>
            </w:r>
          </w:p>
        </w:tc>
        <w:tc>
          <w:tcPr>
            <w:tcW w:w="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12"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9"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12"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9" w:type="dxa"/>
            <w:tcBorders/>
            <w:shd w:fill="CCEEFF" w:val="clear"/>
            <w:vAlign w:val="center"/>
          </w:tcPr>
          <w:p>
            <w:pPr>
              <w:pStyle w:val="TableContents"/>
              <w:bidi w:val="0"/>
              <w:spacing w:before="0" w:after="0"/>
              <w:ind w:left="0" w:right="0" w:hanging="0"/>
              <w:jc w:val="lef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12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512"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9"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4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12" w:type="dxa"/>
            <w:tcBorders/>
            <w:vAlign w:val="center"/>
          </w:tcPr>
          <w:p>
            <w:pPr>
              <w:pStyle w:val="TableContents"/>
              <w:bidi w:val="0"/>
              <w:spacing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6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9" w:type="dxa"/>
            <w:tcBorders/>
            <w:vAlign w:val="center"/>
          </w:tcPr>
          <w:p>
            <w:pPr>
              <w:pStyle w:val="TableContents"/>
              <w:bidi w:val="0"/>
              <w:spacing w:before="0" w:after="0"/>
              <w:ind w:left="0" w:right="0" w:hanging="0"/>
              <w:jc w:val="left"/>
              <w:rPr/>
            </w:pPr>
            <w:r>
              <w:rPr/>
              <w:t>​</w:t>
            </w:r>
          </w:p>
        </w:tc>
        <w:tc>
          <w:tcPr>
            <w:tcW w:w="4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the classification of workforce rebalancing and site-rationalization activities in the Consolidated Income Statement during the three months ended June 30, 2025 and 2024.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7"/>
        <w:gridCol w:w="326"/>
        <w:gridCol w:w="335"/>
        <w:gridCol w:w="550"/>
        <w:gridCol w:w="518"/>
        <w:gridCol w:w="335"/>
        <w:gridCol w:w="502"/>
        <w:gridCol w:w="326"/>
        <w:gridCol w:w="611"/>
        <w:gridCol w:w="1003"/>
        <w:gridCol w:w="358"/>
        <w:gridCol w:w="466"/>
        <w:gridCol w:w="1198"/>
      </w:tblGrid>
      <w:tr>
        <w:trPr/>
        <w:tc>
          <w:tcPr>
            <w:tcW w:w="3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34895" cy="175260"/>
                      <wp:effectExtent l="0" t="0" r="0" b="0"/>
                      <wp:wrapNone/>
                      <wp:docPr id="258" name="Frame258"/>
                      <a:graphic xmlns:a="http://schemas.openxmlformats.org/drawingml/2006/main">
                        <a:graphicData uri="http://schemas.microsoft.com/office/word/2010/wordprocessingShape">
                          <wps:wsp>
                            <wps:cNvSpPr txBox="1"/>
                            <wps:spPr>
                              <a:xfrm>
                                <a:off x="0" y="0"/>
                                <a:ext cx="2334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2725" cy="175260"/>
                      <wp:effectExtent l="0" t="0" r="0" b="0"/>
                      <wp:wrapNone/>
                      <wp:docPr id="260" name="Frame26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49250" cy="175260"/>
                      <wp:effectExtent l="0" t="0" r="0" b="0"/>
                      <wp:wrapNone/>
                      <wp:docPr id="261" name="Frame261"/>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28930" cy="175260"/>
                      <wp:effectExtent l="0" t="0" r="0" b="0"/>
                      <wp:wrapNone/>
                      <wp:docPr id="262" name="Frame262"/>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2725" cy="175260"/>
                      <wp:effectExtent l="0" t="0" r="0" b="0"/>
                      <wp:wrapNone/>
                      <wp:docPr id="263" name="Frame26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18770" cy="175260"/>
                      <wp:effectExtent l="0" t="0" r="0" b="0"/>
                      <wp:wrapNone/>
                      <wp:docPr id="264" name="Frame264"/>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87985" cy="175260"/>
                      <wp:effectExtent l="0" t="0" r="0" b="0"/>
                      <wp:wrapNone/>
                      <wp:docPr id="266" name="Frame266"/>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36905" cy="175260"/>
                      <wp:effectExtent l="0" t="0" r="0" b="0"/>
                      <wp:wrapNone/>
                      <wp:docPr id="267" name="Frame267"/>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27330" cy="175260"/>
                      <wp:effectExtent l="0" t="0" r="0" b="0"/>
                      <wp:wrapNone/>
                      <wp:docPr id="268" name="Frame268"/>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95910" cy="175260"/>
                      <wp:effectExtent l="0" t="0" r="0" b="0"/>
                      <wp:wrapNone/>
                      <wp:docPr id="269" name="Frame2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60730" cy="175260"/>
                      <wp:effectExtent l="0" t="0" r="0" b="0"/>
                      <wp:wrapNone/>
                      <wp:docPr id="270" name="Frame270"/>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3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36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18" w:type="dxa"/>
            <w:tcBorders/>
            <w:vAlign w:val="center"/>
          </w:tcPr>
          <w:p>
            <w:pPr>
              <w:pStyle w:val="TableContents"/>
              <w:bidi w:val="0"/>
              <w:spacing w:before="0" w:after="0"/>
              <w:ind w:left="0" w:right="0" w:hanging="0"/>
              <w:jc w:val="left"/>
              <w:rPr/>
            </w:pPr>
            <w:r>
              <w:rPr/>
              <w:t>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 Program</w:t>
            </w:r>
          </w:p>
        </w:tc>
        <w:tc>
          <w:tcPr>
            <w:tcW w:w="358" w:type="dxa"/>
            <w:tcBorders/>
            <w:vAlign w:val="center"/>
          </w:tcPr>
          <w:p>
            <w:pPr>
              <w:pStyle w:val="TableContents"/>
              <w:bidi w:val="0"/>
              <w:spacing w:before="0" w:after="0"/>
              <w:ind w:left="0" w:right="0" w:hanging="0"/>
              <w:jc w:val="left"/>
              <w:rPr/>
            </w:pPr>
            <w:r>
              <w:rPr/>
              <w:t>    </w:t>
            </w:r>
          </w:p>
        </w:tc>
        <w:tc>
          <w:tcPr>
            <w:tcW w:w="1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 Program</w:t>
            </w:r>
          </w:p>
        </w:tc>
      </w:tr>
      <w:tr>
        <w:trPr/>
        <w:tc>
          <w:tcPr>
            <w:tcW w:w="3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1003"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7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18"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8"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18"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8" w:type="dxa"/>
            <w:tcBorders/>
            <w:vAlign w:val="center"/>
          </w:tcPr>
          <w:p>
            <w:pPr>
              <w:pStyle w:val="TableContents"/>
              <w:bidi w:val="0"/>
              <w:spacing w:before="0" w:after="0"/>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233" w:name="Tc_OZbfOwFI5ECeraU2v53wlg_16_2"/>
      <w:bookmarkStart w:id="1234" w:name="Tc_IV9BseyNBUKbc9ZX_Hzryg_16_0"/>
      <w:bookmarkStart w:id="1235" w:name="Tc_GKwnZZuENkmKqg2iuWroiA_15_3"/>
      <w:bookmarkStart w:id="1236" w:name="Tc_CBTKmSkU_U-dzQMjTr_snQ_15_0"/>
      <w:bookmarkStart w:id="1237" w:name="Tc_OGTU4yZ080Oe2Mf0Wb3oWw_14_0"/>
      <w:bookmarkStart w:id="1238" w:name="Tc_a1zgfVQc4UqH3wZElNDqeg_13_0"/>
      <w:bookmarkStart w:id="1239" w:name="Tc_9bP2mjpmYkmeTqwglUPbmg_12_3"/>
      <w:bookmarkStart w:id="1240" w:name="Tc_0Fofs-qqpkCneSWqN9c0MA_12_2"/>
      <w:bookmarkStart w:id="1241" w:name="Tc_j034v3PDGESNDLw2CNbJzw_12_0"/>
      <w:bookmarkStart w:id="1242" w:name="Tc_jBtXOWxZMkuOkB2_-2PklA_11_0"/>
      <w:bookmarkStart w:id="1243" w:name="Tc_73x-ySSyCUex5MZcbu3rIQ_9_2"/>
      <w:bookmarkStart w:id="1244" w:name="Tc_JF1CTWvBMketCh7sONwzxA_9_0"/>
      <w:bookmarkStart w:id="1245" w:name="Tc_x7475I2cWEqgXhkiIEnU_A_8_0"/>
      <w:bookmarkStart w:id="1246" w:name="Tc_gZSLb1sbkkGspJ-hLDWfpw_7_0"/>
      <w:bookmarkStart w:id="1247" w:name="Tc_gHPF43QANEO-nVXeI1rAog_6_3"/>
      <w:bookmarkStart w:id="1248" w:name="Tc_o7515EF2Nkq4pqJq8LDX0w_6_0"/>
      <w:bookmarkStart w:id="1249" w:name="Tc_qFlGdOZek0GDu735eba0Ig_5_2"/>
      <w:bookmarkStart w:id="1250" w:name="Tc_kUHgMq4D_EynDIbOoTPkGw_5_0"/>
      <w:bookmarkStart w:id="1251" w:name="Tc_Ss0QWTRDv0yjf0QQyuek-Q_4_0"/>
      <w:bookmarkStart w:id="1252" w:name="Tc_5iT5zZ5JRU-b3Q_Hs46TEA_3_2"/>
      <w:bookmarkStart w:id="1253" w:name="Tc_avif984-SEyD4BenpOphiQ_3_0"/>
      <w:bookmarkStart w:id="1254" w:name="Tc_PZqmFij59UiYlFxPEvj8Jg_2_2"/>
      <w:bookmarkStart w:id="1255" w:name="Tc_ws3nL3dLQEOyCSIxfVcFCQ_1_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r>
        <w:rPr>
          <w:rFonts w:ascii="Times New Roman;Times;serif" w:hAnsi="Times New Roman;Times;serif"/>
          <w:sz w:val="20"/>
        </w:rPr>
        <w:t>The following table presents the components of and changes in our workforce rebalancing liabilities during the three months ended June 30, 2025.</w:t>
      </w:r>
    </w:p>
    <w:p>
      <w:pPr>
        <w:pStyle w:val="TextBody"/>
        <w:bidi w:val="0"/>
        <w:spacing w:before="0" w:after="0"/>
        <w:ind w:left="0" w:right="0" w:hanging="0"/>
        <w:jc w:val="left"/>
        <w:rPr/>
      </w:pPr>
      <w:r>
        <w:rPr/>
        <w:t>​</w:t>
      </w:r>
    </w:p>
    <w:tbl>
      <w:tblPr>
        <w:tblW w:w="3688" w:type="dxa"/>
        <w:jc w:val="left"/>
        <w:tblInd w:w="0" w:type="dxa"/>
        <w:tblLayout w:type="fixed"/>
        <w:tblCellMar>
          <w:top w:w="0" w:type="dxa"/>
          <w:left w:w="0" w:type="dxa"/>
          <w:bottom w:w="0" w:type="dxa"/>
          <w:right w:w="0" w:type="dxa"/>
        </w:tblCellMar>
      </w:tblPr>
      <w:tblGrid>
        <w:gridCol w:w="2311"/>
        <w:gridCol w:w="326"/>
        <w:gridCol w:w="343"/>
        <w:gridCol w:w="70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67485" cy="175260"/>
                      <wp:effectExtent l="0" t="0" r="0" b="0"/>
                      <wp:wrapNone/>
                      <wp:docPr id="271" name="Frame27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7805" cy="175260"/>
                      <wp:effectExtent l="0" t="0" r="0" b="0"/>
                      <wp:wrapNone/>
                      <wp:docPr id="273" name="Frame27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49580" cy="175260"/>
                      <wp:effectExtent l="0" t="0" r="0" b="0"/>
                      <wp:wrapNone/>
                      <wp:docPr id="274" name="Frame274"/>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Rebalancing</w: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2025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708" w:type="dxa"/>
            <w:tcBorders/>
            <w:shd w:fill="CCEEFF" w:val="clear"/>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2026 Program</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w:t>
            </w:r>
          </w:p>
        </w:tc>
        <w:tc>
          <w:tcPr>
            <w:tcW w:w="32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Fiscal 2025 Program balance excludes workforce rebalancing liabilities inherited from our former Parent of $16</w:t>
            </w:r>
            <w:r>
              <w:rPr>
                <w:caps w:val="false"/>
                <w:smallCaps w:val="false"/>
              </w:rPr>
              <w:t xml:space="preserve"> </w:t>
            </w:r>
            <w:r>
              <w:rPr>
                <w:rFonts w:ascii="Times New Roman;Times;serif" w:hAnsi="Times New Roman;Times;serif"/>
                <w:b w:val="false"/>
                <w:i w:val="false"/>
                <w:caps w:val="false"/>
                <w:smallCaps w:val="false"/>
                <w:sz w:val="16"/>
              </w:rPr>
              <w:t>million as of March 31, 2025. Current-year movement excludes cash payments of $2</w:t>
            </w:r>
            <w:r>
              <w:rPr>
                <w:caps w:val="false"/>
                <w:smallCaps w:val="false"/>
              </w:rPr>
              <w:t xml:space="preserve"> </w:t>
            </w:r>
            <w:r>
              <w:rPr>
                <w:rFonts w:ascii="Times New Roman;Times;serif" w:hAnsi="Times New Roman;Times;serif"/>
                <w:b w:val="false"/>
                <w:i w:val="false"/>
                <w:caps w:val="false"/>
                <w:smallCaps w:val="false"/>
                <w:sz w:val="16"/>
              </w:rPr>
              <w:t>million, non-cash adjustment of $1</w:t>
            </w:r>
            <w:r>
              <w:rPr>
                <w:caps w:val="false"/>
                <w:smallCaps w:val="false"/>
              </w:rPr>
              <w:t xml:space="preserve"> </w:t>
            </w:r>
            <w:r>
              <w:rPr>
                <w:rFonts w:ascii="Times New Roman;Times;serif" w:hAnsi="Times New Roman;Times;serif"/>
                <w:b w:val="false"/>
                <w:i w:val="false"/>
                <w:caps w:val="false"/>
                <w:smallCaps w:val="false"/>
                <w:sz w:val="16"/>
              </w:rPr>
              <w:t>million and ending balance of $15</w:t>
            </w:r>
            <w:r>
              <w:rPr>
                <w:caps w:val="false"/>
                <w:smallCaps w:val="false"/>
              </w:rPr>
              <w:t xml:space="preserve"> </w:t>
            </w:r>
            <w:r>
              <w:rPr>
                <w:rFonts w:ascii="Times New Roman;Times;serif" w:hAnsi="Times New Roman;Times;serif"/>
                <w:b w:val="false"/>
                <w:i w:val="false"/>
                <w:caps w:val="false"/>
                <w:smallCaps w:val="false"/>
                <w:sz w:val="16"/>
              </w:rPr>
              <w:t>million related to actions initiated by our former Parent. Workforce rebalancing liabilities are recorded within other liabilities in the Consolidated Balance Sheet.</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Symbol" w:hAnsi="Symbol"/>
                <w:sz w:val="2"/>
              </w:rPr>
            </w:pPr>
            <w:r>
              <w:rPr>
                <w:rFonts w:ascii="Symbol" w:hAnsi="Symbol"/>
                <w:sz w:val="2"/>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6" w:name="MANAGEMENTSDISCUSSIONANDANALYSISOFRESULT"/>
      <w:bookmarkStart w:id="1257" w:name="Item2_803900"/>
      <w:bookmarkStart w:id="1258" w:name="_6351b47c_de2c_45c6_994d_f786048f9e2d"/>
      <w:bookmarkEnd w:id="1256"/>
      <w:bookmarkEnd w:id="1257"/>
      <w:bookmarkEnd w:id="1258"/>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tbl>
      <w:tblPr>
        <w:tblW w:w="5777" w:type="dxa"/>
        <w:jc w:val="left"/>
        <w:tblInd w:w="0" w:type="dxa"/>
        <w:tblLayout w:type="fixed"/>
        <w:tblCellMar>
          <w:top w:w="0" w:type="dxa"/>
          <w:left w:w="0" w:type="dxa"/>
          <w:bottom w:w="0" w:type="dxa"/>
          <w:right w:w="0" w:type="dxa"/>
        </w:tblCellMar>
      </w:tblPr>
      <w:tblGrid>
        <w:gridCol w:w="3316"/>
        <w:gridCol w:w="109"/>
        <w:gridCol w:w="219"/>
        <w:gridCol w:w="595"/>
        <w:gridCol w:w="282"/>
        <w:gridCol w:w="113"/>
        <w:gridCol w:w="219"/>
        <w:gridCol w:w="595"/>
        <w:gridCol w:w="329"/>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05660" cy="175260"/>
                      <wp:effectExtent l="0" t="0" r="0" b="0"/>
                      <wp:wrapNone/>
                      <wp:docPr id="275" name="Frame27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9065" cy="175260"/>
                      <wp:effectExtent l="0" t="0" r="0" b="0"/>
                      <wp:wrapNone/>
                      <wp:docPr id="277" name="Frame27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77825" cy="175260"/>
                      <wp:effectExtent l="0" t="0" r="0" b="0"/>
                      <wp:wrapNone/>
                      <wp:docPr id="278" name="Frame278"/>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79070" cy="175260"/>
                      <wp:effectExtent l="0" t="0" r="0" b="0"/>
                      <wp:wrapNone/>
                      <wp:docPr id="279" name="Frame27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1755" cy="175260"/>
                      <wp:effectExtent l="0" t="0" r="0" b="0"/>
                      <wp:wrapNone/>
                      <wp:docPr id="280" name="Frame280"/>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9065" cy="175260"/>
                      <wp:effectExtent l="0" t="0" r="0" b="0"/>
                      <wp:wrapNone/>
                      <wp:docPr id="281" name="Frame28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77825" cy="175260"/>
                      <wp:effectExtent l="0" t="0" r="0" b="0"/>
                      <wp:wrapNone/>
                      <wp:docPr id="282" name="Frame282"/>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8915" cy="175260"/>
                      <wp:effectExtent l="0" t="0" r="0" b="0"/>
                      <wp:wrapNone/>
                      <wp:docPr id="283" name="Frame28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3" w:type="dxa"/>
            <w:tcBorders/>
            <w:vAlign w:val="center"/>
          </w:tcPr>
          <w:p>
            <w:pPr>
              <w:pStyle w:val="TableContents"/>
              <w:bidi w:val="0"/>
              <w:spacing w:before="0" w:after="0"/>
              <w:ind w:left="0" w:right="0" w:hanging="0"/>
              <w:jc w:val="left"/>
              <w:rPr/>
            </w:pPr>
            <w:r>
              <w:rPr/>
              <w:t>​</w:t>
            </w:r>
          </w:p>
        </w:tc>
        <w:tc>
          <w:tcPr>
            <w:tcW w:w="1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282"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329"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82" w:type="dxa"/>
            <w:tcBorders/>
            <w:vAlign w:val="center"/>
          </w:tcPr>
          <w:p>
            <w:pPr>
              <w:pStyle w:val="TableContents"/>
              <w:bidi w:val="0"/>
              <w:spacing w:before="0" w:after="0"/>
              <w:ind w:left="0" w:right="0" w:hanging="0"/>
              <w:jc w:val="right"/>
              <w:rPr/>
            </w:pPr>
            <w:r>
              <w:rPr/>
              <w:t>​</w:t>
            </w:r>
          </w:p>
        </w:tc>
        <w:tc>
          <w:tcPr>
            <w:tcW w:w="113"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9"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282"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9" w:type="dxa"/>
            <w:tcBorders/>
            <w:shd w:fill="CCEEFF" w:val="clear"/>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left"/>
        <w:rPr>
          <w:rFonts w:ascii="Times New Roman;Times;serif" w:hAnsi="Times New Roman;Times;serif"/>
          <w:sz w:val="16"/>
        </w:rPr>
      </w:pPr>
      <w:r>
        <w:rPr>
          <w:rFonts w:ascii="Times New Roman;Times;serif" w:hAnsi="Times New Roman;Times;serif"/>
          <w:sz w:val="16"/>
        </w:rPr>
        <w:t>(1)    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p>
      <w:pPr>
        <w:pStyle w:val="TextBody"/>
        <w:bidi w:val="0"/>
        <w:spacing w:before="0" w:after="0"/>
        <w:ind w:left="0" w:right="0" w:hanging="0"/>
        <w:jc w:val="left"/>
        <w:rPr/>
      </w:pPr>
      <w:r>
        <w:rPr/>
        <w:t>​</w:t>
      </w:r>
    </w:p>
    <w:tbl>
      <w:tblPr>
        <w:tblW w:w="4017" w:type="dxa"/>
        <w:jc w:val="left"/>
        <w:tblInd w:w="0" w:type="dxa"/>
        <w:tblLayout w:type="fixed"/>
        <w:tblCellMar>
          <w:top w:w="0" w:type="dxa"/>
          <w:left w:w="0" w:type="dxa"/>
          <w:bottom w:w="0" w:type="dxa"/>
          <w:right w:w="0" w:type="dxa"/>
        </w:tblCellMar>
      </w:tblPr>
      <w:tblGrid>
        <w:gridCol w:w="1546"/>
        <w:gridCol w:w="326"/>
        <w:gridCol w:w="211"/>
        <w:gridCol w:w="676"/>
        <w:gridCol w:w="326"/>
        <w:gridCol w:w="211"/>
        <w:gridCol w:w="721"/>
      </w:tblGrid>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10,452</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9,121</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Organization of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Performance Summary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Macro Dynamics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economists, including the International Monetary Fund, expect positive global macroeconomic growth in calendar year 2025. Global markets have experienced increased volatility in recent months, driven by geopolitical developments, concerns over the imposition of import tariffs by the United States, reactions from other nations and proposed U.S. government spending reductions. Increased economic uncertainty may impact the level of global macroeconomic activity.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2025, we reported $3.7 billion in revenue, a slight increase compared to the prior-year period. The revenue performance included a favorable currency exchange rate impact of three points. United States revenue declined 8 percent, Japan revenue increased 2 percent, Principal Markets revenue increased 3 percent and Strategic Markets revenue increased 3 percent, in each case compared to the three months ended June 30, 2024. Net income of $56 million increased by $45 million versus the prior-year period reflecting a $17 million decline in the provision for income taxes, an $11 million decline in workforce rebalancing charges and no current-period transaction-related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months ended June 30, 2025 and 2024. Segment revenue and revenue growth in constant currency exclude any transactions between the segments.</w:t>
      </w:r>
    </w:p>
    <w:p>
      <w:pPr>
        <w:pStyle w:val="TextBody"/>
        <w:bidi w:val="0"/>
        <w:spacing w:before="0" w:after="240"/>
        <w:ind w:left="0" w:right="0" w:firstLine="720"/>
        <w:jc w:val="left"/>
        <w:rPr/>
      </w:pPr>
      <w:r>
        <w:rPr/>
        <w:t>​</w:t>
      </w:r>
    </w:p>
    <w:tbl>
      <w:tblPr>
        <w:tblW w:w="8039" w:type="dxa"/>
        <w:jc w:val="left"/>
        <w:tblInd w:w="0" w:type="dxa"/>
        <w:tblLayout w:type="fixed"/>
        <w:tblCellMar>
          <w:top w:w="0" w:type="dxa"/>
          <w:left w:w="0" w:type="dxa"/>
          <w:bottom w:w="0" w:type="dxa"/>
          <w:right w:w="0" w:type="dxa"/>
        </w:tblCellMar>
      </w:tblPr>
      <w:tblGrid>
        <w:gridCol w:w="3421"/>
        <w:gridCol w:w="326"/>
        <w:gridCol w:w="215"/>
        <w:gridCol w:w="584"/>
        <w:gridCol w:w="277"/>
        <w:gridCol w:w="111"/>
        <w:gridCol w:w="215"/>
        <w:gridCol w:w="584"/>
        <w:gridCol w:w="277"/>
        <w:gridCol w:w="109"/>
        <w:gridCol w:w="1096"/>
        <w:gridCol w:w="82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72335" cy="175260"/>
                      <wp:effectExtent l="0" t="0" r="0" b="0"/>
                      <wp:wrapNone/>
                      <wp:docPr id="284" name="Frame28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6525" cy="175260"/>
                      <wp:effectExtent l="0" t="0" r="0" b="0"/>
                      <wp:wrapNone/>
                      <wp:docPr id="285" name="Frame28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70840" cy="175260"/>
                      <wp:effectExtent l="0" t="0" r="0" b="0"/>
                      <wp:wrapNone/>
                      <wp:docPr id="286" name="Frame286"/>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5895" cy="175260"/>
                      <wp:effectExtent l="0" t="0" r="0" b="0"/>
                      <wp:wrapNone/>
                      <wp:docPr id="287" name="Frame28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0485" cy="175260"/>
                      <wp:effectExtent l="0" t="0" r="0" b="0"/>
                      <wp:wrapNone/>
                      <wp:docPr id="288" name="Frame28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6525" cy="175260"/>
                      <wp:effectExtent l="0" t="0" r="0" b="0"/>
                      <wp:wrapNone/>
                      <wp:docPr id="289" name="Frame28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0840" cy="175260"/>
                      <wp:effectExtent l="0" t="0" r="0" b="0"/>
                      <wp:wrapNone/>
                      <wp:docPr id="290" name="Frame29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75895" cy="175260"/>
                      <wp:effectExtent l="0" t="0" r="0" b="0"/>
                      <wp:wrapNone/>
                      <wp:docPr id="291" name="Frame29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5960" cy="175260"/>
                      <wp:effectExtent l="0" t="0" r="0" b="0"/>
                      <wp:wrapNone/>
                      <wp:docPr id="293" name="Frame29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3240" cy="175260"/>
                      <wp:effectExtent l="0" t="0" r="0" b="0"/>
                      <wp:wrapNone/>
                      <wp:docPr id="294" name="Frame29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1" w:type="dxa"/>
            <w:tcBorders/>
            <w:vAlign w:val="center"/>
          </w:tcPr>
          <w:p>
            <w:pPr>
              <w:pStyle w:val="TableContents"/>
              <w:bidi w:val="0"/>
              <w:spacing w:before="0" w:after="0"/>
              <w:ind w:left="0" w:right="0" w:hanging="0"/>
              <w:jc w:val="center"/>
              <w:rPr/>
            </w:pPr>
            <w:r>
              <w:rPr/>
              <w:t>​</w:t>
            </w:r>
          </w:p>
        </w:tc>
        <w:tc>
          <w:tcPr>
            <w:tcW w:w="10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tLeast" w:line="200"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 (loss).</w:t>
            </w:r>
          </w:p>
        </w:tc>
      </w:tr>
    </w:tbl>
    <w:tbl>
      <w:tblPr>
        <w:tblW w:w="3932" w:type="dxa"/>
        <w:jc w:val="left"/>
        <w:tblInd w:w="0" w:type="dxa"/>
        <w:tblLayout w:type="fixed"/>
        <w:tblCellMar>
          <w:top w:w="0" w:type="dxa"/>
          <w:left w:w="0" w:type="dxa"/>
          <w:bottom w:w="0" w:type="dxa"/>
          <w:right w:w="0" w:type="dxa"/>
        </w:tblCellMar>
      </w:tblPr>
      <w:tblGrid>
        <w:gridCol w:w="331"/>
        <w:gridCol w:w="36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net amounts not allocated to segments.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to adjusted EBITDA:</w:t>
      </w:r>
    </w:p>
    <w:p>
      <w:pPr>
        <w:pStyle w:val="TextBody"/>
        <w:bidi w:val="0"/>
        <w:spacing w:before="0" w:after="240"/>
        <w:ind w:left="0" w:right="0" w:firstLine="720"/>
        <w:jc w:val="left"/>
        <w:rPr/>
      </w:pPr>
      <w:r>
        <w:rPr/>
        <w:t>​</w:t>
      </w:r>
    </w:p>
    <w:tbl>
      <w:tblPr>
        <w:tblW w:w="8814" w:type="dxa"/>
        <w:jc w:val="left"/>
        <w:tblInd w:w="0" w:type="dxa"/>
        <w:tblLayout w:type="fixed"/>
        <w:tblCellMar>
          <w:top w:w="0" w:type="dxa"/>
          <w:left w:w="0" w:type="dxa"/>
          <w:bottom w:w="0" w:type="dxa"/>
          <w:right w:w="0" w:type="dxa"/>
        </w:tblCellMar>
      </w:tblPr>
      <w:tblGrid>
        <w:gridCol w:w="6181"/>
        <w:gridCol w:w="326"/>
        <w:gridCol w:w="285"/>
        <w:gridCol w:w="570"/>
        <w:gridCol w:w="441"/>
        <w:gridCol w:w="285"/>
        <w:gridCol w:w="726"/>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924935" cy="175260"/>
                      <wp:effectExtent l="0" t="0" r="0" b="0"/>
                      <wp:wrapNone/>
                      <wp:docPr id="295" name="Frame295"/>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80975" cy="175260"/>
                      <wp:effectExtent l="0" t="0" r="0" b="0"/>
                      <wp:wrapNone/>
                      <wp:docPr id="297" name="Frame29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1950" cy="175260"/>
                      <wp:effectExtent l="0" t="0" r="0" b="0"/>
                      <wp:wrapNone/>
                      <wp:docPr id="298" name="Frame298"/>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80035" cy="175260"/>
                      <wp:effectExtent l="0" t="0" r="0" b="0"/>
                      <wp:wrapNone/>
                      <wp:docPr id="299" name="Frame299"/>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80975" cy="175260"/>
                      <wp:effectExtent l="0" t="0" r="0" b="0"/>
                      <wp:wrapNone/>
                      <wp:docPr id="300" name="Frame30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61010" cy="175260"/>
                      <wp:effectExtent l="0" t="0" r="0" b="0"/>
                      <wp:wrapNone/>
                      <wp:docPr id="301" name="Frame30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6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1" w:type="dxa"/>
            <w:tcBorders/>
            <w:vAlign w:val="center"/>
          </w:tcPr>
          <w:p>
            <w:pPr>
              <w:pStyle w:val="TableContents"/>
              <w:bidi w:val="0"/>
              <w:spacing w:before="0" w:after="0"/>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41"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41"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41"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441"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center"/>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441" w:type="dxa"/>
            <w:tcBorders/>
            <w:shd w:fill="CCEEFF" w:val="clear"/>
            <w:vAlign w:val="center"/>
          </w:tcPr>
          <w:p>
            <w:pPr>
              <w:pStyle w:val="TableContents"/>
              <w:bidi w:val="0"/>
              <w:spacing w:before="0" w:after="0"/>
              <w:ind w:left="0" w:right="0" w:hanging="0"/>
              <w:jc w:val="center"/>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41"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41" w:type="dxa"/>
            <w:tcBorders/>
            <w:shd w:fill="CCEEFF" w:val="clear"/>
            <w:vAlign w:val="center"/>
          </w:tcPr>
          <w:p>
            <w:pPr>
              <w:pStyle w:val="TableContents"/>
              <w:bidi w:val="0"/>
              <w:spacing w:before="0" w:after="0"/>
              <w:ind w:left="0" w:right="0" w:hanging="0"/>
              <w:jc w:val="center"/>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441"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556</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rPr/>
      </w:pPr>
      <w:r>
        <w:rPr/>
        <w:t>​</w:t>
      </w:r>
    </w:p>
    <w:tbl>
      <w:tblPr>
        <w:tblW w:w="6084" w:type="dxa"/>
        <w:jc w:val="left"/>
        <w:tblInd w:w="0" w:type="dxa"/>
        <w:tblLayout w:type="fixed"/>
        <w:tblCellMar>
          <w:top w:w="0" w:type="dxa"/>
          <w:left w:w="0" w:type="dxa"/>
          <w:bottom w:w="0" w:type="dxa"/>
          <w:right w:w="0" w:type="dxa"/>
        </w:tblCellMar>
      </w:tblPr>
      <w:tblGrid>
        <w:gridCol w:w="3451"/>
        <w:gridCol w:w="326"/>
        <w:gridCol w:w="246"/>
        <w:gridCol w:w="492"/>
        <w:gridCol w:w="317"/>
        <w:gridCol w:w="127"/>
        <w:gridCol w:w="246"/>
        <w:gridCol w:w="510"/>
        <w:gridCol w:w="3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1385" cy="175260"/>
                      <wp:effectExtent l="0" t="0" r="0" b="0"/>
                      <wp:wrapNone/>
                      <wp:docPr id="302" name="Frame30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12420" cy="175260"/>
                      <wp:effectExtent l="0" t="0" r="0" b="0"/>
                      <wp:wrapNone/>
                      <wp:docPr id="303" name="Frame30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1295" cy="175260"/>
                      <wp:effectExtent l="0" t="0" r="0" b="0"/>
                      <wp:wrapNone/>
                      <wp:docPr id="304" name="Frame30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23850" cy="175260"/>
                      <wp:effectExtent l="0" t="0" r="0" b="0"/>
                      <wp:wrapNone/>
                      <wp:docPr id="305" name="Frame305"/>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4315" cy="175260"/>
                      <wp:effectExtent l="0" t="0" r="0" b="0"/>
                      <wp:wrapNone/>
                      <wp:docPr id="306" name="Frame306"/>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7" w:type="dxa"/>
            <w:tcBorders/>
            <w:vAlign w:val="center"/>
          </w:tcPr>
          <w:p>
            <w:pPr>
              <w:pStyle w:val="TableContents"/>
              <w:bidi w:val="0"/>
              <w:spacing w:before="0" w:after="0"/>
              <w:ind w:left="0" w:right="0" w:hanging="0"/>
              <w:jc w:val="center"/>
              <w:rPr/>
            </w:pPr>
            <w:r>
              <w:rPr/>
              <w:t>​</w:t>
            </w:r>
          </w:p>
        </w:tc>
        <w:tc>
          <w:tcPr>
            <w:tcW w:w="11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17"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69"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17"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69"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2025, United States revenue of $911 million decreased 8 percent compared to the prior-year quarter, driven by the Company’s efforts to reduce certain low-margin revenues and the expiration of certain low- and negative-margin contracts entered into before the Spin-off. Adjusted EBITDA increased $63 million from the prior-year quarter, primarily driven by progress on our key initiatives to drive operating efficiencies, including lower sales, general and administrative expenses.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rPr/>
      </w:pPr>
      <w:r>
        <w:rPr/>
        <w:t>​</w:t>
      </w:r>
    </w:p>
    <w:tbl>
      <w:tblPr>
        <w:tblW w:w="6084" w:type="dxa"/>
        <w:jc w:val="left"/>
        <w:tblInd w:w="0" w:type="dxa"/>
        <w:tblLayout w:type="fixed"/>
        <w:tblCellMar>
          <w:top w:w="0" w:type="dxa"/>
          <w:left w:w="0" w:type="dxa"/>
          <w:bottom w:w="0" w:type="dxa"/>
          <w:right w:w="0" w:type="dxa"/>
        </w:tblCellMar>
      </w:tblPr>
      <w:tblGrid>
        <w:gridCol w:w="3451"/>
        <w:gridCol w:w="326"/>
        <w:gridCol w:w="248"/>
        <w:gridCol w:w="496"/>
        <w:gridCol w:w="319"/>
        <w:gridCol w:w="128"/>
        <w:gridCol w:w="248"/>
        <w:gridCol w:w="496"/>
        <w:gridCol w:w="37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1385" cy="175260"/>
                      <wp:effectExtent l="0" t="0" r="0" b="0"/>
                      <wp:wrapNone/>
                      <wp:docPr id="307" name="Frame30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14960" cy="175260"/>
                      <wp:effectExtent l="0" t="0" r="0" b="0"/>
                      <wp:wrapNone/>
                      <wp:docPr id="308" name="Frame30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2565" cy="175260"/>
                      <wp:effectExtent l="0" t="0" r="0" b="0"/>
                      <wp:wrapNone/>
                      <wp:docPr id="309" name="Frame30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14960" cy="175260"/>
                      <wp:effectExtent l="0" t="0" r="0" b="0"/>
                      <wp:wrapNone/>
                      <wp:docPr id="310" name="Frame31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36220" cy="175260"/>
                      <wp:effectExtent l="0" t="0" r="0" b="0"/>
                      <wp:wrapNone/>
                      <wp:docPr id="311" name="Frame31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8" w:type="dxa"/>
            <w:tcBorders/>
            <w:vAlign w:val="center"/>
          </w:tcPr>
          <w:p>
            <w:pPr>
              <w:pStyle w:val="TableContents"/>
              <w:bidi w:val="0"/>
              <w:spacing w:before="0" w:after="0"/>
              <w:ind w:left="0" w:right="0" w:hanging="0"/>
              <w:jc w:val="center"/>
              <w:rPr/>
            </w:pPr>
            <w:r>
              <w:rPr/>
              <w:t>​</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19"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19"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72"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 </w:t>
            </w:r>
          </w:p>
        </w:tc>
        <w:tc>
          <w:tcPr>
            <w:tcW w:w="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2025, Japan revenue of $578 million increased 2 percent compared to the prior-year quarter, driven by a favorable currency exchange rate impact of eight points. Adjusted EBITDA increased $32 million from the prior-year quarter, driven by progress on our key initiatives to drive operating efficiencies and favorable currency movements that impacted both non-yen-denominated costs and the translation of earnings into U.S. dollars.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rPr/>
      </w:pPr>
      <w:r>
        <w:rPr/>
        <w:t>​</w:t>
      </w:r>
    </w:p>
    <w:tbl>
      <w:tblPr>
        <w:tblW w:w="6084" w:type="dxa"/>
        <w:jc w:val="left"/>
        <w:tblInd w:w="0" w:type="dxa"/>
        <w:tblLayout w:type="fixed"/>
        <w:tblCellMar>
          <w:top w:w="0" w:type="dxa"/>
          <w:left w:w="0" w:type="dxa"/>
          <w:bottom w:w="0" w:type="dxa"/>
          <w:right w:w="0" w:type="dxa"/>
        </w:tblCellMar>
      </w:tblPr>
      <w:tblGrid>
        <w:gridCol w:w="3451"/>
        <w:gridCol w:w="326"/>
        <w:gridCol w:w="215"/>
        <w:gridCol w:w="583"/>
        <w:gridCol w:w="277"/>
        <w:gridCol w:w="111"/>
        <w:gridCol w:w="215"/>
        <w:gridCol w:w="583"/>
        <w:gridCol w:w="32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1385" cy="175260"/>
                      <wp:effectExtent l="0" t="0" r="0" b="0"/>
                      <wp:wrapNone/>
                      <wp:docPr id="312" name="Frame31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70205" cy="175260"/>
                      <wp:effectExtent l="0" t="0" r="0" b="0"/>
                      <wp:wrapNone/>
                      <wp:docPr id="313" name="Frame313"/>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5895" cy="175260"/>
                      <wp:effectExtent l="0" t="0" r="0" b="0"/>
                      <wp:wrapNone/>
                      <wp:docPr id="314" name="Frame31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70205" cy="175260"/>
                      <wp:effectExtent l="0" t="0" r="0" b="0"/>
                      <wp:wrapNone/>
                      <wp:docPr id="315" name="Frame315"/>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5105" cy="175260"/>
                      <wp:effectExtent l="0" t="0" r="0" b="0"/>
                      <wp:wrapNone/>
                      <wp:docPr id="316" name="Frame316"/>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1" w:type="dxa"/>
            <w:tcBorders/>
            <w:vAlign w:val="center"/>
          </w:tcPr>
          <w:p>
            <w:pPr>
              <w:pStyle w:val="TableContents"/>
              <w:bidi w:val="0"/>
              <w:spacing w:before="0" w:after="0"/>
              <w:ind w:left="0" w:right="0" w:hanging="0"/>
              <w:jc w:val="center"/>
              <w:rPr/>
            </w:pPr>
            <w:r>
              <w:rPr/>
              <w:t>​</w:t>
            </w:r>
          </w:p>
        </w:tc>
        <w:tc>
          <w:tcPr>
            <w:tcW w:w="112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2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3"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2025, Principal Markets revenue of $1.4 billion increased 3 percent compared to the prior-year quarter, driven by a favorable currency exchange rate impact of four points. Adjusted EBITDA decreased $44 million from the prior-year quarter, primarily due to a vendor credit in the prior year.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rPr/>
      </w:pPr>
      <w:r>
        <w:rPr/>
        <w:t>​</w:t>
      </w:r>
    </w:p>
    <w:tbl>
      <w:tblPr>
        <w:tblW w:w="6084" w:type="dxa"/>
        <w:jc w:val="left"/>
        <w:tblInd w:w="0" w:type="dxa"/>
        <w:tblLayout w:type="fixed"/>
        <w:tblCellMar>
          <w:top w:w="0" w:type="dxa"/>
          <w:left w:w="0" w:type="dxa"/>
          <w:bottom w:w="0" w:type="dxa"/>
          <w:right w:w="0" w:type="dxa"/>
        </w:tblCellMar>
      </w:tblPr>
      <w:tblGrid>
        <w:gridCol w:w="3451"/>
        <w:gridCol w:w="326"/>
        <w:gridCol w:w="246"/>
        <w:gridCol w:w="492"/>
        <w:gridCol w:w="317"/>
        <w:gridCol w:w="127"/>
        <w:gridCol w:w="246"/>
        <w:gridCol w:w="510"/>
        <w:gridCol w:w="3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1385" cy="175260"/>
                      <wp:effectExtent l="0" t="0" r="0" b="0"/>
                      <wp:wrapNone/>
                      <wp:docPr id="317" name="Frame31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12420" cy="175260"/>
                      <wp:effectExtent l="0" t="0" r="0" b="0"/>
                      <wp:wrapNone/>
                      <wp:docPr id="318" name="Frame318"/>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1295" cy="175260"/>
                      <wp:effectExtent l="0" t="0" r="0" b="0"/>
                      <wp:wrapNone/>
                      <wp:docPr id="319" name="Frame31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0645" cy="175260"/>
                      <wp:effectExtent l="0" t="0" r="0" b="0"/>
                      <wp:wrapNone/>
                      <wp:docPr id="320" name="Frame320"/>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23850" cy="175260"/>
                      <wp:effectExtent l="0" t="0" r="0" b="0"/>
                      <wp:wrapNone/>
                      <wp:docPr id="321" name="Frame32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4315" cy="175260"/>
                      <wp:effectExtent l="0" t="0" r="0" b="0"/>
                      <wp:wrapNone/>
                      <wp:docPr id="322" name="Frame32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7" w:type="dxa"/>
            <w:tcBorders/>
            <w:vAlign w:val="center"/>
          </w:tcPr>
          <w:p>
            <w:pPr>
              <w:pStyle w:val="TableContents"/>
              <w:bidi w:val="0"/>
              <w:spacing w:before="0" w:after="0"/>
              <w:ind w:left="0" w:right="0" w:hanging="0"/>
              <w:jc w:val="center"/>
              <w:rPr/>
            </w:pPr>
            <w:r>
              <w:rPr/>
              <w:t>​</w:t>
            </w:r>
          </w:p>
        </w:tc>
        <w:tc>
          <w:tcPr>
            <w:tcW w:w="11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17"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69"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17"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9"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 </w:t>
            </w:r>
          </w:p>
        </w:tc>
        <w:tc>
          <w:tcPr>
            <w:tcW w:w="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2025, Strategic Markets revenue of $898 million increased 3 percent compared to the prior-year quarter, driven by higher signings in fiscal year 2025. Adjusted EBITDA increased $43 million from the prior-year quarter, primarily due to progress on our key initiatives to drive operating efficiencies and higher margins on recent signings.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Corporate and other had an adjusted EBITDA loss of $26 million in the three months ended June 30, 2025, compared to a loss of $21 million in the three months ended June 30, 2024.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pPr>
      <w:r>
        <w:rPr/>
        <w:t>​</w:t>
      </w:r>
    </w:p>
    <w:tbl>
      <w:tblPr>
        <w:tblW w:w="9925" w:type="dxa"/>
        <w:jc w:val="left"/>
        <w:tblInd w:w="0" w:type="dxa"/>
        <w:tblLayout w:type="fixed"/>
        <w:tblCellMar>
          <w:top w:w="0" w:type="dxa"/>
          <w:left w:w="0" w:type="dxa"/>
          <w:bottom w:w="0" w:type="dxa"/>
          <w:right w:w="0" w:type="dxa"/>
        </w:tblCellMar>
      </w:tblPr>
      <w:tblGrid>
        <w:gridCol w:w="3736"/>
        <w:gridCol w:w="326"/>
        <w:gridCol w:w="285"/>
        <w:gridCol w:w="773"/>
        <w:gridCol w:w="147"/>
        <w:gridCol w:w="285"/>
        <w:gridCol w:w="773"/>
        <w:gridCol w:w="326"/>
        <w:gridCol w:w="571"/>
        <w:gridCol w:w="271"/>
        <w:gridCol w:w="109"/>
        <w:gridCol w:w="571"/>
        <w:gridCol w:w="271"/>
        <w:gridCol w:w="326"/>
        <w:gridCol w:w="729"/>
        <w:gridCol w:w="42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372360" cy="175260"/>
                      <wp:effectExtent l="0" t="0" r="0" b="0"/>
                      <wp:wrapNone/>
                      <wp:docPr id="323" name="Frame32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80975" cy="175260"/>
                      <wp:effectExtent l="0" t="0" r="0" b="0"/>
                      <wp:wrapNone/>
                      <wp:docPr id="325" name="Frame32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0855" cy="175260"/>
                      <wp:effectExtent l="0" t="0" r="0" b="0"/>
                      <wp:wrapNone/>
                      <wp:docPr id="326" name="Frame326"/>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3345" cy="175260"/>
                      <wp:effectExtent l="0" t="0" r="0" b="0"/>
                      <wp:wrapNone/>
                      <wp:docPr id="327" name="Frame327"/>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80975" cy="175260"/>
                      <wp:effectExtent l="0" t="0" r="0" b="0"/>
                      <wp:wrapNone/>
                      <wp:docPr id="328" name="Frame32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0855" cy="175260"/>
                      <wp:effectExtent l="0" t="0" r="0" b="0"/>
                      <wp:wrapNone/>
                      <wp:docPr id="329" name="Frame329"/>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62585" cy="175260"/>
                      <wp:effectExtent l="0" t="0" r="0" b="0"/>
                      <wp:wrapNone/>
                      <wp:docPr id="331" name="Frame3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2085" cy="175260"/>
                      <wp:effectExtent l="0" t="0" r="0" b="0"/>
                      <wp:wrapNone/>
                      <wp:docPr id="332" name="Frame3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62585" cy="175260"/>
                      <wp:effectExtent l="0" t="0" r="0" b="0"/>
                      <wp:wrapNone/>
                      <wp:docPr id="334" name="Frame3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2085" cy="175260"/>
                      <wp:effectExtent l="0" t="0" r="0" b="0"/>
                      <wp:wrapNone/>
                      <wp:docPr id="335" name="Frame33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62915" cy="175260"/>
                      <wp:effectExtent l="0" t="0" r="0" b="0"/>
                      <wp:wrapNone/>
                      <wp:docPr id="337" name="Frame337"/>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70510" cy="175260"/>
                      <wp:effectExtent l="0" t="0" r="0" b="0"/>
                      <wp:wrapNone/>
                      <wp:docPr id="338" name="Frame338"/>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7" w:type="dxa"/>
            <w:tcBorders/>
            <w:vAlign w:val="center"/>
          </w:tcPr>
          <w:p>
            <w:pPr>
              <w:pStyle w:val="TableContents"/>
              <w:bidi w:val="0"/>
              <w:spacing w:before="0" w:after="0"/>
              <w:ind w:left="0" w:right="0" w:hanging="0"/>
              <w:jc w:val="left"/>
              <w:rPr/>
            </w:pPr>
            <w:r>
              <w:rPr/>
              <w:t>​</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2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92 </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 of services was 78.7% of revenue in the three months ended June 30, 2025, compared to 78.5% in the three months ended June 30, 2024, driven by a vendor credit in the prior-year quarter, almost fully offset by progress on our key initiatives to drive operating efficiencies and higher margins on recent signings. Selling, general and administrative expenses were 17.3% of revenue in the three months ended June 30, 2025 compared to 17.6% in the prior-year quarter, driven by </w:t>
      </w:r>
      <w:r>
        <w:rPr>
          <w:rFonts w:ascii="Times New Roman;Times;serif" w:hAnsi="Times New Roman;Times;serif"/>
          <w:sz w:val="20"/>
          <w:shd w:fill="FFFFFF" w:val="clear"/>
        </w:rPr>
        <w:t>the impact of currency on revenue compared to our U.S. dollar-denominated expenses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Workforce rebalancing charges were 0.7% of revenue in the three months ended June 30, 2025 versus 1.0% of revenue in the prior-year quarter. Interest expense was 0.5% of revenue in the three months ended June 30, 2025 compared to 0.7% in the prior-year quarter.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classifies certain expenses and benefits related to the Separation, acquisitions and divestitures as “transaction-related costs”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and Site-Rationalization Charges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2026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2025, management initiated actions to reduce the Company’s overall cost structure and enhance operating efficiency. As a result of these actions, the Company recorded workforce rebalancing charges of $25 million in the period.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$80 million, of which approximately $11 million has been paid through June 30, 2025, and the remainder is expected to be paid thereafter. Management expects that these workforce rebalancing activities will reduce annual payroll costs and related expenses by more than $100 million.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continue to seek opportunities to improve operational efficiency and reduce costs, which may result in additional charges in future periods. For additional information, see Note 13 – Workforce Rebalancing Charges in the accompanying Consolidated Financial Statements.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2025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2025, management implemented actions to reduce the Company’s overall cost structure and increase our operating efficiency. During the year ended March 31, 2025, the Company recorded $114 million in workforce rebalancing charges and $48 million in charges related to ceasing to use leased and owned fixed assets, including lease termination charges.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$150 million, of which approximately $125 million has been paid through June 30, 2025, and the remainder is expected to be paid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 </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taxes for the three months ended June 30, 2025 was $36 million of expense, compared to $53 million of expense for the three months ended June 30, 2024. Our income tax expense for each of the three months ended June 30, 2025 and 2024 was primarily related to taxes on foreign operations and valuation allowances recorded in certain jurisdictions against deferred tax assets that are not more likely than not to be realized.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assessing the need for a valuation allowance, management considers all available evidence for each jurisdiction, including past operating results, estimates of future taxable income, the reversal of existing temporary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differences, and the feasibility of ongoing tax planning strategies and actions. Estimates of future taxable income and loss could change, perhaps materially, which may require us to revise our assessment of the recoverability of the deferred tax asset at that time. </w:t>
      </w:r>
    </w:p>
    <w:p>
      <w:pPr>
        <w:pStyle w:val="TextBody"/>
        <w:bidi w:val="0"/>
        <w:spacing w:before="0" w:after="240"/>
        <w:ind w:left="0" w:right="0" w:hanging="0"/>
        <w:jc w:val="left"/>
        <w:rPr>
          <w:rFonts w:ascii="Times New Roman;Times;serif" w:hAnsi="Times New Roman;Times;serif"/>
          <w:b/>
          <w:sz w:val="20"/>
        </w:rPr>
      </w:pPr>
      <w:bookmarkStart w:id="1259" w:name="_392702a7_aeea_448b_9ec6_3c25ebdd4681"/>
      <w:bookmarkEnd w:id="1259"/>
      <w:r>
        <w:rPr>
          <w:rFonts w:ascii="Times New Roman;Times;serif" w:hAnsi="Times New Roman;Times;serif"/>
          <w:b/>
          <w:sz w:val="20"/>
        </w:rPr>
        <w:t>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Dynamics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$11.5 billion increased by $1.0 billion (and increased by $628 million adjusted for currency) from March 31, 2025, primarily driven by an increase in deferred costs of $1.1 billion mainly due to an extended and amended multi-year, third-party software agreement and an increase of $134 million in prepaid expenses and other current assets mainly due to prepayment for software subscriptions, partially offset by a decrease in cash and cash equivalents of $324 million mainly due to payments for annual incentive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$10.2 billion increased by $1.0 billion (and increased by $746 million adjusted for currency) from March 31, 2025, primarily as a result of an increase in other noncurrent liabilities of $893 million driven by the extended and amended multi-year, third-party software agreement, partially offset by a decrease in accrued compensation and benefits of $215 million due to payments of annual incentive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equity of $1.3 billion increased by $12 million from March 31, 2025, principally due to our net earnings of $56 million and other comprehensive income of $66 million in the period, and activity related to employee stock plans of $26 million, partially offset by $65 million of share repurchases under our Share Repurchase Program and $67 million of shares repurchased for tax withholdings.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rPr/>
      </w:pPr>
      <w:r>
        <w:rPr/>
        <w:t>​</w:t>
      </w:r>
    </w:p>
    <w:tbl>
      <w:tblPr>
        <w:tblW w:w="8966" w:type="dxa"/>
        <w:jc w:val="left"/>
        <w:tblInd w:w="0" w:type="dxa"/>
        <w:tblLayout w:type="fixed"/>
        <w:tblCellMar>
          <w:top w:w="0" w:type="dxa"/>
          <w:left w:w="0" w:type="dxa"/>
          <w:bottom w:w="0" w:type="dxa"/>
          <w:right w:w="0" w:type="dxa"/>
        </w:tblCellMar>
      </w:tblPr>
      <w:tblGrid>
        <w:gridCol w:w="6331"/>
        <w:gridCol w:w="326"/>
        <w:gridCol w:w="260"/>
        <w:gridCol w:w="666"/>
        <w:gridCol w:w="401"/>
        <w:gridCol w:w="260"/>
        <w:gridCol w:w="722"/>
      </w:tblGrid>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5100" cy="175260"/>
                      <wp:effectExtent l="0" t="0" r="0" b="0"/>
                      <wp:wrapNone/>
                      <wp:docPr id="340" name="Frame34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2910" cy="175260"/>
                      <wp:effectExtent l="0" t="0" r="0" b="0"/>
                      <wp:wrapNone/>
                      <wp:docPr id="341" name="Frame341"/>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54635" cy="175260"/>
                      <wp:effectExtent l="0" t="0" r="0" b="0"/>
                      <wp:wrapNone/>
                      <wp:docPr id="342" name="Frame342"/>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65100" cy="175260"/>
                      <wp:effectExtent l="0" t="0" r="0" b="0"/>
                      <wp:wrapNone/>
                      <wp:docPr id="343" name="Frame34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58470" cy="175260"/>
                      <wp:effectExtent l="0" t="0" r="0" b="0"/>
                      <wp:wrapNone/>
                      <wp:docPr id="344" name="Frame344"/>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1" w:type="dxa"/>
            <w:tcBorders/>
            <w:vAlign w:val="center"/>
          </w:tcPr>
          <w:p>
            <w:pPr>
              <w:pStyle w:val="TableContents"/>
              <w:bidi w:val="0"/>
              <w:spacing w:before="0" w:after="0"/>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  </w:t>
            </w:r>
          </w:p>
        </w:tc>
        <w:tc>
          <w:tcPr>
            <w:tcW w:w="401"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0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01"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0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1"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401"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by operating activities was $124 million in the three months ended June 30, 2025, compared to net cash used of $48 million in the prior-year period, mainly due to a decline of $117 million in accounts receivables as a source of cash in the current quarter compared to the prior-year quarter when the collection of receivables outpaced revenues, partially offset by $45 million higher earnings in the current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$74 million in the three months ended June 30, 2025, compared to a net cash use of $166 million in the prior-year period due to an acquisition in the prior-year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totaled $170 million in the three months ended June 30, 2025, compared to net cash used by financing activities of $51 million in the prior-year period, mainly due to share repurchases of $65 million under the Company’s Share Repurchase Program and $67 million of shares repurchased to settle tax withholdings related to the vesting of stock-based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sz w:val="20"/>
        </w:rPr>
      </w:pPr>
      <w:bookmarkStart w:id="1260" w:name="_3f16a257_194e_447b_b24b_c2e52b46fb3c"/>
      <w:bookmarkEnd w:id="1260"/>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signings for the three months ended June 30, 2025 and 2024.</w:t>
      </w:r>
    </w:p>
    <w:tbl>
      <w:tblPr>
        <w:tblW w:w="4136" w:type="dxa"/>
        <w:jc w:val="left"/>
        <w:tblInd w:w="0" w:type="dxa"/>
        <w:tblLayout w:type="fixed"/>
        <w:tblCellMar>
          <w:top w:w="0" w:type="dxa"/>
          <w:left w:w="0" w:type="dxa"/>
          <w:bottom w:w="0" w:type="dxa"/>
          <w:right w:w="0" w:type="dxa"/>
        </w:tblCellMar>
      </w:tblPr>
      <w:tblGrid>
        <w:gridCol w:w="1501"/>
        <w:gridCol w:w="326"/>
        <w:gridCol w:w="307"/>
        <w:gridCol w:w="526"/>
        <w:gridCol w:w="475"/>
        <w:gridCol w:w="307"/>
        <w:gridCol w:w="694"/>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53135" cy="175260"/>
                      <wp:effectExtent l="0" t="0" r="0" b="0"/>
                      <wp:wrapNone/>
                      <wp:docPr id="345" name="Frame34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26" w:type="dxa"/>
            <w:tcBorders/>
            <w:vAlign w:val="center"/>
          </w:tcPr>
          <w:p>
            <w:pPr>
              <w:pStyle w:val="TableContents"/>
              <w:bidi w:val="0"/>
              <w:spacing w:before="0" w:after="0"/>
              <w:ind w:left="0" w:right="0" w:hanging="0"/>
              <w:jc w:val="left"/>
              <w:rPr/>
            </w:pPr>
            <w:r>
              <w:rPr/>
              <w:t>    </w:t>
            </w:r>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5" w:type="dxa"/>
            <w:tcBorders/>
            <w:vAlign w:val="center"/>
          </w:tcPr>
          <w:p>
            <w:pPr>
              <w:pStyle w:val="TableContents"/>
              <w:bidi w:val="0"/>
              <w:spacing w:before="0" w:after="0"/>
              <w:ind w:left="0" w:right="0" w:hanging="0"/>
              <w:jc w:val="center"/>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75"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Signings increased by $72 million in the three months ended June 30, 2025, or 2%, compared to the prior-year quarter. Management uses signings to monitor the performance of the business, as a measure of customer engagement and our ability to drive growth.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and our revolving credit agreement will be sufficient to meet our anticipated cash needs for at least the next twelve months.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w:t>
      </w:r>
    </w:p>
    <w:p>
      <w:pPr>
        <w:pStyle w:val="TextBody"/>
        <w:shd w:fill="FFFFFF" w:val="clear"/>
        <w:bidi w:val="0"/>
        <w:spacing w:before="0" w:after="0"/>
        <w:ind w:left="0" w:right="0" w:firstLine="72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Initial Notes and the 2034 Notes are subject to customary affirmative covenants, negative covenants and events of default for financings of this type and are redeemable at our option in a customary manner.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In March 2025, we further amended the agreement, extending the maturity to March 2030. Interest rates on borrowings under the Revolving Credit Agreement will be based on prevailing market interest rates, plus a margin, as further described in the Revolving Credit Agreement. As of June 30, 2025, there has been no drawdown on the Revolving Credit Agreement.</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An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We have also entered into additional agreements with a separate third-party financial institution that enable us to sell receivables contingent on the approval of the counterparty. These agreements were first executed in June 2022 and renew automatically on their anniversary date, unless either party elects not to extend.</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net proceeds from these agreements are reflected as cash provided by operating activities in the Consolidated Statement of Cash Flows. Gross proceeds from receivables sold to third parties under the aforementioned programs were $0.6 billion and $0.8 billion for the three months ended June 30, 2025 and June 30, 2024, respectively. The fees associated with the transfers of receivables were $5 million and $10 million for the three months ended June 30, 2025 and June 30,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Supplier Financing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June 30, 2025 and March 31, 2025.</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Share Repurchase Program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Company’s Board of Directors authorized a share repurchase program of up to $300 million of the Company’s common stock.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program does not have a set expiration date and may be suspended, modified or discontinued at any time without prior notice.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the Company repurchased 1.8 million shares of its common stock at an aggregate cost of $65 million under the Share Repurchase Program. As of June 30, 2025, $141 million remained of our $300 million Share Repurchase Program authorization.</w:t>
      </w:r>
    </w:p>
    <w:p>
      <w:pPr>
        <w:pStyle w:val="TextBody"/>
        <w:bidi w:val="0"/>
        <w:spacing w:before="0" w:after="0"/>
        <w:ind w:left="0" w:right="0" w:firstLine="72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2025 for more information; we refer to the Annual Report on Form 10-K for the fiscal year ended March 31, 2025 as the “Form 10-K”.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w:t>
      </w:r>
      <w:r>
        <w:rPr>
          <w:rFonts w:ascii="Times New Roman;Times;serif" w:hAnsi="Times New Roman;Times;serif"/>
          <w:sz w:val="20"/>
          <w:shd w:fill="FFFFFF" w:val="clear"/>
        </w:rPr>
        <w:t>the Private Securities Litigation Reform Act of 1995</w:t>
      </w:r>
      <w:r>
        <w:rPr>
          <w:rFonts w:ascii="Times New Roman;Times;serif" w:hAnsi="Times New Roman;Times;serif"/>
          <w:sz w:val="20"/>
        </w:rPr>
        <w:t xml:space="preserve">. </w:t>
      </w:r>
      <w:r>
        <w:rPr>
          <w:rFonts w:ascii="Times New Roman;Times;serif" w:hAnsi="Times New Roman;Times;serif"/>
          <w:sz w:val="20"/>
          <w:shd w:fill="FFFFFF" w:val="clear"/>
        </w:rPr>
        <w:t>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w:t>
      </w:r>
      <w:r>
        <w:rPr>
          <w:rFonts w:ascii="Times New Roman;Times;serif" w:hAnsi="Times New Roman;Times;serif"/>
          <w:sz w:val="20"/>
        </w:rPr>
        <w:t xml:space="preserve">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bidi w:val="0"/>
        <w:spacing w:before="0" w:after="0"/>
        <w:ind w:left="0" w:right="0" w:firstLine="720"/>
        <w:jc w:val="left"/>
        <w:rPr/>
      </w:pPr>
      <w:r>
        <w:rPr/>
        <w:t>​</w:t>
      </w:r>
    </w:p>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additional services to customers;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and maintain our capital allocation strategy;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address and adapt to technological developments and trends;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economic, geopolitical, public health and other conditions; </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manage acquisitions and dispositions, including integration challenges, failure to achieve objectives, the assumption of liabilities and higher debt levels; </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our business with foreign, state and local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retain and extend necessary licenses; </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our goodwill or long-lived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data governance and privacy; </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legal proceedings and investigatory risks and potential indemnification obligations;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in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impact of currency fluctuations;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our Form 10-K for the fiscal year ended March 31, 2025, as such factors may be updated from time to time in the Company’s subsequent filings with the SEC. </w:t>
      </w:r>
      <w:r>
        <w:rPr>
          <w:rFonts w:ascii="Times New Roman;Times;serif" w:hAnsi="Times New Roman;Times;serif"/>
          <w:sz w:val="20"/>
          <w:shd w:fill="FFFFFF" w:val="clear"/>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shd w:fill="FFFFFF" w:val="clear"/>
        </w:rPr>
        <w:t>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Available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61" w:name="ITEM3_Quantitive"/>
      <w:bookmarkStart w:id="1262" w:name="ITEM3"/>
      <w:bookmarkStart w:id="1263" w:name="_ec99ece9_df0e_4be9_84b5_850a22939c2a"/>
      <w:bookmarkEnd w:id="1261"/>
      <w:bookmarkEnd w:id="1262"/>
      <w:bookmarkEnd w:id="126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0"/>
        <w:ind w:left="0" w:right="0" w:hanging="0"/>
        <w:jc w:val="left"/>
        <w:rPr>
          <w:rFonts w:ascii="Times New Roman;Times;serif" w:hAnsi="Times New Roman;Times;serif"/>
          <w:b/>
          <w:sz w:val="20"/>
        </w:rPr>
      </w:pPr>
      <w:bookmarkStart w:id="1264" w:name="Item4ControlsandProcedures_560001"/>
      <w:bookmarkStart w:id="1265" w:name="_0a364ed0_f6f0_4ebf_91be_7ae3c4f5d278"/>
      <w:bookmarkEnd w:id="1264"/>
      <w:bookmarkEnd w:id="1265"/>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(as such term is defined in Rule 13a-15(f) of the Exchange Act) that occurred during the period covered by this report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266" w:name="PartIIOtherInformation_819306"/>
      <w:bookmarkStart w:id="1267" w:name="_300a5bed_ec85_494e_b355_6f29b84e9030"/>
      <w:bookmarkEnd w:id="1266"/>
      <w:bookmarkEnd w:id="1267"/>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268" w:name="Item1LegalProceedings_389566"/>
      <w:bookmarkEnd w:id="1268"/>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10 – Commitments and Contingencies, in the notes to consolidated financial statements in this report.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69" w:name="ITEM1A"/>
      <w:bookmarkStart w:id="1270" w:name="_aa8129cb_3fd5_44e2_8401_fe5adba4d708"/>
      <w:bookmarkEnd w:id="1269"/>
      <w:bookmarkEnd w:id="1270"/>
      <w:r>
        <w:rPr>
          <w:rFonts w:ascii="Times New Roman;Times;serif" w:hAnsi="Times New Roman;Time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our Form 10-K for the year ended March 31, 2025. There have been no material changes with respect to the risk factors disclosed in the Form 10-K.</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71" w:name="Item2Uregisteredsalesofequitysecurities"/>
      <w:bookmarkStart w:id="1272" w:name="_121b4a7e_81f5_498a_a0bf_b0cab9be24bb"/>
      <w:bookmarkEnd w:id="1271"/>
      <w:bookmarkEnd w:id="1272"/>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our common stock repurchases during the three months ended June 30, 2025 is set forth in the table below.</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7"/>
        <w:gridCol w:w="109"/>
        <w:gridCol w:w="1667"/>
        <w:gridCol w:w="109"/>
        <w:gridCol w:w="211"/>
        <w:gridCol w:w="1193"/>
        <w:gridCol w:w="109"/>
        <w:gridCol w:w="2558"/>
        <w:gridCol w:w="109"/>
        <w:gridCol w:w="211"/>
        <w:gridCol w:w="3192"/>
      </w:tblGrid>
      <w:tr>
        <w:trPr/>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67995" cy="175260"/>
                      <wp:effectExtent l="0" t="0" r="0" b="0"/>
                      <wp:wrapNone/>
                      <wp:docPr id="346" name="Frame34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058545" cy="175260"/>
                      <wp:effectExtent l="0" t="0" r="0" b="0"/>
                      <wp:wrapNone/>
                      <wp:docPr id="348" name="Frame348"/>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57555" cy="175260"/>
                      <wp:effectExtent l="0" t="0" r="0" b="0"/>
                      <wp:wrapNone/>
                      <wp:docPr id="351" name="Frame351"/>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624330" cy="175260"/>
                      <wp:effectExtent l="0" t="0" r="0" b="0"/>
                      <wp:wrapNone/>
                      <wp:docPr id="353" name="Frame353"/>
                      <a:graphic xmlns:a="http://schemas.openxmlformats.org/drawingml/2006/main">
                        <a:graphicData uri="http://schemas.microsoft.com/office/word/2010/wordprocessingShape">
                          <wps:wsp>
                            <wps:cNvSpPr txBox="1"/>
                            <wps:spPr>
                              <a:xfrm>
                                <a:off x="0" y="0"/>
                                <a:ext cx="162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26920" cy="175260"/>
                      <wp:effectExtent l="0" t="0" r="0" b="0"/>
                      <wp:wrapNone/>
                      <wp:docPr id="356" name="Frame356"/>
                      <a:graphic xmlns:a="http://schemas.openxmlformats.org/drawingml/2006/main">
                        <a:graphicData uri="http://schemas.microsoft.com/office/word/2010/wordprocessingShape">
                          <wps:wsp>
                            <wps:cNvSpPr txBox="1"/>
                            <wps:spPr>
                              <a:xfrm>
                                <a:off x="0" y="0"/>
                                <a:ext cx="2026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0"/>
              <w:ind w:left="0" w:right="0" w:hanging="0"/>
              <w:jc w:val="center"/>
              <w:rPr/>
            </w:pPr>
            <w:r>
              <w:rPr/>
              <w:t>​</w:t>
            </w:r>
          </w:p>
        </w:tc>
        <w:tc>
          <w:tcPr>
            <w:tcW w:w="166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Total Number of Shares Repurchased</w:t>
            </w:r>
            <w:r>
              <w:rPr>
                <w:rFonts w:ascii="Times New Roman;Times;serif" w:hAnsi="Times New Roman;Times;serif"/>
                <w:b/>
                <w:sz w:val="12"/>
              </w:rPr>
              <w:t>(a)</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5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1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Plans or Programs (in millions)</w:t>
            </w:r>
          </w:p>
        </w:tc>
      </w:tr>
      <w:tr>
        <w:trPr/>
        <w:tc>
          <w:tcPr>
            <w:tcW w:w="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w:t>
            </w:r>
          </w:p>
        </w:tc>
        <w:tc>
          <w:tcPr>
            <w:tcW w:w="109" w:type="dxa"/>
            <w:tcBorders/>
            <w:shd w:fill="CCEEFF" w:val="clear"/>
            <w:vAlign w:val="center"/>
          </w:tcPr>
          <w:p>
            <w:pPr>
              <w:pStyle w:val="TableContents"/>
              <w:bidi w:val="0"/>
              <w:spacing w:before="0" w:after="0"/>
              <w:ind w:left="0" w:right="0" w:hanging="0"/>
              <w:jc w:val="center"/>
              <w:rPr/>
            </w:pPr>
            <w:r>
              <w:rPr/>
              <w:t>​</w:t>
            </w:r>
          </w:p>
        </w:tc>
        <w:tc>
          <w:tcPr>
            <w:tcW w:w="1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595,693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595,693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w:t>
            </w:r>
          </w:p>
        </w:tc>
        <w:tc>
          <w:tcPr>
            <w:tcW w:w="109" w:type="dxa"/>
            <w:tcBorders/>
            <w:vAlign w:val="center"/>
          </w:tcPr>
          <w:p>
            <w:pPr>
              <w:pStyle w:val="TableContents"/>
              <w:bidi w:val="0"/>
              <w:spacing w:before="0" w:after="0"/>
              <w:ind w:left="0" w:right="0" w:hanging="0"/>
              <w:jc w:val="center"/>
              <w:rPr/>
            </w:pPr>
            <w:r>
              <w:rPr/>
              <w:t>​</w:t>
            </w:r>
          </w:p>
        </w:tc>
        <w:tc>
          <w:tcPr>
            <w:tcW w:w="1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339,241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339,241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31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w:t>
            </w:r>
          </w:p>
        </w:tc>
        <w:tc>
          <w:tcPr>
            <w:tcW w:w="109" w:type="dxa"/>
            <w:tcBorders/>
            <w:shd w:fill="CCEEFF" w:val="clear"/>
            <w:vAlign w:val="center"/>
          </w:tcPr>
          <w:p>
            <w:pPr>
              <w:pStyle w:val="TableContents"/>
              <w:bidi w:val="0"/>
              <w:spacing w:before="0" w:after="0"/>
              <w:ind w:left="0" w:right="0" w:hanging="0"/>
              <w:jc w:val="center"/>
              <w:rPr/>
            </w:pPr>
            <w:r>
              <w:rPr/>
              <w:t>​</w:t>
            </w:r>
          </w:p>
        </w:tc>
        <w:tc>
          <w:tcPr>
            <w:tcW w:w="1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844,764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40.78</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844,764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center"/>
              <w:rPr/>
            </w:pPr>
            <w:r>
              <w:rPr/>
              <w:t>​</w:t>
            </w:r>
          </w:p>
        </w:tc>
        <w:tc>
          <w:tcPr>
            <w:tcW w:w="1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1,779,698</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1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1,779,698</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3192"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shares were repurchased in open market transactions pursuant to the $300 million Share Repurchase Program authorized by our Board of Directors and publicly announced on November 21, 2024.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Stock Repurchase Program in “Part I, Item 2—Management’s Discussion and Analysis of Financial Condition and Results of Operations—Liquidity and Capital Resources— Share Repurchase Program.”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73" w:name="ITEM3DefaultsUponSeniorSecurities"/>
      <w:bookmarkStart w:id="1274" w:name="_659ff718_43cc_4c81_a17b_7b52c85f63f3"/>
      <w:bookmarkEnd w:id="1273"/>
      <w:bookmarkEnd w:id="1274"/>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75" w:name="Item4MineSafetyDisclosures"/>
      <w:bookmarkStart w:id="1276" w:name="_3cdcb203_7374_4a61_8455_83c6e780aeca"/>
      <w:bookmarkEnd w:id="1275"/>
      <w:bookmarkEnd w:id="1276"/>
      <w:r>
        <w:rPr>
          <w:rFonts w:ascii="Times New Roman;Times;serif" w:hAnsi="Times New Roman;Times;serif"/>
          <w:b/>
          <w:sz w:val="20"/>
        </w:rPr>
        <w:t>Item 4. Mine Safety Disclosures</w:t>
      </w:r>
    </w:p>
    <w:p>
      <w:pPr>
        <w:pStyle w:val="TextBody"/>
        <w:bidi w:val="0"/>
        <w:spacing w:before="0" w:after="240"/>
        <w:ind w:left="0" w:right="0" w:hanging="0"/>
        <w:jc w:val="left"/>
        <w:rPr/>
      </w:pPr>
      <w:bookmarkStart w:id="1277" w:name="Item_4_Mine_Safety"/>
      <w:bookmarkEnd w:id="1277"/>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78" w:name="Item5OtherInformation"/>
      <w:bookmarkStart w:id="1279" w:name="_2b645ad4_0667_4b7a_a70c_4d9ee0851ebe"/>
      <w:bookmarkEnd w:id="1278"/>
      <w:bookmarkEnd w:id="1279"/>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none of the Company’s directors or executive officers adopted, terminated or modified a “Rule 10b5-1 trading arrangement” or a “non-Rule 10b5-1 trading arrangement” as such terms are defined in Item 408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80" w:name="Item6Exhibits_457436"/>
      <w:bookmarkStart w:id="1281" w:name="_6426bd5d_36ec_485e_a7ee_03901e2e7632"/>
      <w:bookmarkEnd w:id="1280"/>
      <w:bookmarkEnd w:id="128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45"/>
        <w:gridCol w:w="9160"/>
      </w:tblGrid>
      <w:tr>
        <w:trPr/>
        <w:tc>
          <w:tcPr>
            <w:tcW w:w="1045" w:type="dxa"/>
            <w:tcBorders/>
            <w:vAlign w:val="center"/>
          </w:tcPr>
          <w:p>
            <w:pPr>
              <w:pStyle w:val="TableContents"/>
              <w:bidi w:val="0"/>
              <w:spacing w:before="0" w:after="283"/>
              <w:ind w:left="0" w:right="0" w:hanging="0"/>
              <w:jc w:val="left"/>
              <w:rPr>
                <w:sz w:val="4"/>
                <w:szCs w:val="4"/>
              </w:rPr>
            </w:pPr>
            <w:r>
              <w:rPr>
                <w:sz w:val="4"/>
                <w:szCs w:val="4"/>
              </w:rPr>
            </w:r>
          </w:p>
        </w:tc>
        <w:tc>
          <w:tcPr>
            <w:tcW w:w="9160" w:type="dxa"/>
            <w:tcBorders/>
            <w:vAlign w:val="center"/>
          </w:tcPr>
          <w:p>
            <w:pPr>
              <w:pStyle w:val="TableContents"/>
              <w:bidi w:val="0"/>
              <w:spacing w:before="0" w:after="283"/>
              <w:ind w:left="0" w:right="0" w:hanging="0"/>
              <w:jc w:val="left"/>
              <w:rPr>
                <w:sz w:val="4"/>
                <w:szCs w:val="4"/>
              </w:rPr>
            </w:pPr>
            <w:r>
              <w:rPr>
                <w:sz w:val="4"/>
                <w:szCs w:val="4"/>
              </w:rPr>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6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6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the registrant was filed as Exhibit 3.1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6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the registrant, effective January 25, 2023, was filed as Exhibit 3.1 to the registrant’s Current Report on Form 8-K filed on January 27, 2023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60" w:type="dxa"/>
            <w:tcBorders/>
            <w:vAlign w:val="center"/>
          </w:tcPr>
          <w:p>
            <w:pPr>
              <w:pStyle w:val="TableContents"/>
              <w:bidi w:val="0"/>
              <w:spacing w:before="0" w:after="0"/>
              <w:ind w:left="0" w:right="0" w:hanging="0"/>
              <w:jc w:val="left"/>
              <w:rPr/>
            </w:pPr>
            <w:hyperlink w:anchor="kd-20250630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60" w:type="dxa"/>
            <w:tcBorders/>
            <w:vAlign w:val="center"/>
          </w:tcPr>
          <w:p>
            <w:pPr>
              <w:pStyle w:val="TableContents"/>
              <w:bidi w:val="0"/>
              <w:spacing w:before="0" w:after="0"/>
              <w:ind w:left="0" w:right="0" w:hanging="0"/>
              <w:jc w:val="left"/>
              <w:rPr/>
            </w:pPr>
            <w:hyperlink w:anchor="kd-20250630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60" w:type="dxa"/>
            <w:tcBorders/>
            <w:vAlign w:val="center"/>
          </w:tcPr>
          <w:p>
            <w:pPr>
              <w:pStyle w:val="TableContents"/>
              <w:bidi w:val="0"/>
              <w:spacing w:before="0" w:after="0"/>
              <w:ind w:left="0" w:right="0" w:hanging="0"/>
              <w:jc w:val="left"/>
              <w:rPr/>
            </w:pPr>
            <w:hyperlink w:anchor="kd-20250630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60" w:type="dxa"/>
            <w:tcBorders/>
            <w:vAlign w:val="center"/>
          </w:tcPr>
          <w:p>
            <w:pPr>
              <w:pStyle w:val="TableContents"/>
              <w:bidi w:val="0"/>
              <w:spacing w:before="0" w:after="0"/>
              <w:ind w:left="0" w:right="0" w:hanging="0"/>
              <w:jc w:val="left"/>
              <w:rPr/>
            </w:pPr>
            <w:hyperlink w:anchor="kd-20250630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82" w:name="_365d1930_8e9c_4ebe_b382_cef997fa208e"/>
      <w:bookmarkEnd w:id="1282"/>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23" w:type="dxa"/>
        <w:jc w:val="left"/>
        <w:tblInd w:w="0" w:type="dxa"/>
        <w:tblLayout w:type="fixed"/>
        <w:tblCellMar>
          <w:top w:w="0" w:type="dxa"/>
          <w:left w:w="0" w:type="dxa"/>
          <w:bottom w:w="0" w:type="dxa"/>
          <w:right w:w="0" w:type="dxa"/>
        </w:tblCellMar>
      </w:tblPr>
      <w:tblGrid>
        <w:gridCol w:w="601"/>
        <w:gridCol w:w="1351"/>
        <w:gridCol w:w="109"/>
        <w:gridCol w:w="406"/>
        <w:gridCol w:w="4756"/>
      </w:tblGrid>
      <w:tr>
        <w:trP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35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5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2025</w:t>
            </w:r>
          </w:p>
        </w:tc>
        <w:tc>
          <w:tcPr>
            <w:tcW w:w="109" w:type="dxa"/>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Vineet Khurana</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283"/>
              <w:ind w:left="0" w:right="0" w:hanging="0"/>
              <w:jc w:val="left"/>
              <w:rPr>
                <w:sz w:val="4"/>
                <w:szCs w:val="4"/>
              </w:rPr>
            </w:pPr>
            <w:r>
              <w:rPr>
                <w:sz w:val="4"/>
                <w:szCs w:val="4"/>
              </w:rPr>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Vineet Khurana</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Global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 and Authorized Signatory)</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right"/>
        <w:rPr>
          <w:rFonts w:ascii="Times New Roman;Times;serif" w:hAnsi="Times New Roman;Times;serif"/>
          <w:b/>
          <w:sz w:val="20"/>
        </w:rPr>
      </w:pPr>
      <w:bookmarkStart w:id="1283" w:name="kd-20250630xex31d1.htm"/>
      <w:bookmarkStart w:id="1284" w:name="kskd20250630xex31d1"/>
      <w:bookmarkEnd w:id="1283"/>
      <w:bookmarkEnd w:id="1284"/>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285" w:name="kd-20250630xex31d2.htm"/>
      <w:bookmarkStart w:id="1286" w:name="kskd20250630xex31d2"/>
      <w:bookmarkEnd w:id="1285"/>
      <w:bookmarkEnd w:id="1286"/>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B. Wyshner,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p>
      <w:pPr>
        <w:pStyle w:val="TextBody"/>
        <w:bidi w:val="0"/>
        <w:spacing w:before="0" w:after="0"/>
        <w:ind w:left="0" w:right="0" w:hanging="0"/>
        <w:jc w:val="left"/>
        <w:rPr/>
      </w:pPr>
      <w:r>
        <w:rPr/>
        <w:t>​</w:t>
      </w:r>
    </w:p>
    <w:tbl>
      <w:tblPr>
        <w:tblW w:w="2687" w:type="dxa"/>
        <w:jc w:val="left"/>
        <w:tblInd w:w="0" w:type="dxa"/>
        <w:tblLayout w:type="fixed"/>
        <w:tblCellMar>
          <w:top w:w="0" w:type="dxa"/>
          <w:left w:w="0" w:type="dxa"/>
          <w:bottom w:w="0" w:type="dxa"/>
          <w:right w:w="0" w:type="dxa"/>
        </w:tblCellMar>
      </w:tblPr>
      <w:tblGrid>
        <w:gridCol w:w="271"/>
        <w:gridCol w:w="241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416"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87" w:name="kd-20250630xex32d1.htm"/>
      <w:bookmarkStart w:id="1288" w:name="kskd20250630xex32d1"/>
      <w:bookmarkEnd w:id="1287"/>
      <w:bookmarkEnd w:id="1288"/>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June 30, 2025,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89" w:name="kd-20250630xex32d2.htm"/>
      <w:bookmarkStart w:id="1290" w:name="kskd20250630xex32d2"/>
      <w:bookmarkEnd w:id="1289"/>
      <w:bookmarkEnd w:id="1290"/>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June 30, 2025,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16069</Words>
  <Characters>88610</Characters>
  <CharactersWithSpaces>105931</CharactersWithSpaces>
  <Paragraphs>5701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