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754380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6" w:lineRule="exact"/>
        <w:rPr>
          <w:sz w:val="24"/>
          <w:szCs w:val="24"/>
          <w:color w:val="auto"/>
        </w:rPr>
      </w:pPr>
    </w:p>
    <w:p>
      <w:pPr>
        <w:ind w:left="2120" w:hanging="210"/>
        <w:spacing w:after="0"/>
        <w:tabs>
          <w:tab w:leader="none" w:pos="2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15" w:lineRule="exact"/>
        <w:rPr>
          <w:rFonts w:ascii="MS PGothic" w:cs="MS PGothic" w:eastAsia="MS PGothic" w:hAnsi="MS PGothic"/>
          <w:sz w:val="18"/>
          <w:szCs w:val="18"/>
          <w:color w:val="auto"/>
        </w:rPr>
      </w:pPr>
    </w:p>
    <w:p>
      <w:pPr>
        <w:ind w:left="2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OF THE SECURITIES EXCHANGE ACT OF 1934</w:t>
      </w:r>
    </w:p>
    <w:p>
      <w:pPr>
        <w:spacing w:after="0" w:line="200" w:lineRule="exact"/>
        <w:rPr>
          <w:sz w:val="24"/>
          <w:szCs w:val="24"/>
          <w:color w:val="auto"/>
        </w:rPr>
      </w:pPr>
    </w:p>
    <w:p>
      <w:pPr>
        <w:spacing w:after="0" w:line="217" w:lineRule="exact"/>
        <w:rPr>
          <w:sz w:val="24"/>
          <w:szCs w:val="24"/>
          <w:color w:val="auto"/>
        </w:rPr>
      </w:pPr>
    </w:p>
    <w:p>
      <w:pPr>
        <w:ind w:left="2100" w:hanging="195"/>
        <w:spacing w:after="0"/>
        <w:tabs>
          <w:tab w:leader="none" w:pos="21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001-40853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4" w:lineRule="exact"/>
        <w:rPr>
          <w:sz w:val="24"/>
          <w:szCs w:val="24"/>
          <w:color w:val="auto"/>
        </w:rPr>
      </w:pPr>
    </w:p>
    <w:tbl>
      <w:tblPr>
        <w:tblLayout w:type="fixed"/>
        <w:tblInd w:w="300" w:type="dxa"/>
        <w:tblCellMar>
          <w:top w:w="0" w:type="dxa"/>
          <w:left w:w="0" w:type="dxa"/>
          <w:bottom w:w="0" w:type="dxa"/>
          <w:right w:w="0" w:type="dxa"/>
        </w:tblCellMar>
      </w:tblP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86-1185492</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416"/>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9"/>
              </w:rPr>
              <w:t>One Vanderbilt Avenue, 15th Floor</w:t>
            </w:r>
          </w:p>
        </w:tc>
        <w:tc>
          <w:tcPr>
            <w:tcW w:w="3140" w:type="dxa"/>
            <w:vAlign w:val="bottom"/>
          </w:tcPr>
          <w:p>
            <w:pPr>
              <w:spacing w:after="0"/>
              <w:rPr>
                <w:sz w:val="24"/>
                <w:szCs w:val="24"/>
                <w:color w:val="auto"/>
              </w:rPr>
            </w:pPr>
          </w:p>
        </w:tc>
      </w:tr>
      <w:tr>
        <w:trPr>
          <w:trHeight w:val="224"/>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40" w:type="dxa"/>
            <w:vAlign w:val="bottom"/>
          </w:tcPr>
          <w:p>
            <w:pPr>
              <w:jc w:val="right"/>
              <w:ind w:right="915"/>
              <w:spacing w:after="0"/>
              <w:rPr>
                <w:sz w:val="20"/>
                <w:szCs w:val="20"/>
                <w:color w:val="auto"/>
              </w:rPr>
            </w:pPr>
            <w:r>
              <w:rPr>
                <w:rFonts w:ascii="Times New Roman" w:cs="Times New Roman" w:eastAsia="Times New Roman" w:hAnsi="Times New Roman"/>
                <w:sz w:val="18"/>
                <w:szCs w:val="18"/>
                <w:b w:val="1"/>
                <w:bCs w:val="1"/>
                <w:color w:val="auto"/>
              </w:rPr>
              <w:t>10017</w:t>
            </w:r>
          </w:p>
        </w:tc>
      </w:tr>
      <w:tr>
        <w:trPr>
          <w:trHeight w:val="210"/>
        </w:trPr>
        <w:tc>
          <w:tcPr>
            <w:tcW w:w="4560" w:type="dxa"/>
            <w:vAlign w:val="bottom"/>
          </w:tcPr>
          <w:p>
            <w:pPr>
              <w:jc w:val="center"/>
              <w:ind w:right="61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140" w:type="dxa"/>
            <w:vAlign w:val="bottom"/>
          </w:tcPr>
          <w:p>
            <w:pPr>
              <w:jc w:val="center"/>
              <w:ind w:left="595"/>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212-896-2098</w:t>
      </w:r>
    </w:p>
    <w:p>
      <w:pPr>
        <w:spacing w:after="0" w:line="31"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2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3020" w:type="dxa"/>
            <w:vAlign w:val="bottom"/>
            <w:gridSpan w:val="3"/>
            <w:vMerge w:val="continue"/>
          </w:tcPr>
          <w:p>
            <w:pPr>
              <w:spacing w:after="0"/>
              <w:rPr>
                <w:sz w:val="16"/>
                <w:szCs w:val="16"/>
                <w:color w:val="auto"/>
              </w:rPr>
            </w:pPr>
          </w:p>
        </w:tc>
        <w:tc>
          <w:tcPr>
            <w:tcW w:w="3040" w:type="dxa"/>
            <w:vAlign w:val="bottom"/>
            <w:gridSpan w:val="2"/>
            <w:vMerge w:val="continue"/>
          </w:tcPr>
          <w:p>
            <w:pPr>
              <w:spacing w:after="0"/>
              <w:rPr>
                <w:sz w:val="16"/>
                <w:szCs w:val="16"/>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60" w:type="dxa"/>
            <w:vAlign w:val="bottom"/>
          </w:tcPr>
          <w:p>
            <w:pPr>
              <w:spacing w:after="0"/>
              <w:rPr>
                <w:sz w:val="18"/>
                <w:szCs w:val="18"/>
                <w:color w:val="auto"/>
              </w:rPr>
            </w:pPr>
          </w:p>
        </w:tc>
        <w:tc>
          <w:tcPr>
            <w:tcW w:w="2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w:t>
            </w:r>
          </w:p>
        </w:tc>
        <w:tc>
          <w:tcPr>
            <w:tcW w:w="180" w:type="dxa"/>
            <w:vAlign w:val="bottom"/>
          </w:tcPr>
          <w:p>
            <w:pPr>
              <w:spacing w:after="0"/>
              <w:rPr>
                <w:sz w:val="18"/>
                <w:szCs w:val="18"/>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c>
          <w:tcPr>
            <w:tcW w:w="0" w:type="dxa"/>
            <w:vAlign w:val="bottom"/>
          </w:tcPr>
          <w:p>
            <w:pPr>
              <w:spacing w:after="0"/>
              <w:rPr>
                <w:sz w:val="1"/>
                <w:szCs w:val="1"/>
                <w:color w:val="auto"/>
              </w:rPr>
            </w:pPr>
          </w:p>
        </w:tc>
      </w:tr>
    </w:tbl>
    <w:p>
      <w:pPr>
        <w:spacing w:after="0" w:line="127" w:lineRule="exact"/>
        <w:rPr>
          <w:sz w:val="24"/>
          <w:szCs w:val="24"/>
          <w:color w:val="auto"/>
        </w:rPr>
      </w:pPr>
    </w:p>
    <w:p>
      <w:pPr>
        <w:ind w:left="60" w:right="179" w:firstLine="64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l3 or l5(d)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left="60" w:right="99" w:firstLine="64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222" w:lineRule="exact"/>
        <w:rPr>
          <w:sz w:val="24"/>
          <w:szCs w:val="24"/>
          <w:color w:val="auto"/>
        </w:rPr>
      </w:pPr>
    </w:p>
    <w:p>
      <w:pPr>
        <w:ind w:left="146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73" w:lineRule="exact"/>
        <w:rPr>
          <w:sz w:val="24"/>
          <w:szCs w:val="24"/>
          <w:color w:val="auto"/>
        </w:rPr>
      </w:pPr>
    </w:p>
    <w:p>
      <w:pPr>
        <w:ind w:left="150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jc w:val="center"/>
        <w:ind w:right="1319"/>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73"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30" w:lineRule="exact"/>
        <w:rPr>
          <w:sz w:val="24"/>
          <w:szCs w:val="24"/>
          <w:color w:val="auto"/>
        </w:rPr>
      </w:pPr>
    </w:p>
    <w:p>
      <w:pPr>
        <w:jc w:val="center"/>
        <w:ind w:right="131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34" w:lineRule="exact"/>
        <w:rPr>
          <w:sz w:val="24"/>
          <w:szCs w:val="24"/>
          <w:color w:val="auto"/>
        </w:rPr>
      </w:pPr>
    </w:p>
    <w:p>
      <w:pPr>
        <w:sectPr>
          <w:pgSz w:w="11900" w:h="16838" w:orient="portrait"/>
          <w:cols w:equalWidth="0" w:num="2">
            <w:col w:w="5040" w:space="720"/>
            <w:col w:w="3259"/>
          </w:cols>
          <w:pgMar w:left="1440" w:top="661" w:right="1440" w:bottom="1440" w:gutter="0" w:footer="0" w:header="0"/>
          <w:type w:val="continuous"/>
        </w:sectPr>
      </w:pPr>
    </w:p>
    <w:p>
      <w:pPr>
        <w:ind w:left="60" w:right="239" w:firstLine="648"/>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 w:right="1319" w:firstLine="648"/>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60" w:right="339" w:firstLine="648"/>
        <w:spacing w:after="0" w:line="275" w:lineRule="auto"/>
        <w:rPr>
          <w:sz w:val="20"/>
          <w:szCs w:val="20"/>
          <w:color w:val="auto"/>
        </w:rPr>
      </w:pPr>
      <w:r>
        <w:rPr>
          <w:rFonts w:ascii="Times New Roman" w:cs="Times New Roman" w:eastAsia="Times New Roman" w:hAnsi="Times New Roman"/>
          <w:sz w:val="16"/>
          <w:szCs w:val="16"/>
          <w:color w:val="auto"/>
        </w:rPr>
        <w:t>The number of shares of the registrant’s Common Stock, par value $0.01 per share, outstanding as of January 30, 2025 was 232,694,503.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466725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46990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89535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Index</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3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220" w:type="dxa"/>
            <w:vAlign w:val="bottom"/>
            <w:gridSpan w:val="12"/>
            <w:vMerge w:val="restart"/>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2360" w:type="dxa"/>
            <w:vAlign w:val="bottom"/>
            <w:tcBorders>
              <w:bottom w:val="single" w:sz="8" w:color="0000EE"/>
            </w:tcBorders>
            <w:gridSpan w:val="11"/>
            <w:vMerge w:val="continue"/>
          </w:tcPr>
          <w:p>
            <w:pPr>
              <w:spacing w:after="0"/>
              <w:rPr>
                <w:sz w:val="13"/>
                <w:szCs w:val="13"/>
                <w:color w:val="auto"/>
              </w:rPr>
            </w:pPr>
          </w:p>
        </w:tc>
        <w:tc>
          <w:tcPr>
            <w:tcW w:w="6220" w:type="dxa"/>
            <w:vAlign w:val="bottom"/>
            <w:gridSpan w:val="1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1. Consolidated Financial Statements (Unaudited):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Income Statement for the three and nine months ended December 31, 2024 and 2023</w:t>
            </w:r>
          </w:p>
        </w:tc>
        <w:tc>
          <w:tcPr>
            <w:tcW w:w="11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 of Comprehensive Income (Loss) for the three and nine months ended December 31,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2024 and 2023</w:t>
            </w:r>
          </w:p>
        </w:tc>
        <w:tc>
          <w:tcPr>
            <w:tcW w:w="6600" w:type="dxa"/>
            <w:vAlign w:val="bottom"/>
            <w:tcBorders>
              <w:top w:val="single" w:sz="8" w:color="0000EE"/>
            </w:tcBorders>
            <w:gridSpan w:val="15"/>
          </w:tcPr>
          <w:p>
            <w:pPr>
              <w:spacing w:after="0"/>
              <w:rPr>
                <w:sz w:val="17"/>
                <w:szCs w:val="17"/>
                <w:color w:val="auto"/>
              </w:rPr>
            </w:pPr>
          </w:p>
        </w:tc>
        <w:tc>
          <w:tcPr>
            <w:tcW w:w="38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Balance Sheet at December 31, 2024 and March 31, 2024</w:t>
            </w:r>
          </w:p>
        </w:tc>
        <w:tc>
          <w:tcPr>
            <w:tcW w:w="308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 of Cash Flows for the nine months ended December 31, 2024 and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Consolidated Statement of Equity for the three and nine months ended December 31, 2024 and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080" w:type="dxa"/>
            <w:vAlign w:val="bottom"/>
            <w:tcBorders>
              <w:top w:val="single" w:sz="8" w:color="0000EE"/>
            </w:tcBorders>
            <w:gridSpan w:val="6"/>
          </w:tcPr>
          <w:p>
            <w:pPr>
              <w:spacing w:after="0"/>
              <w:rPr>
                <w:sz w:val="24"/>
                <w:szCs w:val="24"/>
                <w:color w:val="auto"/>
              </w:rPr>
            </w:pPr>
          </w:p>
        </w:tc>
        <w:tc>
          <w:tcPr>
            <w:tcW w:w="10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2. Management’s Discussion and Analysis of Financial Condition and Results of Operations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300" w:type="dxa"/>
            <w:vAlign w:val="bottom"/>
            <w:tcBorders>
              <w:bottom w:val="single" w:sz="8" w:color="0000EE"/>
            </w:tcBorders>
            <w:gridSpan w:val="15"/>
          </w:tcPr>
          <w:p>
            <w:pPr>
              <w:ind w:left="60"/>
              <w:spacing w:after="0"/>
              <w:rPr>
                <w:sz w:val="20"/>
                <w:szCs w:val="20"/>
                <w:color w:val="auto"/>
              </w:rPr>
            </w:pPr>
            <w:r>
              <w:rPr>
                <w:rFonts w:ascii="Times New Roman" w:cs="Times New Roman" w:eastAsia="Times New Roman" w:hAnsi="Times New Roman"/>
                <w:sz w:val="18"/>
                <w:szCs w:val="18"/>
                <w:b w:val="1"/>
                <w:bCs w:val="1"/>
                <w:color w:val="0000EE"/>
                <w:w w:val="99"/>
              </w:rPr>
              <w:t>Item 3. Quantitative and Qualitative Disclosures About Market Risk</w:t>
            </w:r>
          </w:p>
        </w:tc>
        <w:tc>
          <w:tcPr>
            <w:tcW w:w="316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4. Controls and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Part II - Other Information:</w:t>
            </w:r>
          </w:p>
        </w:tc>
        <w:tc>
          <w:tcPr>
            <w:tcW w:w="6400" w:type="dxa"/>
            <w:vAlign w:val="bottom"/>
            <w:gridSpan w:val="14"/>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b w:val="1"/>
                <w:bCs w:val="1"/>
                <w:color w:val="0000EE"/>
                <w:w w:val="98"/>
              </w:rPr>
              <w:t>Item 1. Legal Proceedings</w:t>
            </w:r>
          </w:p>
        </w:tc>
        <w:tc>
          <w:tcPr>
            <w:tcW w:w="642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8"/>
              </w:rPr>
              <w:t>Item 1A. Risk Factors</w:t>
            </w:r>
          </w:p>
        </w:tc>
        <w:tc>
          <w:tcPr>
            <w:tcW w:w="67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Item 2. Unregistered Sales of Equity Securities, Use of Proceeds, and Issuer Purchases of Equity Securities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2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9"/>
              </w:rPr>
              <w:t>Item 3. Defaults Upon Senior Securities</w:t>
            </w:r>
          </w:p>
        </w:tc>
        <w:tc>
          <w:tcPr>
            <w:tcW w:w="5100" w:type="dxa"/>
            <w:vAlign w:val="bottom"/>
            <w:tcBorders>
              <w:top w:val="single" w:sz="8" w:color="0000EE"/>
            </w:tcBorders>
            <w:gridSpan w:val="9"/>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Item 4. Mine Safety Disclosures</w:t>
            </w:r>
          </w:p>
        </w:tc>
        <w:tc>
          <w:tcPr>
            <w:tcW w:w="592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Item 5. Other Information</w:t>
            </w:r>
          </w:p>
        </w:tc>
        <w:tc>
          <w:tcPr>
            <w:tcW w:w="63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Item 6. Exhibits</w:t>
            </w:r>
          </w:p>
        </w:tc>
        <w:tc>
          <w:tcPr>
            <w:tcW w:w="718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INCOME STATEMENT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4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4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4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5"/>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6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9"/>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tax</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194"/>
        </w:trPr>
        <w:tc>
          <w:tcPr>
            <w:tcW w:w="46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tax (expense) benefit related to items of other</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8"/>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0"/>
        </w:trPr>
        <w:tc>
          <w:tcPr>
            <w:tcW w:w="4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(In millions, except per share amount)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48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$13 at December 31, 2024 and</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$22 at March 31, 2024)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costs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529</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4,297</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right-of-use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costs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taxes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Pension assets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2"/>
        </w:trPr>
        <w:tc>
          <w:tcPr>
            <w:tcW w:w="5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Pr>
          <w:p>
            <w:pPr>
              <w:spacing w:after="0"/>
              <w:rPr>
                <w:sz w:val="15"/>
                <w:szCs w:val="15"/>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9,925</w:t>
            </w:r>
          </w:p>
        </w:tc>
        <w:tc>
          <w:tcPr>
            <w:tcW w:w="260" w:type="dxa"/>
            <w:vAlign w:val="bottom"/>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1,147</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Value-added tax and income tax liabilities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compensation and benefits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contract costs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accrued expenses and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2"/>
                <w:szCs w:val="12"/>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3,935</w:t>
            </w:r>
          </w:p>
        </w:tc>
        <w:tc>
          <w:tcPr>
            <w:tcW w:w="260" w:type="dxa"/>
            <w:vAlign w:val="bottom"/>
          </w:tcPr>
          <w:p>
            <w:pPr>
              <w:spacing w:after="0"/>
              <w:rPr>
                <w:sz w:val="12"/>
                <w:szCs w:val="12"/>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420" w:type="dxa"/>
            <w:vAlign w:val="bottom"/>
            <w:gridSpan w:val="2"/>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3,072</w:t>
            </w:r>
          </w:p>
        </w:tc>
        <w:tc>
          <w:tcPr>
            <w:tcW w:w="4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Retirement and nonpension postretirement benefit obligations</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(noncurrent portion)</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Operating lease liabilities (noncurrent portion)</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8,721</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5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48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par value $0.01 per share, and additional paid-in capital</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(shares authorized: 1,000.0; shares issued: December 31, 2024 – 237.2, March 31, 2024 –</w:t>
            </w:r>
          </w:p>
        </w:tc>
        <w:tc>
          <w:tcPr>
            <w:tcW w:w="420" w:type="dxa"/>
            <w:vAlign w:val="bottom"/>
            <w:gridSpan w:val="2"/>
            <w:vMerge w:val="restart"/>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480" w:type="dxa"/>
            <w:vAlign w:val="bottom"/>
            <w:gridSpan w:val="2"/>
            <w:vMerge w:val="restart"/>
          </w:tcPr>
          <w:p>
            <w:pPr>
              <w:jc w:val="right"/>
              <w:ind w:right="103"/>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4,524</w:t>
            </w:r>
          </w:p>
        </w:tc>
        <w:tc>
          <w:tcPr>
            <w:tcW w:w="0" w:type="dxa"/>
            <w:vAlign w:val="bottom"/>
          </w:tcPr>
          <w:p>
            <w:pPr>
              <w:spacing w:after="0"/>
              <w:rPr>
                <w:sz w:val="1"/>
                <w:szCs w:val="1"/>
                <w:color w:val="auto"/>
              </w:rPr>
            </w:pPr>
          </w:p>
        </w:tc>
      </w:tr>
      <w:tr>
        <w:trPr>
          <w:trHeight w:val="171"/>
        </w:trPr>
        <w:tc>
          <w:tcPr>
            <w:tcW w:w="55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233.7)</w:t>
            </w:r>
          </w:p>
        </w:tc>
        <w:tc>
          <w:tcPr>
            <w:tcW w:w="42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Treasury stock, at cost (shares: December 31, 2024 – 5.4, March 31, 2024 – 3.3)</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stockholders’ equity before non-controlling interests</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1,094</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2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w:t>
            </w:r>
          </w:p>
        </w:tc>
        <w:tc>
          <w:tcPr>
            <w:tcW w:w="2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9,925</w:t>
            </w:r>
          </w:p>
        </w:tc>
        <w:tc>
          <w:tcPr>
            <w:tcW w:w="2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jc w:val="center"/>
        <w:spacing w:after="0" w:line="224" w:lineRule="auto"/>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Depreciation of property, equipment and capitalized software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transition costs and prepaid software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(gain) loss on asset sales and other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costs (excluding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Right-of-use assets and liabilities (excluding depreciation)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Workforce rebalancing liabilities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Other assets and other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Proceeds from disposition of property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Acquisitions and divestitures, net of cash acquired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investing activities, net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Debt repayments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Common stock repurchases for tax withholdings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8"/>
                <w:szCs w:val="18"/>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 net of refunds received</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on debt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EQUITY</w:t>
      </w:r>
    </w:p>
    <w:p>
      <w:pPr>
        <w:ind w:left="4120"/>
        <w:spacing w:after="0" w:line="224" w:lineRule="auto"/>
        <w:rPr>
          <w:sz w:val="20"/>
          <w:szCs w:val="20"/>
          <w:color w:val="auto"/>
        </w:rPr>
      </w:pPr>
      <w:r>
        <w:rPr>
          <w:rFonts w:ascii="Times New Roman" w:cs="Times New Roman" w:eastAsia="Times New Roman" w:hAnsi="Times New Roman"/>
          <w:sz w:val="14"/>
          <w:szCs w:val="14"/>
          <w:b w:val="1"/>
          <w:bCs w:val="1"/>
          <w:color w:val="auto"/>
        </w:rPr>
        <w:t>(In millions)</w:t>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October 1, 2024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2024</w:t>
            </w:r>
          </w:p>
        </w:tc>
        <w:tc>
          <w:tcPr>
            <w:tcW w:w="10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231.8</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4,607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(2,136)</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October 1, 2023</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4,476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2023</w:t>
            </w:r>
          </w:p>
        </w:tc>
        <w:tc>
          <w:tcPr>
            <w:tcW w:w="10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4,501</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(995)</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4,524</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00" w:type="dxa"/>
            <w:vAlign w:val="bottom"/>
            <w:gridSpan w:val="4"/>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w w:val="84"/>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00" w:type="dxa"/>
            <w:vAlign w:val="bottom"/>
            <w:gridSpan w:val="4"/>
          </w:tcPr>
          <w:p>
            <w:pPr>
              <w:ind w:left="20"/>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0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bottom w:val="single" w:sz="8" w:color="CCEEFF"/>
            </w:tcBorders>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Borders>
              <w:bottom w:val="single" w:sz="8" w:color="CCEEFF"/>
            </w:tcBorders>
            <w:gridSpan w:val="4"/>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2024</w:t>
            </w:r>
          </w:p>
        </w:tc>
        <w:tc>
          <w:tcPr>
            <w:tcW w:w="10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231.8</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4,607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(107)</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(2,136)</w:t>
            </w: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8"/>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0" w:type="dxa"/>
            <w:vAlign w:val="bottom"/>
          </w:tcPr>
          <w:p>
            <w:pPr>
              <w:spacing w:after="0"/>
              <w:rPr>
                <w:sz w:val="12"/>
                <w:szCs w:val="12"/>
                <w:color w:val="auto"/>
              </w:rPr>
            </w:pPr>
          </w:p>
        </w:tc>
        <w:tc>
          <w:tcPr>
            <w:tcW w:w="108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3"/>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April 1, 2023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227.7</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4,428</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(1,062)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(1,978)</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1,462</w:t>
            </w: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comprehensive income (loss),</w:t>
            </w:r>
          </w:p>
        </w:tc>
        <w:tc>
          <w:tcPr>
            <w:tcW w:w="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of tax</w:t>
            </w:r>
          </w:p>
        </w:tc>
        <w:tc>
          <w:tcPr>
            <w:tcW w:w="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8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Activity related to employee stock</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treasury stock</w:t>
            </w:r>
          </w:p>
        </w:tc>
        <w:tc>
          <w:tcPr>
            <w:tcW w:w="10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bottom w:val="single" w:sz="8" w:color="CCEEFF"/>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Changes in non-controlling interests</w:t>
            </w:r>
          </w:p>
        </w:tc>
        <w:tc>
          <w:tcPr>
            <w:tcW w:w="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bottom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Equity – December 31, 2023</w:t>
            </w:r>
          </w:p>
        </w:tc>
        <w:tc>
          <w:tcPr>
            <w:tcW w:w="2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230.0</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4,501</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(995)</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(2,274)</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1,293</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02"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Kyndryl Holdings, Inc. (“we”, “the Company” or “Kyndryl”) is a leading technology services company and the largest IT infrastructure services provider in the world, serving thousands of enterprise customers whose operations span over 100 countries. Prior to November 3, 2021, the Company was wholly owned by International Business Machines Corporation (“IBM” or “former Parent”).</w:t>
      </w:r>
    </w:p>
    <w:p>
      <w:pPr>
        <w:spacing w:after="0" w:line="180" w:lineRule="exact"/>
        <w:rPr>
          <w:sz w:val="20"/>
          <w:szCs w:val="20"/>
          <w:color w:val="auto"/>
        </w:rPr>
      </w:pPr>
    </w:p>
    <w:p>
      <w:pPr>
        <w:ind w:left="60" w:right="419" w:firstLine="648"/>
        <w:spacing w:after="0" w:line="289" w:lineRule="auto"/>
        <w:rPr>
          <w:sz w:val="20"/>
          <w:szCs w:val="20"/>
          <w:color w:val="auto"/>
        </w:rPr>
      </w:pPr>
      <w:r>
        <w:rPr>
          <w:rFonts w:ascii="Times New Roman" w:cs="Times New Roman" w:eastAsia="Times New Roman" w:hAnsi="Times New Roman"/>
          <w:sz w:val="17"/>
          <w:szCs w:val="17"/>
          <w:color w:val="auto"/>
        </w:rPr>
        <w:t>In November 2021, our former Parent effected the spin-off (the “Separation” or the “Spin-off”) of the infrastructure services unit of its Global Technology Services segment through the distribution of shares of Kyndryl’s common stock to IBM stockholders. Kyndryl’s stock began trading as an independent company on November 4, 2021.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and footnotes have been prepared in accordance with accounting principles generally accepted in the United States of America (“U.S. GAAP”). Management believes the accompanying financial statements include all adjustments necessary to present fairly the Company’s financial position and its results of operations for all the periods presented. The information included in this Form 10-Q should be read in conjunction with the Company’s Annual Report on Form 10-K for the fiscal year ended March 31, 2024.</w:t>
      </w:r>
    </w:p>
    <w:p>
      <w:pPr>
        <w:spacing w:after="0" w:line="183"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are presented on a consolidated basis. All significant transactions and intercompany accounts between Kyndryl entities were eliminated.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2" w:lineRule="exact"/>
        <w:rPr>
          <w:sz w:val="20"/>
          <w:szCs w:val="20"/>
          <w:color w:val="auto"/>
        </w:rPr>
      </w:pPr>
    </w:p>
    <w:p>
      <w:pPr>
        <w:ind w:left="60" w:right="239"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amounts that are reported in the consolidated financial statements and accompanying disclosures. Estimates are used in determining the following, among others: revenue, costs to complete service contracts, income taxes, pension assumptions, valuation of assets including goodwill and intangible assets, the depreciable and amortizable lives of long-lived assets, loss contingencies, allowance for credit losses and deferred transition costs. Future results may be different from these estimates.</w:t>
      </w:r>
    </w:p>
    <w:p>
      <w:pPr>
        <w:spacing w:after="0" w:line="187" w:lineRule="exact"/>
        <w:rPr>
          <w:sz w:val="20"/>
          <w:szCs w:val="20"/>
          <w:color w:val="auto"/>
        </w:rPr>
      </w:pPr>
    </w:p>
    <w:p>
      <w:pPr>
        <w:jc w:val="both"/>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The Company uses the estimated annual effective tax rate method in computing its interim tax provision in accordance with U.S. GAAP. The estimated annual effective tax rate is applied to the year-to-date ordinary income, exclusive of discrete items, to arrive at the reported interim tax provision.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 in Accounting Estimate</w:t>
      </w:r>
    </w:p>
    <w:p>
      <w:pPr>
        <w:spacing w:after="0" w:line="189" w:lineRule="exact"/>
        <w:rPr>
          <w:sz w:val="20"/>
          <w:szCs w:val="20"/>
          <w:color w:val="auto"/>
        </w:rPr>
      </w:pPr>
    </w:p>
    <w:p>
      <w:pPr>
        <w:ind w:left="60" w:right="239" w:firstLine="648"/>
        <w:spacing w:after="0" w:line="255" w:lineRule="auto"/>
        <w:rPr>
          <w:sz w:val="20"/>
          <w:szCs w:val="20"/>
          <w:color w:val="auto"/>
        </w:rPr>
      </w:pPr>
      <w:r>
        <w:rPr>
          <w:rFonts w:ascii="Times New Roman" w:cs="Times New Roman" w:eastAsia="Times New Roman" w:hAnsi="Times New Roman"/>
          <w:sz w:val="18"/>
          <w:szCs w:val="18"/>
          <w:color w:val="auto"/>
        </w:rPr>
        <w:t>In March 2024, the Company completed its assessment of the useful lives of its information technology equipment. Based on our usage experience and data analysis, the Company determined it should increase the estimated useful lives of its information technology equipment from five to six years. This change in accounting estimate became effective on April 1, 2024. Based on the carrying amount of information technology equipment included in property and equipment, net as of March 31, 2024, the effect of this change in estimate was a reduction in depreciation expense and an improvement of income before income taxes of approximately $40 million, or $0.18 before income taxes per basic and diluted share, for the three months ended December 31, 2024 and approximately $150 million, or $0.67 before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income taxes per basic share and $0.65 before income taxes per diluted share for the nine months ended December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ACCOUNTING PRONOUNCEMENTS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Pronouncements</w:t>
      </w:r>
    </w:p>
    <w:p>
      <w:pPr>
        <w:spacing w:after="0" w:line="229"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which is intended to improve reportable segment disclosures, primarily through enhanced disclosures about significant segment expenses. The guidance should be applied retrospectively, effective for fiscal years beginning after December 15, 2023 and interim periods within fiscal years beginning after December 15, 2024, with early adoption permitted. The Company is currently evaluating the impact of this guidance on the disclosures in its consolidated financial statements.</w:t>
      </w:r>
    </w:p>
    <w:p>
      <w:pPr>
        <w:spacing w:after="0" w:line="185"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which is intended to enhance the transparency and usefulness of income tax disclosures through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related to the rate reconciliation and income taxes paid. The guidance is effective for annual periods beginning after December 15, 2024, with early adoption permitted. The Company is currently evaluating the impact of this guidance on the disclosures in its consolidated financial statements.</w:t>
      </w:r>
    </w:p>
    <w:p>
      <w:pPr>
        <w:spacing w:after="0" w:line="183"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is intended to improve the usefulness of expense information contained in public entity income statements through the disaggregation of relevant expense captions in the notes to the financial statements. The guidance should be applied prospectively, effective for fiscal years beginning after December 15, 2026 and interim periods within fiscal years beginning after December 15, 2027, with early adoption permitted. The Company is currently evaluating the impact of this guidance on the disclosures in its consolidated financial statements.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views its segment results to be the best view of disaggregated revenue. Refer to Note 4 – Segments.</w:t>
      </w:r>
    </w:p>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remaining performance obligation (“RPO”) represents the aggregate amount of contractual deliverables yet to be recognized as revenue at the end of the reporting period. It is intended to be a statement of overall work under contract that has not yet been performed and does not include contracts for which the customer is not committed. The customer is not considered committed when it is able to terminate for convenience without payment of a substantive penalty. The RPO also includes estimates of variable consideration. RPO estimates are subject to change and are affected by several factors, including terminations, changes in the scope of contracts, periodic revalidations, adjustments for revenue that has not materialized and adjustments for currency.</w:t>
      </w:r>
    </w:p>
    <w:p>
      <w:pPr>
        <w:spacing w:after="0" w:line="189"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2024, the aggregate amount of RPO related to customer contracts that are unsatisfied or partially unsatisfied was $32.4 billion. Approximately 57 percent of the amount is expected to be recognized as revenue in the next two years, approximately 37 percent in the subsequent three years, and the balance thereafter.</w:t>
      </w:r>
    </w:p>
    <w:p>
      <w:pPr>
        <w:spacing w:after="0" w:line="176" w:lineRule="exact"/>
        <w:rPr>
          <w:sz w:val="20"/>
          <w:szCs w:val="20"/>
          <w:color w:val="auto"/>
        </w:rPr>
      </w:pPr>
    </w:p>
    <w:p>
      <w:pPr>
        <w:jc w:val="both"/>
        <w:ind w:left="60" w:right="499"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December 31, 2024, revenue was increased by $22 million and $32 million, respectively, and during the three and nine months ended December 31, 2023, revenue was increased by $12 million and $24 million, respectively, for performance obligations satisfied (or partially satisfied) in previous periods, mainly due to changes in estimates on contracts with cost-to-cost measures of progress.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deferred income balances: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55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Accounts receivable (net of allowances for credit losses of $13 at December</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 and $22 at March 31, 2024) *</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 **</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(current)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(noncurrent)</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380" w:hanging="330"/>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unbilled receivable balances of $371 million at December 31, 2024 and $377 million at March 31, 2024.</w:t>
      </w:r>
    </w:p>
    <w:p>
      <w:pPr>
        <w:spacing w:after="0" w:line="4" w:lineRule="exact"/>
        <w:rPr>
          <w:sz w:val="20"/>
          <w:szCs w:val="20"/>
          <w:color w:val="auto"/>
        </w:rPr>
      </w:pPr>
    </w:p>
    <w:p>
      <w:pPr>
        <w:ind w:left="380" w:right="119" w:hanging="330"/>
        <w:spacing w:after="0" w:line="239"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assets represent goods or services delivered by the Company, which give the Company the right to consideration that is typically subject to milestone completion or client acceptance and are included within prepaid expenses and other current assets in the Consolidated Balance Sheet.</w:t>
      </w:r>
    </w:p>
    <w:p>
      <w:pPr>
        <w:spacing w:after="0" w:line="181" w:lineRule="exact"/>
        <w:rPr>
          <w:sz w:val="20"/>
          <w:szCs w:val="20"/>
          <w:color w:val="auto"/>
        </w:rPr>
      </w:pPr>
    </w:p>
    <w:p>
      <w:pPr>
        <w:ind w:left="60" w:right="159" w:firstLine="648"/>
        <w:spacing w:after="0" w:line="281" w:lineRule="auto"/>
        <w:rPr>
          <w:sz w:val="20"/>
          <w:szCs w:val="20"/>
          <w:color w:val="auto"/>
        </w:rPr>
      </w:pPr>
      <w:r>
        <w:rPr>
          <w:rFonts w:ascii="Times New Roman" w:cs="Times New Roman" w:eastAsia="Times New Roman" w:hAnsi="Times New Roman"/>
          <w:sz w:val="17"/>
          <w:szCs w:val="17"/>
          <w:color w:val="auto"/>
        </w:rPr>
        <w:t>The amount of revenue recognized during the three and nine months ended December 31, 2024 that was included within the deferred income balance at the beginning of the period was $338 million and $661 million, respectively. The amount of revenue recognized during the three and nine months ended December 31, 2023 that was included within the deferred income balance at the beginning of the period was $221 million and $501 million, respectively.</w:t>
      </w:r>
    </w:p>
    <w:p>
      <w:pPr>
        <w:spacing w:after="0" w:line="164"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roll-forwards of the accounts receivable allowance for expected credit losses for the nine months ended December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57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Additions (releases)</w:t>
            </w: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w:t>
            </w:r>
          </w:p>
        </w:tc>
        <w:tc>
          <w:tcPr>
            <w:tcW w:w="3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translation adjustments</w:t>
      </w:r>
      <w:r>
        <w:rPr>
          <w:rFonts w:ascii="Times New Roman" w:cs="Times New Roman" w:eastAsia="Times New Roman" w:hAnsi="Times New Roman"/>
          <w:sz w:val="12"/>
          <w:szCs w:val="12"/>
          <w:color w:val="auto"/>
        </w:rPr>
        <w:t>.</w:t>
      </w:r>
    </w:p>
    <w:p>
      <w:pPr>
        <w:spacing w:after="0" w:line="2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contract assets allowance for expected credit losses was not material in any of the periods presented.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Major Clients</w:t>
      </w:r>
    </w:p>
    <w:p>
      <w:pPr>
        <w:spacing w:after="0" w:line="229"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No single client represented more than 10 percent of the Company’s total revenue during the three and nine months ended December 31, 2024 and 2023. Other than receivables due from our former Parent, no single client represented more than 10 percent of the Company’s total accounts receivable balance as of December 31, 2024 or March 31,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229"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Costs to acquire and fulfill customer contracts are deferred and amortized over the contract period or expected customer relationship life. The expected customer relationship period is determined based on the average customer relationship period, including expected renewals, for each offering type and ranges from three to six years. For contracts with an estimated amortization period of less than one year, we elected the practical expedient to expense incremental costs immediately.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amounts of capitalized costs to acquire and fulfill customer contracts at December 31, 2024 and March 31, 2024:</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556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transition costs</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costs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costs to fulfill contracts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costs to obtain contracts</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costs *</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79" w:hanging="330"/>
        <w:spacing w:after="0" w:line="261" w:lineRule="auto"/>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total deferred costs, $889 million was current and $1,033 million was noncurrent at December 31, 2024, and $1,081 million was current and $920 million was noncurrent at March 31, 2024.</w:t>
      </w:r>
    </w:p>
    <w:p>
      <w:pPr>
        <w:spacing w:after="0" w:line="16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amount of total deferred costs amortized for the three months ended December 31, 2024 was $436 million, composed of $72 million of amortization of deferred transition costs, $255 million of amortization of prepaid software and $109 million of amortization of capitalized contract costs. The amount of total deferred costs amortized for the nine months ended December 31, 2024 was $1,288 million, composed of $219 million of amortization of deferred transition costs, $754 million of amortization of prepaid software and $314 million of amortization of capitalized contract costs. The amount of total deferred costs amortized for the three months ended December 31, 2023 was $452 million, composed of $87 million of amortization of deferred transition costs, $227 million of amortization of prepaid software and $138 million of amortization of capitalized contract costs. The amount of total deferred costs amortized for the nine months ended December 31, 2023 was $1,364 million, composed of $259 million of amortization of deferred transition costs, $686 million of amortization of prepaid software and $418 million of amortization of capitalized contract costs.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SEGMENTS</w:t>
      </w:r>
    </w:p>
    <w:p>
      <w:pPr>
        <w:spacing w:after="0" w:line="229"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Our reportable segments correspond to how the chief operating decision maker (“CODM”) reviews performance and allocates resources. Our four reportable segments consist of the following:</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United States: </w:t>
      </w:r>
      <w:r>
        <w:rPr>
          <w:rFonts w:ascii="Times New Roman" w:cs="Times New Roman" w:eastAsia="Times New Roman" w:hAnsi="Times New Roman"/>
          <w:sz w:val="18"/>
          <w:szCs w:val="18"/>
          <w:color w:val="auto"/>
        </w:rPr>
        <w:t>This reportable segment is comprised of Kyndryl’s operations in the United States.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Japan: </w:t>
      </w:r>
      <w:r>
        <w:rPr>
          <w:rFonts w:ascii="Times New Roman" w:cs="Times New Roman" w:eastAsia="Times New Roman" w:hAnsi="Times New Roman"/>
          <w:sz w:val="18"/>
          <w:szCs w:val="18"/>
          <w:color w:val="auto"/>
        </w:rPr>
        <w:t>This reportable segment is comprised of Kyndryl’s operations in Japan.</w:t>
      </w:r>
    </w:p>
    <w:p>
      <w:pPr>
        <w:spacing w:after="0" w:line="225" w:lineRule="exact"/>
        <w:rPr>
          <w:sz w:val="20"/>
          <w:szCs w:val="20"/>
          <w:color w:val="auto"/>
        </w:rPr>
      </w:pPr>
    </w:p>
    <w:p>
      <w:pPr>
        <w:ind w:left="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Markets: </w:t>
      </w:r>
      <w:r>
        <w:rPr>
          <w:rFonts w:ascii="Times New Roman" w:cs="Times New Roman" w:eastAsia="Times New Roman" w:hAnsi="Times New Roman"/>
          <w:sz w:val="18"/>
          <w:szCs w:val="18"/>
          <w:color w:val="auto"/>
        </w:rPr>
        <w:t>This reportable segment represents the aggregation of our operations in Canada, France,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Germany, India, Italy, Spain / Portugal, and the United Kingdom / Ireland.</w:t>
      </w:r>
    </w:p>
    <w:p>
      <w:pPr>
        <w:spacing w:after="0" w:line="1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 xml:space="preserve">Strategic Markets: </w:t>
      </w:r>
      <w:r>
        <w:rPr>
          <w:rFonts w:ascii="Times New Roman" w:cs="Times New Roman" w:eastAsia="Times New Roman" w:hAnsi="Times New Roman"/>
          <w:sz w:val="18"/>
          <w:szCs w:val="18"/>
          <w:color w:val="auto"/>
        </w:rPr>
        <w:t>This reportable segment is comprised of our operations in all other countries in which we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operate.</w:t>
      </w:r>
    </w:p>
    <w:p>
      <w:pPr>
        <w:spacing w:after="0" w:line="207"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The Company made a minor change to its geographic reportable segments effective June 1, 2024 to reflect how the Company manages its operations and measures business performance, transitioning the reporting and management of its operations in Australia/New Zealand from the Principal Markets segment to the Strategic Markets segment. All historical segment information has been recast to reflect this change.</w:t>
      </w:r>
    </w:p>
    <w:p>
      <w:pPr>
        <w:spacing w:after="0" w:line="180" w:lineRule="exact"/>
        <w:rPr>
          <w:sz w:val="20"/>
          <w:szCs w:val="20"/>
          <w:color w:val="auto"/>
        </w:rPr>
      </w:pPr>
    </w:p>
    <w:p>
      <w:pPr>
        <w:ind w:left="60" w:right="179" w:firstLine="648"/>
        <w:spacing w:after="0" w:line="256" w:lineRule="auto"/>
        <w:rPr>
          <w:sz w:val="20"/>
          <w:szCs w:val="20"/>
          <w:color w:val="auto"/>
        </w:rPr>
      </w:pPr>
      <w:r>
        <w:rPr>
          <w:rFonts w:ascii="Times New Roman" w:cs="Times New Roman" w:eastAsia="Times New Roman" w:hAnsi="Times New Roman"/>
          <w:sz w:val="18"/>
          <w:szCs w:val="18"/>
          <w:color w:val="auto"/>
        </w:rPr>
        <w:t>The measure of segment operating performance used by Kyndryl’s CODM is adjusted EBITDA. Adjusted EBITDA is defined as net income (loss) excluding income taxes, interest expense, depreciation and amortization (excluding depreciation of right-of-use assets and amortization of capitalized contract costs), charges related to ceasing to use leased and owned 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benefits, and currency impacts of highly inflationary countries. The use of revenue and adjusted EBITDA aligns with how the CODM assesses performance and allocates resources for the Company’s segments.</w:t>
      </w:r>
    </w:p>
    <w:p>
      <w:pPr>
        <w:spacing w:after="0" w:line="162"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Our geographic markets frequently work together to sell and implement certain contracts. The resulting revenues and costs from these contracts may be apportioned among the participating geographic markets. The economic environment and its effects on the industries served by our geographic markets affect revenues and operating expenses within our geographic markets to differing degrees. Currency fluctuations also tend to affect our geographic markets differently, depending on the geographic concentrations and locations of their businesses.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results of the Company’s segments: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220" w:type="dxa"/>
            <w:vAlign w:val="bottom"/>
            <w:gridSpan w:val="2"/>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49"/>
        </w:trPr>
        <w:tc>
          <w:tcPr>
            <w:tcW w:w="4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09"/>
        </w:trPr>
        <w:tc>
          <w:tcPr>
            <w:tcW w:w="4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segment adjusted EBITDA</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consolidated pretax income (loss):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4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22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0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0" w:type="dxa"/>
            <w:vAlign w:val="bottom"/>
          </w:tcPr>
          <w:p>
            <w:pPr>
              <w:spacing w:after="0"/>
              <w:rPr>
                <w:sz w:val="1"/>
                <w:szCs w:val="1"/>
                <w:color w:val="auto"/>
              </w:rPr>
            </w:pPr>
          </w:p>
        </w:tc>
      </w:tr>
      <w:tr>
        <w:trPr>
          <w:trHeight w:val="198"/>
        </w:trPr>
        <w:tc>
          <w:tcPr>
            <w:tcW w:w="422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Workforce rebalancing charges incurred prior to</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31, 2024</w:t>
            </w:r>
          </w:p>
        </w:tc>
        <w:tc>
          <w:tcPr>
            <w:tcW w:w="24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42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lease terminations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8"/>
        </w:trPr>
        <w:tc>
          <w:tcPr>
            <w:tcW w:w="422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equipment and capitalized</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(997)</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216"/>
        </w:trPr>
        <w:tc>
          <w:tcPr>
            <w:tcW w:w="4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expense not allocated to the segments</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w:t>
            </w: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359" w:hanging="330"/>
        <w:spacing w:after="0" w:line="241" w:lineRule="auto"/>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 For the three and nine months ended December 31, 2023, other adjustments also include an adjustment to reduce amortization expense for the amount already included in transaction-related (costs) benefits above.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TAXES</w:t>
      </w:r>
    </w:p>
    <w:p>
      <w:pPr>
        <w:spacing w:after="0" w:line="22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December 31, 2024, the Company’s effective tax rate was 16.7%, compared to 122.6% for the three months ended December 31, 2023. For the nine months ended December 31, 2024, the Company’s effective tax rate was 42.2%, compared to (79.3%) for the nine months ended December 31, 2023. The Company’s negative effective tax rate for the nine months ended December 31, 2023 reflects a tax expense on a pretax book loss in that period.</w:t>
      </w:r>
    </w:p>
    <w:p>
      <w:pPr>
        <w:spacing w:after="0" w:line="183"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December 31, 2024 was lower than the Company’s statutory tax rate because the tax expense associated with the SIS divestiture (see Note 8 – Acquisitions and Divestitures) was below the statutory rate. The Company’s effective tax rate for the nine months ended December 31, 2024 and the three months ended December 31, 2023 was higher than the Company’s statutory tax rate, and its negative effective tax rate for the nine months ended December 31, 2023 was lower than the Company’s statutory tax rate, primarily due to taxes on foreign operations and valuation allowances recorded in certain jurisdictions against deferred tax assets that are not more likely than not to be realized.</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EARNINGS (LOSS) PER SHARE</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We did not declare any dividends in the periods presented. The following table provides the computation of basic and diluted earnings per share of common stock for the three and nine months ended December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120" w:type="dxa"/>
            <w:vAlign w:val="bottom"/>
          </w:tcPr>
          <w:p>
            <w:pPr>
              <w:spacing w:after="0"/>
              <w:rPr>
                <w:sz w:val="15"/>
                <w:szCs w:val="15"/>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0" w:type="dxa"/>
            <w:vAlign w:val="bottom"/>
          </w:tcPr>
          <w:p>
            <w:pPr>
              <w:spacing w:after="0"/>
              <w:rPr>
                <w:sz w:val="15"/>
                <w:szCs w:val="15"/>
                <w:color w:val="auto"/>
              </w:rPr>
            </w:pPr>
          </w:p>
        </w:tc>
        <w:tc>
          <w:tcPr>
            <w:tcW w:w="23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8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Net income (loss) on which basic and diluted</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is calculated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6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Number of shares on which basic earnings (loss)</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equity awards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860" w:type="dxa"/>
            <w:vAlign w:val="bottom"/>
            <w:tcBorders>
              <w:top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Number of shares on which diluted earnings (loss)</w:t>
            </w:r>
          </w:p>
        </w:tc>
        <w:tc>
          <w:tcPr>
            <w:tcW w:w="1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is calculated</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65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December 31, 2023, the number of shares on which basic and diluted earnings (loss) per share is calculated was the same as a result of the net loss incurred in the period. The following securities were not included in the computation of diluted earnings per share:</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69"/>
        </w:trPr>
        <w:tc>
          <w:tcPr>
            <w:tcW w:w="3920" w:type="dxa"/>
            <w:vAlign w:val="bottom"/>
            <w:gridSpan w:val="2"/>
            <w:vMerge w:val="continue"/>
          </w:tcPr>
          <w:p>
            <w:pPr>
              <w:spacing w:after="0"/>
              <w:rPr>
                <w:sz w:val="14"/>
                <w:szCs w:val="14"/>
                <w:color w:val="auto"/>
              </w:rPr>
            </w:pPr>
          </w:p>
        </w:tc>
        <w:tc>
          <w:tcPr>
            <w:tcW w:w="11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11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units</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Nonvested performance-conditioned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market-conditioned stock units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FINANCIAL ASSETS AND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Company classifies certain assets and liabilities based on the following fair value hierarchy:</w:t>
      </w:r>
    </w:p>
    <w:p>
      <w:pPr>
        <w:spacing w:after="0" w:line="176" w:lineRule="exact"/>
        <w:rPr>
          <w:sz w:val="20"/>
          <w:szCs w:val="20"/>
          <w:color w:val="auto"/>
        </w:rPr>
      </w:pPr>
    </w:p>
    <w:p>
      <w:pPr>
        <w:ind w:left="1040" w:right="239" w:hanging="315"/>
        <w:spacing w:after="0" w:line="28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Quoted prices (unadjusted) in active markets for identical assets or liabilities that can be accessed at the measurement date,</w:t>
      </w:r>
    </w:p>
    <w:p>
      <w:pPr>
        <w:spacing w:after="0" w:line="158" w:lineRule="exact"/>
        <w:rPr>
          <w:rFonts w:ascii="Times New Roman" w:cs="Times New Roman" w:eastAsia="Times New Roman" w:hAnsi="Times New Roman"/>
          <w:sz w:val="18"/>
          <w:szCs w:val="18"/>
          <w:color w:val="auto"/>
        </w:rPr>
      </w:pPr>
    </w:p>
    <w:p>
      <w:pPr>
        <w:ind w:left="1040" w:right="119" w:hanging="315"/>
        <w:spacing w:after="0" w:line="283"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Inputs other than quoted prices included within Level 1 that are observable for the asset or liability, either directly or indirectly and</w:t>
      </w:r>
    </w:p>
    <w:p>
      <w:pPr>
        <w:spacing w:after="0" w:line="15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3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Unobservable inputs for the asset or liability.</w:t>
      </w:r>
    </w:p>
    <w:p>
      <w:pPr>
        <w:spacing w:after="0" w:line="22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level of an asset or liability within the fair value hierarchy is determined based on the lowest level of any input that is significant to the fair value measurement. The determination of fair value considers various factors including yield curves and time value underlying the financial instruments. For derivatives and debt securities, the Company uses a discounted cash flow analysis using discount rates commensurate with the duration of the instrument.</w:t>
      </w:r>
    </w:p>
    <w:p>
      <w:pPr>
        <w:spacing w:after="0" w:line="180" w:lineRule="exact"/>
        <w:rPr>
          <w:sz w:val="20"/>
          <w:szCs w:val="20"/>
          <w:color w:val="auto"/>
        </w:rPr>
      </w:pPr>
    </w:p>
    <w:p>
      <w:pPr>
        <w:ind w:left="60" w:right="819" w:firstLine="648"/>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financial instruments, the Company considers certain market valuation adjustments to the “base valuations” using the methodologies described below for several parameters that market participants would consider in determining fair value:</w:t>
      </w:r>
    </w:p>
    <w:p>
      <w:pPr>
        <w:spacing w:after="0" w:line="176" w:lineRule="exact"/>
        <w:rPr>
          <w:sz w:val="20"/>
          <w:szCs w:val="20"/>
          <w:color w:val="auto"/>
        </w:rPr>
      </w:pPr>
    </w:p>
    <w:p>
      <w:pPr>
        <w:jc w:val="both"/>
        <w:ind w:left="1040" w:right="7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risk adjustments are applied to financial instruments, taking into account the actual credit risk of a counterparty as observed in the credit default swap market to determine the true fair value of such an instrument.</w:t>
      </w:r>
    </w:p>
    <w:p>
      <w:pPr>
        <w:spacing w:after="0" w:line="175" w:lineRule="exact"/>
        <w:rPr>
          <w:rFonts w:ascii="Times New Roman" w:cs="Times New Roman" w:eastAsia="Times New Roman" w:hAnsi="Times New Roman"/>
          <w:sz w:val="18"/>
          <w:szCs w:val="18"/>
          <w:color w:val="auto"/>
        </w:rPr>
      </w:pPr>
    </w:p>
    <w:p>
      <w:pPr>
        <w:ind w:left="1040" w:right="79" w:hanging="315"/>
        <w:spacing w:after="0" w:line="266"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adjustments are applied to reflect the Company’s own credit risk when valuing liabilities measured at fair value. The methodology is consistent with that applied in developing counterparty credit risk adjustments, but incorporates the Company’s credit risk as observed in the credit default swap market.</w:t>
      </w:r>
    </w:p>
    <w:p>
      <w:pPr>
        <w:spacing w:after="0" w:line="17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Certain non-financial assets such as property, plant and equipment, operating right-of-use assets, land, goodwill and intangible assets are recorded at fair value or at cost, as appropriate, in the period they are initially recognized, and such balances may be adjusted in subsequent periods if an event occurs or circumstances change that indicate that the asset may be impaired. The impairment models used for non-financial assets depend on the type of asset. The fair value measurements, in such instances, would be classified in Level 3 of the fair value hierarchy.</w:t>
      </w:r>
    </w:p>
    <w:p>
      <w:pPr>
        <w:spacing w:after="0" w:line="183"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perform a qualitative assessment of asset impairments on a periodic basis and recognize an impairment if there are sufficient indicators that the fair value is less than carrying value. There were no impairments of non-financial assets recognized for the three and nine months ended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w:t>
      </w:r>
    </w:p>
    <w:p>
      <w:pPr>
        <w:spacing w:after="0" w:line="22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financial assets and financial liabilities that are measured at fair value on a recurring basis at December 31, 2024 and March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1880" w:type="dxa"/>
            <w:vAlign w:val="bottom"/>
            <w:gridSpan w:val="6"/>
            <w:vMerge w:val="restart"/>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6"/>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6"/>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6"/>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gridSpan w:val="2"/>
            <w:vMerge w:val="continue"/>
          </w:tcPr>
          <w:p>
            <w:pPr>
              <w:spacing w:after="0"/>
              <w:rPr>
                <w:sz w:val="12"/>
                <w:szCs w:val="12"/>
                <w:color w:val="auto"/>
              </w:rPr>
            </w:pPr>
          </w:p>
        </w:tc>
        <w:tc>
          <w:tcPr>
            <w:tcW w:w="88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34283D"/>
              </w:rPr>
              <w:t>Level</w:t>
            </w:r>
          </w:p>
        </w:tc>
        <w:tc>
          <w:tcPr>
            <w:tcW w:w="12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7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34283D"/>
              </w:rPr>
              <w:t>2</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gridSpan w:val="3"/>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34283D"/>
              </w:rPr>
              <w:t>Cross-currency swap contracts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34283D"/>
              </w:rPr>
              <w:t>Foreign exchange contracts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34283D"/>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Total</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gross balances of derivative assets, including accrued interest, are contained within prepaid expenses and other current assets and other noncurrent assets in the Consolidated Balance Sheet. The gross balances of derivative liabilities are contained within other accrued expenses and liabilities and other noncurrent liabilities in the Consolidated Balance Sheet. The Company may enter into master netting agreements with certain counterparties that allow for netting of exposures. There was no netting of derivative assets against liabilities in the Consolidated Balance Sheet at December 31, 2024 and March 31, 2024. The Company manages counterparty risk by seeking counterparties of high credit quality and by monitoring credit ratings, credit spreads and other relevant public information about its counterparties. The Company does not anticipate nonperformance by any of the counterparties.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Assets and Liabilities Not Measured at Fair Value</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are financial assets with carrying values that approximate fair value. Accounts payable, other accrued expenses and short-term debt are financial liabilities with carrying values that approximate fair value. If measured at fair value in the consolidated financial statements, these financial instruments would be classified as Level 3 in the fair value hierarchy, except for short-term debt, which would be classified as Level 2.</w:t>
      </w:r>
    </w:p>
    <w:p>
      <w:pPr>
        <w:spacing w:after="0" w:line="180"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also has time deposits that have maturities of 90 days or less, and their carrying values approximate fair value. They are measured for impairment on a recurring basis by comparing their fair value with their amortized cost basis. There were no impairments of financial assets recognized for any of the periods presented. The balances of these time deposits with maturities of 90 days or less contained within cash and cash equivalents in the Consolidated Balance Sheet at December 31, 2024 and March 31, 2024 were $787 million and $828 million, respectively. If measured at fair value in the consolidated financial statements, time deposits with maturities of 90 days or less would be categorized as Level 2 in the fair value hierarchy.</w:t>
      </w:r>
    </w:p>
    <w:p>
      <w:pPr>
        <w:spacing w:after="0" w:line="18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fair value of our outstanding debt (excluding finance lease obligations) is based on various methodologies, including quoted prices in active markets for identical debt instruments, which is a Level 1 measurement, or calculated fair value using an expected present value technique that uses rates currently available to the Company for debt in active markets with similar terms and remaining maturities, which is a Level 2 measurement. See Note 10 – Borrowings for additional information. Our outstanding debt (excluding finance lease obligations) had a carrying value of $2.9 billion as of December 31, 2024 and March 31, 2024, with an estimated fair value of $2.7 billion as of December 31, 2024 and $2.6 billion as of March 31, 2024.</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agreements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w:t>
      </w:r>
    </w:p>
    <w:p>
      <w:pPr>
        <w:spacing w:after="0" w:line="176"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net proceeds from these arrangements are reflected as cash provided by operating activities in the Consolidated Statement of Cash Flows. Gross proceeds from receivables sold to third parties under this program were $760 million and $2.6 billion for the three and nine months ended December 31, 2024, respectively, and $846 million and $2.9 billion for the three and nine months ended December 31, 2023, respectively. The fees associated with the transfers of receivables were $8 million and $28 million for the three and nine months ended December 31, 2024, respectively, and $11 million and $39 million for the three and nine months ended December 31, 2023,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notional amounts of the Company’s outstanding derivatives: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jc w:val="center"/>
              <w:ind w:left="457"/>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00" w:type="dxa"/>
            <w:vAlign w:val="bottom"/>
          </w:tcPr>
          <w:p>
            <w:pPr>
              <w:spacing w:after="0"/>
              <w:rPr>
                <w:sz w:val="10"/>
                <w:szCs w:val="10"/>
                <w:color w:val="auto"/>
              </w:rPr>
            </w:pPr>
          </w:p>
        </w:tc>
        <w:tc>
          <w:tcPr>
            <w:tcW w:w="8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120" w:type="dxa"/>
            <w:vAlign w:val="bottom"/>
          </w:tcPr>
          <w:p>
            <w:pPr>
              <w:spacing w:after="0"/>
              <w:rPr>
                <w:sz w:val="10"/>
                <w:szCs w:val="10"/>
                <w:color w:val="auto"/>
              </w:rPr>
            </w:pPr>
          </w:p>
        </w:tc>
        <w:tc>
          <w:tcPr>
            <w:tcW w:w="8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64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Cross-</w:t>
            </w:r>
          </w:p>
        </w:tc>
        <w:tc>
          <w:tcPr>
            <w:tcW w:w="120" w:type="dxa"/>
            <w:vAlign w:val="bottom"/>
          </w:tcPr>
          <w:p>
            <w:pPr>
              <w:spacing w:after="0"/>
              <w:rPr>
                <w:sz w:val="10"/>
                <w:szCs w:val="10"/>
                <w:color w:val="auto"/>
              </w:rPr>
            </w:pPr>
          </w:p>
        </w:tc>
        <w:tc>
          <w:tcPr>
            <w:tcW w:w="660" w:type="dxa"/>
            <w:vAlign w:val="bottom"/>
            <w:vMerge w:val="restart"/>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120" w:type="dxa"/>
            <w:vAlign w:val="bottom"/>
          </w:tcPr>
          <w:p>
            <w:pPr>
              <w:spacing w:after="0"/>
              <w:rPr>
                <w:sz w:val="12"/>
                <w:szCs w:val="12"/>
                <w:color w:val="auto"/>
              </w:rPr>
            </w:pPr>
          </w:p>
        </w:tc>
        <w:tc>
          <w:tcPr>
            <w:tcW w:w="8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Swap</w:t>
            </w:r>
          </w:p>
        </w:tc>
        <w:tc>
          <w:tcPr>
            <w:tcW w:w="12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73"/>
        </w:trPr>
        <w:tc>
          <w:tcPr>
            <w:tcW w:w="3280" w:type="dxa"/>
            <w:vAlign w:val="bottom"/>
            <w:gridSpan w:val="2"/>
            <w:vMerge w:val="continue"/>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20" w:type="dxa"/>
            <w:vAlign w:val="bottom"/>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20" w:type="dxa"/>
            <w:vAlign w:val="bottom"/>
          </w:tcPr>
          <w:p>
            <w:pPr>
              <w:spacing w:after="0"/>
              <w:rPr>
                <w:sz w:val="15"/>
                <w:szCs w:val="15"/>
                <w:color w:val="auto"/>
              </w:rPr>
            </w:pPr>
          </w:p>
        </w:tc>
        <w:tc>
          <w:tcPr>
            <w:tcW w:w="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1"/>
        </w:trPr>
        <w:tc>
          <w:tcPr>
            <w:tcW w:w="306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34283D"/>
              </w:rPr>
              <w:t>Derivatives designated as hedging</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Cash flow hedges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34283D"/>
              </w:rPr>
              <w:t>Net investment hedges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8"/>
        </w:trPr>
        <w:tc>
          <w:tcPr>
            <w:tcW w:w="32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34283D"/>
              </w:rPr>
              <w:t>Derivatives not designated as hedging</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34283D"/>
              </w:rPr>
              <w:t>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amounts of derivative instruments do not necessarily represent the amounts exchanged by the Company with third parties and are not necessarily a direct measure of the financial exposure.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Hedging Instruments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229"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The Company has foreign exchange derivative financial instruments designated as cash flow hedges to manage the volatility of cash flows that relate to operating expenses denominated in certain currencies. Changes in fair value of derivatives designated as cash flow hedges are recorded, net of applicable taxes, in other comprehensive income (“OCI”) and subsequently reclassified into the same income statement line item as the hedged exposure when the underlying hedged item is recognized in earnings. The cash flows associated with derivatives designated as cash flow hedges are reported in cash flows from operating activities in the Consolidated Statement of Cash Flows.</w:t>
      </w:r>
    </w:p>
    <w:p>
      <w:pPr>
        <w:spacing w:after="0" w:line="187"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color w:val="auto"/>
        </w:rPr>
        <w:t>The maximum remaining length of time over which the Company hedged its exposure is approximately one year. At December 31, 2024 and March 31, 2024, the weighted-average remaining maturity of these instruments was approximately 0.5 years. At December 31, 2024 and March 31, 2024, in connection with cash flow hedges of foreign currency cost transactions, the Company had unrealized losses of $8 million and unrealized gains of $2 million (each before taxes), respectively, in accumulated other comprehensive income (“AOCI”). The Company estimates that $8 million (before taxes) of net deferred losses on derivatives in AOCI at December 31, 2024 will be reclassified to net income within the next twelve months, providing an offsetting economic impact against the underlying anticipated transactions.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The Company has entered into and designated cross-currency interest rate swap contracts and currency forward contracts as net investment hedges to mitigate foreign exchange exposure related to net investments. Under the terms of the cross-currency swaps, the Company makes fixed-rate payments in foreign currencies and receives fixed-rate amounts in U.S. dollars, with the exchange of the underlying notional amounts at maturity whereby the Company will receive U.S. dollars and pay foreign currencies at exchange rates which are determined at contract inception. Under the terms of the currency forward contracts, the Company commits to sell the local currency of certain subsidiaries in exchange for U.S. dollars at specified forward rates. Derivatives designated as net investment hedges are accounted for using the spot method, with changes in the fair value of the derivatives attributable to changes in spot rates recorded within foreign currency translation (“CTA”) as a component of other comprehensive income (loss) and remaining there until the hedged net investments are sold or substantially liquidated. The changes in the fair value of the derivatives that are attributable to changes in the difference between the forward rate and spot rate are excluded from the assessment of hedge effectiveness. The changes in fair value that are attributable to the excluded components are initially recorded in CTA and then recognized in interest expense on the Consolidated Income Statement over the life of the derivative instruments. Cash flows from derivatives designated as net investment hedges are reported as cash flows from investing activities in the Consolidated Statement of Cash Flows, except for cash flows from the periodic interest settlements of cross-currency interest rate swaps designated as net investment hedges, which are reported as cash flows from operating activities in the Consolidated Statement of Cash Flows.</w:t>
      </w:r>
    </w:p>
    <w:p>
      <w:pPr>
        <w:spacing w:after="0" w:line="19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maximum remaining length of time over which the Company has hedged its exposure is approximately nine years. At December 31, 2024 and March 31, 2024, the weighted-average remaining maturity of the Company’s net investment hedge instruments was approximately five years and ten years, respectively. At December 31, 2024 and March 31, 2024, the Company had unrealized gains of $16 million and unrealized losses of $11 million (each before taxes), respectively, in AOCI related to net investment hedges.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p>
      <w:pPr>
        <w:spacing w:after="0" w:line="22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enters into currency forward and swap contracts to hedge exposures related to assets, liabilities and earnings across its subsidiaries. These contracts are not designated as hedging instruments, and therefore changes in fair value of these contracts are reported in earnings in other expense (income) in the Consolidated Income Statement. The gains and losses on these contracts generally offset the gains and losses in the underlying hedged exposures, which are also reported in other expense (income) in the Consolidated Income Statement. Cash flows from derivatives not designated as hedges are reported in cash flows from investing activities in the Consolidated Statement of Cash Flows. The terms of these swap contracts are generally less than one year.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Effect of Derivative Instruments in the Consolidated Income Statement</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effects of derivatives designated as hedging instruments on the Consolidated Income Statement and Other Comprehensive Income are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Unrealized Gain (Loss)</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3"/>
                <w:szCs w:val="13"/>
                <w:color w:val="auto"/>
              </w:rPr>
            </w:pPr>
          </w:p>
        </w:tc>
        <w:tc>
          <w:tcPr>
            <w:tcW w:w="19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Gain (Loss) Reclassified</w:t>
            </w:r>
          </w:p>
        </w:tc>
        <w:tc>
          <w:tcPr>
            <w:tcW w:w="0" w:type="dxa"/>
            <w:vAlign w:val="bottom"/>
          </w:tcPr>
          <w:p>
            <w:pPr>
              <w:spacing w:after="0"/>
              <w:rPr>
                <w:sz w:val="1"/>
                <w:szCs w:val="1"/>
                <w:color w:val="auto"/>
              </w:rPr>
            </w:pPr>
          </w:p>
        </w:tc>
      </w:tr>
      <w:tr>
        <w:trPr>
          <w:trHeight w:val="148"/>
        </w:trPr>
        <w:tc>
          <w:tcPr>
            <w:tcW w:w="2840" w:type="dxa"/>
            <w:vAlign w:val="bottom"/>
            <w:gridSpan w:val="3"/>
            <w:vMerge w:val="continue"/>
          </w:tcPr>
          <w:p>
            <w:pPr>
              <w:spacing w:after="0"/>
              <w:rPr>
                <w:sz w:val="12"/>
                <w:szCs w:val="12"/>
                <w:color w:val="auto"/>
              </w:rPr>
            </w:pPr>
          </w:p>
        </w:tc>
        <w:tc>
          <w:tcPr>
            <w:tcW w:w="186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0" w:type="dxa"/>
            <w:vAlign w:val="bottom"/>
          </w:tcPr>
          <w:p>
            <w:pPr>
              <w:spacing w:after="0"/>
              <w:rPr>
                <w:sz w:val="12"/>
                <w:szCs w:val="12"/>
                <w:color w:val="auto"/>
              </w:rPr>
            </w:pPr>
          </w:p>
        </w:tc>
        <w:tc>
          <w:tcPr>
            <w:tcW w:w="1940" w:type="dxa"/>
            <w:vAlign w:val="bottom"/>
            <w:gridSpan w:val="4"/>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from AOCI to Income</w:t>
            </w:r>
          </w:p>
        </w:tc>
        <w:tc>
          <w:tcPr>
            <w:tcW w:w="0" w:type="dxa"/>
            <w:vAlign w:val="bottom"/>
          </w:tcPr>
          <w:p>
            <w:pPr>
              <w:spacing w:after="0"/>
              <w:rPr>
                <w:sz w:val="1"/>
                <w:szCs w:val="1"/>
                <w:color w:val="auto"/>
              </w:rPr>
            </w:pPr>
          </w:p>
        </w:tc>
      </w:tr>
      <w:tr>
        <w:trPr>
          <w:trHeight w:val="25"/>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40" w:type="dxa"/>
            <w:vAlign w:val="bottom"/>
            <w:gridSpan w:val="3"/>
            <w:vMerge w:val="continue"/>
          </w:tcPr>
          <w:p>
            <w:pPr>
              <w:spacing w:after="0"/>
              <w:rPr>
                <w:sz w:val="12"/>
                <w:szCs w:val="12"/>
                <w:color w:val="auto"/>
              </w:rPr>
            </w:pPr>
          </w:p>
        </w:tc>
        <w:tc>
          <w:tcPr>
            <w:tcW w:w="6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2700" w:type="dxa"/>
            <w:vAlign w:val="bottom"/>
            <w:tcBorders>
              <w:top w:val="single" w:sz="8" w:color="auto"/>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 instruments in cash</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hedges: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4"/>
        </w:trPr>
        <w:tc>
          <w:tcPr>
            <w:tcW w:w="284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Derivative instruments in net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hedges*: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6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Unrealized Gain (Loss)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24"/>
                <w:szCs w:val="24"/>
                <w:color w:val="auto"/>
              </w:rPr>
            </w:pPr>
          </w:p>
        </w:tc>
        <w:tc>
          <w:tcPr>
            <w:tcW w:w="1260" w:type="dxa"/>
            <w:vAlign w:val="bottom"/>
            <w:gridSpan w:val="3"/>
          </w:tcPr>
          <w:p>
            <w:pPr>
              <w:jc w:val="center"/>
              <w:ind w:left="378"/>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840" w:type="dxa"/>
            <w:vAlign w:val="bottom"/>
            <w:gridSpan w:val="3"/>
            <w:vMerge w:val="continue"/>
          </w:tcPr>
          <w:p>
            <w:pPr>
              <w:spacing w:after="0"/>
              <w:rPr>
                <w:sz w:val="12"/>
                <w:szCs w:val="12"/>
                <w:color w:val="auto"/>
              </w:rPr>
            </w:pPr>
          </w:p>
        </w:tc>
        <w:tc>
          <w:tcPr>
            <w:tcW w:w="186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20" w:type="dxa"/>
            <w:vAlign w:val="bottom"/>
          </w:tcPr>
          <w:p>
            <w:pPr>
              <w:spacing w:after="0"/>
              <w:rPr>
                <w:sz w:val="12"/>
                <w:szCs w:val="12"/>
                <w:color w:val="auto"/>
              </w:rPr>
            </w:pPr>
          </w:p>
        </w:tc>
        <w:tc>
          <w:tcPr>
            <w:tcW w:w="194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AOCI</w:t>
            </w:r>
          </w:p>
        </w:tc>
        <w:tc>
          <w:tcPr>
            <w:tcW w:w="0" w:type="dxa"/>
            <w:vAlign w:val="bottom"/>
          </w:tcPr>
          <w:p>
            <w:pPr>
              <w:spacing w:after="0"/>
              <w:rPr>
                <w:sz w:val="1"/>
                <w:szCs w:val="1"/>
                <w:color w:val="auto"/>
              </w:rPr>
            </w:pPr>
          </w:p>
        </w:tc>
      </w:tr>
      <w:tr>
        <w:trPr>
          <w:trHeight w:val="25"/>
        </w:trPr>
        <w:tc>
          <w:tcPr>
            <w:tcW w:w="2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40" w:type="dxa"/>
            <w:vAlign w:val="bottom"/>
            <w:gridSpan w:val="3"/>
            <w:vMerge w:val="continue"/>
          </w:tcPr>
          <w:p>
            <w:pPr>
              <w:spacing w:after="0"/>
              <w:rPr>
                <w:sz w:val="12"/>
                <w:szCs w:val="12"/>
                <w:color w:val="auto"/>
              </w:rPr>
            </w:pPr>
          </w:p>
        </w:tc>
        <w:tc>
          <w:tcPr>
            <w:tcW w:w="680" w:type="dxa"/>
            <w:vAlign w:val="bottom"/>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2700" w:type="dxa"/>
            <w:vAlign w:val="bottom"/>
            <w:tcBorders>
              <w:top w:val="single" w:sz="8" w:color="auto"/>
            </w:tcBorders>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 instruments in cash</w:t>
            </w: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hedges: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(19)</w:t>
            </w:r>
          </w:p>
        </w:tc>
        <w:tc>
          <w:tcPr>
            <w:tcW w:w="700" w:type="dxa"/>
            <w:vAlign w:val="bottom"/>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4"/>
        </w:trPr>
        <w:tc>
          <w:tcPr>
            <w:tcW w:w="2840" w:type="dxa"/>
            <w:vAlign w:val="bottom"/>
            <w:gridSpan w:val="3"/>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Derivative instruments in net</w:t>
            </w: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hedges*:</w:t>
            </w: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6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99" w:hanging="330"/>
        <w:spacing w:after="0" w:line="241" w:lineRule="auto"/>
        <w:tabs>
          <w:tab w:leader="none" w:pos="3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and nine months ended December 31, 2024, the Company recognized a gain of $6 million and $16 million, respectively, in interest expense on components excluded from the assessment of the hedge effectiveness for net investment hedges. There were no net investment hedges in the three and nine months ended December 31, 2023.</w:t>
      </w:r>
    </w:p>
    <w:p>
      <w:pPr>
        <w:spacing w:after="0" w:line="181"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December 31, 2024 and 2023, there were no gains or losses excluded from the assessment of hedge effectiveness for cash flow hedges, or associated with an underlying exposure that did not or was not expected to occur, nor are there any anticipated in the normal course of business.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effects of derivatives not designated as hedging instruments on the Consolidated Income Statement are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80" w:type="dxa"/>
            <w:vAlign w:val="bottom"/>
          </w:tcPr>
          <w:p>
            <w:pPr>
              <w:spacing w:after="0"/>
              <w:rPr>
                <w:sz w:val="13"/>
                <w:szCs w:val="13"/>
                <w:color w:val="auto"/>
              </w:rPr>
            </w:pPr>
          </w:p>
        </w:tc>
        <w:tc>
          <w:tcPr>
            <w:tcW w:w="14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gridSpan w:val="2"/>
            <w:vMerge w:val="continue"/>
          </w:tcPr>
          <w:p>
            <w:pPr>
              <w:spacing w:after="0"/>
              <w:rPr>
                <w:sz w:val="12"/>
                <w:szCs w:val="12"/>
                <w:color w:val="auto"/>
              </w:rPr>
            </w:pPr>
          </w:p>
        </w:tc>
        <w:tc>
          <w:tcPr>
            <w:tcW w:w="3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80" w:type="dxa"/>
            <w:vAlign w:val="bottom"/>
          </w:tcPr>
          <w:p>
            <w:pPr>
              <w:spacing w:after="0"/>
              <w:rPr>
                <w:sz w:val="12"/>
                <w:szCs w:val="12"/>
                <w:color w:val="auto"/>
              </w:rPr>
            </w:pPr>
          </w:p>
        </w:tc>
        <w:tc>
          <w:tcPr>
            <w:tcW w:w="234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on Derivatives</w:t>
            </w:r>
          </w:p>
        </w:tc>
        <w:tc>
          <w:tcPr>
            <w:tcW w:w="0" w:type="dxa"/>
            <w:vAlign w:val="bottom"/>
          </w:tcPr>
          <w:p>
            <w:pPr>
              <w:spacing w:after="0"/>
              <w:rPr>
                <w:sz w:val="1"/>
                <w:szCs w:val="1"/>
                <w:color w:val="auto"/>
              </w:rPr>
            </w:pPr>
          </w:p>
        </w:tc>
      </w:tr>
      <w:tr>
        <w:trPr>
          <w:trHeight w:val="2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3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3"/>
              </w:rPr>
              <w:t>(54)</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3"/>
              </w:rPr>
              <w:t>(54)</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80" w:type="dxa"/>
            <w:vAlign w:val="bottom"/>
          </w:tcPr>
          <w:p>
            <w:pPr>
              <w:spacing w:after="0"/>
              <w:rPr>
                <w:sz w:val="24"/>
                <w:szCs w:val="24"/>
                <w:color w:val="auto"/>
              </w:rPr>
            </w:pPr>
          </w:p>
        </w:tc>
        <w:tc>
          <w:tcPr>
            <w:tcW w:w="148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20" w:type="dxa"/>
            <w:vAlign w:val="bottom"/>
            <w:gridSpan w:val="2"/>
            <w:vMerge w:val="continue"/>
          </w:tcPr>
          <w:p>
            <w:pPr>
              <w:spacing w:after="0"/>
              <w:rPr>
                <w:sz w:val="12"/>
                <w:szCs w:val="12"/>
                <w:color w:val="auto"/>
              </w:rPr>
            </w:pPr>
          </w:p>
        </w:tc>
        <w:tc>
          <w:tcPr>
            <w:tcW w:w="31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w:t>
            </w:r>
          </w:p>
        </w:tc>
        <w:tc>
          <w:tcPr>
            <w:tcW w:w="280" w:type="dxa"/>
            <w:vAlign w:val="bottom"/>
          </w:tcPr>
          <w:p>
            <w:pPr>
              <w:spacing w:after="0"/>
              <w:rPr>
                <w:sz w:val="12"/>
                <w:szCs w:val="12"/>
                <w:color w:val="auto"/>
              </w:rPr>
            </w:pPr>
          </w:p>
        </w:tc>
        <w:tc>
          <w:tcPr>
            <w:tcW w:w="2340" w:type="dxa"/>
            <w:vAlign w:val="bottom"/>
            <w:gridSpan w:val="4"/>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on Derivatives</w:t>
            </w:r>
          </w:p>
        </w:tc>
        <w:tc>
          <w:tcPr>
            <w:tcW w:w="0" w:type="dxa"/>
            <w:vAlign w:val="bottom"/>
          </w:tcPr>
          <w:p>
            <w:pPr>
              <w:spacing w:after="0"/>
              <w:rPr>
                <w:sz w:val="1"/>
                <w:szCs w:val="1"/>
                <w:color w:val="auto"/>
              </w:rPr>
            </w:pPr>
          </w:p>
        </w:tc>
      </w:tr>
      <w:tr>
        <w:trPr>
          <w:trHeight w:val="25"/>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31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20" w:type="dxa"/>
            <w:vAlign w:val="bottom"/>
            <w:gridSpan w:val="2"/>
            <w:vMerge w:val="continue"/>
          </w:tcPr>
          <w:p>
            <w:pPr>
              <w:spacing w:after="0"/>
              <w:rPr>
                <w:sz w:val="12"/>
                <w:szCs w:val="12"/>
                <w:color w:val="auto"/>
              </w:rPr>
            </w:pPr>
          </w:p>
        </w:tc>
        <w:tc>
          <w:tcPr>
            <w:tcW w:w="31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right"/>
              <w:ind w:right="39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3"/>
              </w:rPr>
              <w:t>(51)</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3"/>
              </w:rPr>
              <w:t>(51)</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ACQUISITIONS AND DIVESTITURES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Acquisition of Skytap</w:t>
      </w:r>
    </w:p>
    <w:p>
      <w:pPr>
        <w:spacing w:after="0" w:line="22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April 2024, the Company completed the acquisition of Skytap, Inc. (“Skytap”), a leading specialized workload services provider, by acquiring all outstanding equity interests of Skytap in exchange for cash consideration. The acquisition of Skytap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Our financial statements for the three and nine months ended December 31, 2024 reflect the assets, liabilities, operating results and cash flows of Skytap, commencing from the acquisition date. The Company acquired Skytap for cash consideration of approximately $46 million, net of cash acquired of $4 million. Costs associated with this acquisition were approximately $2 million and are expensed as incurred within transaction-related costs within the accompanying Consolidated Income Statement. Pro forma financial information has not been presented, as revenue and expenses related to the acquisition do not have a material impact on the Company’s Consolidated Financial Statements.</w:t>
      </w:r>
    </w:p>
    <w:p>
      <w:pPr>
        <w:spacing w:after="0" w:line="188"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The acquisition of Skytap expands the Company’s hybrid cloud services portfolio. The purchase price allocation resulted in approximately $43 million in intangible assets, primarily consisting of $13 million in completed technologies and $30 million in customer relationships with estimated useful lives of five and eight years, respectively, assets transferred of $27 million (inclusive of cash acquired of $4 million), liabilities assumed of $29 million, and goodwill of $10 million, primarily attributable to synergies expected to arise from this acquisition. We do not expect the goodwill to be deductible for income tax purposes.</w:t>
      </w:r>
    </w:p>
    <w:p>
      <w:pPr>
        <w:spacing w:after="0" w:line="187"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Since the completion of the acquisition, the Company has made immaterial adjustments to the preliminary purchase price allocation impacting the valuation of goodwill and assets transferred. The purchase price allocation for this acquisition is preliminary, and there may be further changes in the allocation of consideration to assets acquired and liabilities assumed, including intangible assets and goodwill, for up to twelve months from the acquisition date.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Disposal of the Securities Industry Services (“SIS”) Business</w:t>
      </w:r>
    </w:p>
    <w:p>
      <w:pPr>
        <w:spacing w:after="0" w:line="22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June 30, 2024, the Company entered into a definitive agreement to sell its transaction processing platform for the securities brokerage industry services in Canada (which is a component of the Company’s Principal Markets segment), known as “SIS”, for approximately $185 million in cash.</w:t>
      </w:r>
    </w:p>
    <w:p>
      <w:pPr>
        <w:spacing w:after="0" w:line="176" w:lineRule="exact"/>
        <w:rPr>
          <w:sz w:val="20"/>
          <w:szCs w:val="20"/>
          <w:color w:val="auto"/>
        </w:rPr>
      </w:pPr>
    </w:p>
    <w:p>
      <w:pPr>
        <w:ind w:left="60" w:right="459" w:firstLine="648"/>
        <w:spacing w:after="0" w:line="281" w:lineRule="auto"/>
        <w:rPr>
          <w:sz w:val="20"/>
          <w:szCs w:val="20"/>
          <w:color w:val="auto"/>
        </w:rPr>
      </w:pPr>
      <w:r>
        <w:rPr>
          <w:rFonts w:ascii="Times New Roman" w:cs="Times New Roman" w:eastAsia="Times New Roman" w:hAnsi="Times New Roman"/>
          <w:sz w:val="17"/>
          <w:szCs w:val="17"/>
          <w:color w:val="auto"/>
        </w:rPr>
        <w:t>During the three months ended December 31, 2024, the Company completed the sale of the SIS business. In connection with the sale, the Company recognized a $145 million pretax gain, which was recorded within transaction-related costs (benefits) on the Consolidated Income Statement. This disposition is not accounted for as discontinued operations as it does not meet the relevant criteria. The carrying value of the net assets sold was not material.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INTANGIBLE ASSETS INCLUDING GOODWILL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 balances by major asset class.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At December 31, 2024</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At March 31, 2024</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140" w:type="dxa"/>
            <w:vAlign w:val="bottom"/>
          </w:tcPr>
          <w:p>
            <w:pPr>
              <w:spacing w:after="0"/>
              <w:rPr>
                <w:sz w:val="10"/>
                <w:szCs w:val="10"/>
                <w:color w:val="auto"/>
              </w:rPr>
            </w:pPr>
          </w:p>
        </w:tc>
        <w:tc>
          <w:tcPr>
            <w:tcW w:w="9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60" w:type="dxa"/>
            <w:vAlign w:val="bottom"/>
          </w:tcPr>
          <w:p>
            <w:pPr>
              <w:spacing w:after="0"/>
              <w:rPr>
                <w:sz w:val="10"/>
                <w:szCs w:val="10"/>
                <w:color w:val="auto"/>
              </w:rPr>
            </w:pPr>
          </w:p>
        </w:tc>
        <w:tc>
          <w:tcPr>
            <w:tcW w:w="104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2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technology</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tabs>
          <w:tab w:leader="none" w:pos="240" w:val="left"/>
        </w:tabs>
        <w:rPr>
          <w:sz w:val="20"/>
          <w:szCs w:val="20"/>
          <w:color w:val="auto"/>
        </w:rPr>
      </w:pPr>
      <w:r>
        <w:rPr>
          <w:rFonts w:ascii="Times New Roman" w:cs="Times New Roman" w:eastAsia="Times New Roman" w:hAnsi="Times New Roman"/>
          <w:sz w:val="14"/>
          <w:szCs w:val="14"/>
          <w:color w:val="auto"/>
        </w:rPr>
        <w:t>*</w:t>
        <w:tab/>
        <w:t>Amounts include effects from foreign currency translation.</w:t>
      </w:r>
    </w:p>
    <w:p>
      <w:pPr>
        <w:spacing w:after="0" w:line="208"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The net carrying amount of intangible assets increased by $30 million during the nine months ended December 31, 2024, primarily due to intangible assets acquired as part of the acquisition of Skytap and capitalized software added during the period, partially offset by amortization. The aggregate intangible asset amortization expense was $18 million and $54 million for the three and nine months ended December 31, 2024, compared to $17 million and $44 million for the three and nine months ended December 31, 2023, respectively. This included amortization of capitalized software of $11 million and $30 million for the three and nine months ended December 31, 2024, which was reported in depreciation of property, equipment and capitalized software on the Consolidated Statement of Cash Flows. During the nine months ended December 31, 2024, the Company retired approximately $75 million of fully amortized intangible assets, primarily related to customer relationships.</w:t>
      </w:r>
    </w:p>
    <w:p>
      <w:pPr>
        <w:spacing w:after="0" w:line="188"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The future amortization expense relating to intangible assets currently recorded in the Consolidated Balance Sheet was estimated to be the following at December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Capitalized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Completed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Patents and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2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Trademarks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2025 (remaining three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months)</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changes in the goodwill balances by segment for the nine months ended December 31, 2024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Acquisitions and</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2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Reallocation</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6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Markets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Strategic Markets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9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99" w:hanging="330"/>
        <w:spacing w:after="0" w:line="261" w:lineRule="auto"/>
        <w:tabs>
          <w:tab w:leader="none" w:pos="3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the goodwill acquired as part of the purchase of Skytap and the removal of goodwill related to the divestiture of the SIS business using the relative fair value approach. See Note 8 – Acquisitions and Divestitures for additional details.</w:t>
      </w:r>
    </w:p>
    <w:p>
      <w:pPr>
        <w:spacing w:after="0" w:line="154"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As discussed in Note 4 – Segments, Kyndryl’s operations in Australia/New Zealand transitioned from the Principal Markets segment to the Strategic Markets segment in the quarter ended June 30, 2024. As a result, the Company reallocated the goodwill associated with Australia/New Zealand from the Principal Markets segment to the Strategic Markets segment. The Company also performed a qualitative impairment test immediately before and after the change in reporting units and determined that it is not more likely than not that the fair value of the reporting units is less than their carrying amounts, including goodwill. Accordingly, the Company concluded that the goodwill related to those reporting units was not impaired.</w:t>
      </w:r>
    </w:p>
    <w:p>
      <w:pPr>
        <w:spacing w:after="0" w:line="189"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There were no goodwill impairment losses recorded for the nine months ended December 31, 2024 and 2023. Management reviews goodwill for impairment annually and whenever events or changes in circumstances indicate the carrying value of goodwill may not be recoverable by first assessing qualitative factors to determine if it is more likely than not that fair value is less than carrying value.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BORROWINGS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components of our debt:</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5"/>
                <w:szCs w:val="15"/>
                <w:color w:val="auto"/>
              </w:rPr>
            </w:pPr>
          </w:p>
        </w:tc>
        <w:tc>
          <w:tcPr>
            <w:tcW w:w="11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 agreement</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2026</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2028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2028</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2031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2034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6.35% *</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2034</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Unsecured senior notes due 2041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2041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5.76% **</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2024-2030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09"/>
        </w:trPr>
        <w:tc>
          <w:tcPr>
            <w:tcW w:w="3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r>
      <w:tr>
        <w:trPr>
          <w:trHeight w:val="20"/>
        </w:trPr>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r>
    </w:tbl>
    <w:p>
      <w:pPr>
        <w:spacing w:after="0" w:line="72" w:lineRule="exact"/>
        <w:rPr>
          <w:sz w:val="20"/>
          <w:szCs w:val="20"/>
          <w:color w:val="auto"/>
        </w:rPr>
      </w:pPr>
    </w:p>
    <w:p>
      <w:pPr>
        <w:ind w:left="380" w:right="219" w:hanging="330"/>
        <w:spacing w:after="0" w:line="233" w:lineRule="auto"/>
        <w:tabs>
          <w:tab w:leader="none" w:pos="3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the cross-currency swaps that the Company entered into subsequent to the issuance of the unsecured senior notes due 2034, the effective interest rate on such notes was approximately 3.84% at the time of issuance. For more information, see Note 7 – Financial Assets and Liabilities.</w:t>
      </w:r>
    </w:p>
    <w:p>
      <w:pPr>
        <w:ind w:left="380" w:hanging="330"/>
        <w:spacing w:after="0"/>
        <w:tabs>
          <w:tab w:leader="none" w:pos="3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Weighted-average discount rate.</w:t>
      </w:r>
    </w:p>
    <w:p>
      <w:pPr>
        <w:spacing w:after="0" w:line="192"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Contractual obligations of long-term debt outstanding at December 31, 2024, exclusive of finance lease obligations,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210"/>
        </w:trPr>
        <w:tc>
          <w:tcPr>
            <w:tcW w:w="20" w:type="dxa"/>
            <w:vAlign w:val="bottom"/>
          </w:tcPr>
          <w:p>
            <w:pPr>
              <w:spacing w:after="0"/>
              <w:rPr>
                <w:sz w:val="18"/>
                <w:szCs w:val="18"/>
                <w:color w:val="auto"/>
              </w:rPr>
            </w:pPr>
          </w:p>
        </w:tc>
        <w:tc>
          <w:tcPr>
            <w:tcW w:w="76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March 31:</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2025 (remaining three months)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2026</w:t>
            </w:r>
          </w:p>
        </w:tc>
        <w:tc>
          <w:tcPr>
            <w:tcW w:w="5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2027</w:t>
            </w:r>
          </w:p>
        </w:tc>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2028</w:t>
            </w:r>
          </w:p>
        </w:tc>
        <w:tc>
          <w:tcPr>
            <w:tcW w:w="5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2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2029</w:t>
            </w:r>
          </w:p>
        </w:tc>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20" w:type="dxa"/>
            <w:vAlign w:val="bottom"/>
          </w:tcPr>
          <w:p>
            <w:pPr>
              <w:spacing w:after="0"/>
              <w:rPr>
                <w:sz w:val="18"/>
                <w:szCs w:val="18"/>
                <w:color w:val="auto"/>
              </w:rPr>
            </w:pPr>
          </w:p>
        </w:tc>
        <w:tc>
          <w:tcPr>
            <w:tcW w:w="7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r>
      <w:tr>
        <w:trPr>
          <w:trHeight w:val="210"/>
        </w:trPr>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5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72"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obligations approximate scheduled repayments.</w:t>
      </w:r>
    </w:p>
    <w:p>
      <w:pPr>
        <w:spacing w:after="0" w:line="208"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there were no borrowings under the Company’s revolving credit agreement. The Company is in compliance with its debt covenants in all periods presented.</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guarantees certain loans and financial commitments, but the maximum potential future payment under these financial guarantees and the fair value of these guarantees recognized in the Consolidated Balance Sheet at December 31, 2024 and March 31, 2024 were not material. Additionally, the Company has contractual commitments that are noncancellable with certain software, hardware and cloud partners used in the delivery of services to customers. During the nine months ended December 31, 2024, contractual commitments decreased due to satisfaction of existing commitments outpacing new additions.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As a Fortune 500 company with customers and employees around the world, Kyndryl is subject to, or could become subject to, either as plaintiff or defendant, a variety of contingencies, including claims, demands and suits, investigations, tax matters and proceedings that arise from time to time in the ordinary course of its business. Given the rapidly evolving external landscape of cybersecurity, privacy and data protection laws, regulations and threat actors, the Company or its clients could become subject to actions or proceedings in various jurisdictions. Also, as is typical for companies of Kyndryl’s scope and scale, the Company is subject to, or could become subject to, actions and proceedings in various jurisdictions involving a wide range of labor and employment issues (including matters related to contested employment decisions, country-specific labor and employment laws, and the Company’s benefit plans), as well as actions with respect to contracts, securities, foreign operations, competition law and environmental matters. These actions may be commenced by a number of different parties, including competitors, clients, employees, government and regulatory agencies, stockholders and representatives of the locations in which the Company does business. Some of the actions to which the Company is, or may become, party may involve particularly complex technical issues, and some actions may raise novel questions under the laws of the various jurisdictions in which these matters arise. Additionally, the Company is, or may be, a party to agreements pursuant to which it may be obligated to indemnify the other party with respect to certain matters.</w:t>
      </w:r>
    </w:p>
    <w:p>
      <w:pPr>
        <w:spacing w:after="0" w:line="196"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 provision with respect to a claim, suit, investigation or proceeding when it is probable that a liability has been incurred and the amount of the loss can be reasonably estimated. In accordance with the relevant accounting guidance, the Company provides disclosures of matters for which the likelihood of material loss is at least reasonably possible. In addition, the Company may also disclose matters based on its consideration of other matters and qualitative factors.</w:t>
      </w:r>
    </w:p>
    <w:p>
      <w:pPr>
        <w:spacing w:after="0" w:line="183"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claims, suits, investigations and proceedings at least quarterly, and decisions are made with respect to recording or adjusting provisions and disclosing reasonably possible losses or range of losses (individually or in the aggregate) to reflect the impact and status of settlement discussions, discovery, procedural and substantive rulings, reviews by counsel and other information pertinent to a particular matter.</w:t>
      </w:r>
    </w:p>
    <w:p>
      <w:pPr>
        <w:spacing w:after="0" w:line="18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Whether any losses, damages or remedies finally determined in any claim, suit, investigation or proceeding could reasonably have a material effect on the Company’s business, financial condition, results of operations or cash flows will depend on a number of variables, including the timing and amount of such losses or damages; the structure and type of any such remedies; the significance of the impact any such losses, damages or remedies may have in the consolidated financial statements; and the unique facts and circumstances of the particular matter that may give rise to additional factors. While the Company will continue to defend itself vigorously, it is possible that the Company’s business, financial condition, results of operations or cash flows could be affected in any particular period by the resolution of one or more of these matters.</w:t>
      </w:r>
    </w:p>
    <w:p>
      <w:pPr>
        <w:spacing w:after="0" w:line="192" w:lineRule="exact"/>
        <w:rPr>
          <w:sz w:val="20"/>
          <w:szCs w:val="20"/>
          <w:color w:val="auto"/>
        </w:rPr>
      </w:pPr>
    </w:p>
    <w:p>
      <w:pPr>
        <w:ind w:left="60" w:right="119" w:firstLine="648"/>
        <w:spacing w:after="0" w:line="273" w:lineRule="auto"/>
        <w:rPr>
          <w:sz w:val="20"/>
          <w:szCs w:val="20"/>
          <w:color w:val="auto"/>
        </w:rPr>
      </w:pPr>
      <w:r>
        <w:rPr>
          <w:rFonts w:ascii="Times New Roman" w:cs="Times New Roman" w:eastAsia="Times New Roman" w:hAnsi="Times New Roman"/>
          <w:sz w:val="17"/>
          <w:szCs w:val="17"/>
          <w:color w:val="auto"/>
        </w:rPr>
        <w:t>In July 2017, BMC Software, Inc. (“BMC”) filed suit against IBM in the U.S. Court for the Southern District of Texas in a dispute involving various aspects of IBM’s business, including its managed infrastructure business. BMC alleged IBM’s removal of BMC software from one of its client’s sites at the client’s request constituted breach of contract, fraudulent inducement and trade secret misappropriation. In May 2022, the trial court entered a judgment against IBM and awarded BMC $717 million in direct damages and $717 million in punitive damages, plus interest, for which IBM might have tried to seek an indemnity from the Company. However, IBM appealed the judgment, and in April 2024, the court of appeals overturned the judgment against IBM. Accordingly, we do not expect to have any liability related to this judgment.</w:t>
      </w:r>
    </w:p>
    <w:p>
      <w:pPr>
        <w:spacing w:after="0" w:line="171"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Separately, certain contractual disputes have arisen between Kyndryl and IBM following the Separation. Over the course of this fiscal year, Kyndryl and IBM have resolved most of these matters, including those in arbitration proceedings, with certain of these matters resulting in a credit recorded in cost of services in the three months ended June 30, 2024, and other matters being resolved during the period largely in line with the Company’s accruals with no net cash outlays by Kyndryl required.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22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reclassifications and taxes related to items of other comprehensive income (loss) for the three and nine months ended December 31, 2024 and 2023:</w:t>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1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2024:</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gridSpan w:val="2"/>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160" w:type="dxa"/>
            <w:vAlign w:val="bottom"/>
            <w:gridSpan w:val="2"/>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1160" w:type="dxa"/>
            <w:vAlign w:val="bottom"/>
            <w:gridSpan w:val="2"/>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160" w:type="dxa"/>
            <w:vAlign w:val="bottom"/>
            <w:gridSpan w:val="2"/>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1160" w:type="dxa"/>
            <w:vAlign w:val="bottom"/>
            <w:gridSpan w:val="2"/>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1160" w:type="dxa"/>
            <w:vAlign w:val="bottom"/>
            <w:gridSpan w:val="2"/>
          </w:tcPr>
          <w:p>
            <w:pPr>
              <w:jc w:val="right"/>
              <w:ind w:right="75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2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120015</wp:posOffset>
            </wp:positionV>
            <wp:extent cx="141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ind w:left="380" w:right="119" w:hanging="330"/>
        <w:spacing w:after="0" w:line="261" w:lineRule="auto"/>
        <w:tabs>
          <w:tab w:leader="none" w:pos="3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13 – Retirement-Related Benefits for additional information.</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Pretax</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220" w:type="dxa"/>
            <w:vAlign w:val="bottom"/>
          </w:tcPr>
          <w:p>
            <w:pPr>
              <w:spacing w:after="0"/>
              <w:rPr>
                <w:sz w:val="13"/>
                <w:szCs w:val="13"/>
                <w:color w:val="auto"/>
              </w:rPr>
            </w:pPr>
          </w:p>
        </w:tc>
        <w:tc>
          <w:tcPr>
            <w:tcW w:w="11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Net-of-Tax</w:t>
            </w:r>
          </w:p>
        </w:tc>
        <w:tc>
          <w:tcPr>
            <w:tcW w:w="0" w:type="dxa"/>
            <w:vAlign w:val="bottom"/>
          </w:tcPr>
          <w:p>
            <w:pPr>
              <w:spacing w:after="0"/>
              <w:rPr>
                <w:sz w:val="1"/>
                <w:szCs w:val="1"/>
                <w:color w:val="auto"/>
              </w:rPr>
            </w:pPr>
          </w:p>
        </w:tc>
      </w:tr>
      <w:tr>
        <w:trPr>
          <w:trHeight w:val="173"/>
        </w:trPr>
        <w:tc>
          <w:tcPr>
            <w:tcW w:w="4420" w:type="dxa"/>
            <w:vAlign w:val="bottom"/>
            <w:gridSpan w:val="2"/>
            <w:vMerge w:val="continue"/>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20" w:type="dxa"/>
            <w:vAlign w:val="bottom"/>
          </w:tcPr>
          <w:p>
            <w:pPr>
              <w:spacing w:after="0"/>
              <w:rPr>
                <w:sz w:val="15"/>
                <w:szCs w:val="15"/>
                <w:color w:val="auto"/>
              </w:rPr>
            </w:pPr>
          </w:p>
        </w:tc>
        <w:tc>
          <w:tcPr>
            <w:tcW w:w="11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December 31, 2024:</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(159)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on net investment hedges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foreign currency translation adjustments</w:t>
            </w:r>
          </w:p>
        </w:tc>
        <w:tc>
          <w:tcPr>
            <w:tcW w:w="92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92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gains (losses) arising during the period</w:t>
            </w:r>
          </w:p>
        </w:tc>
        <w:tc>
          <w:tcPr>
            <w:tcW w:w="92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9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(122)</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December 31, 2023:</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on cash flow hedges: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gains (losses) arising during the period</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 of (gains) losses to net income</w:t>
            </w:r>
          </w:p>
        </w:tc>
        <w:tc>
          <w:tcPr>
            <w:tcW w:w="9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unrealized gains (losses) on cash flow hedges</w:t>
            </w:r>
          </w:p>
        </w:tc>
        <w:tc>
          <w:tcPr>
            <w:tcW w:w="92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Retirement-related benefit plans*:</w:t>
            </w:r>
          </w:p>
        </w:tc>
        <w:tc>
          <w:tcPr>
            <w:tcW w:w="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(credits) costs</w:t>
            </w: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net (gains) losses</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retirement-related benefit plans</w:t>
            </w:r>
          </w:p>
        </w:tc>
        <w:tc>
          <w:tcPr>
            <w:tcW w:w="92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92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27" w:lineRule="exact"/>
        <w:rPr>
          <w:sz w:val="20"/>
          <w:szCs w:val="20"/>
          <w:color w:val="auto"/>
        </w:rPr>
      </w:pPr>
    </w:p>
    <w:p>
      <w:pPr>
        <w:ind w:left="380" w:right="119" w:hanging="330"/>
        <w:spacing w:after="0" w:line="261" w:lineRule="auto"/>
        <w:tabs>
          <w:tab w:leader="none" w:pos="3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AOCI components are included in the computation of net periodic benefit cost. Refer to Note 13 – Retirement-Related Benefits for additional information.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net of taxes: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3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top w:val="single" w:sz="8" w:color="CCEEFF"/>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Net Change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 Cash</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73"/>
        </w:trPr>
        <w:tc>
          <w:tcPr>
            <w:tcW w:w="360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Flow Hedges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2023</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(921)</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137160</wp:posOffset>
            </wp:positionV>
            <wp:extent cx="141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27"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translation adjustments are presented gross.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November 2024, the Company’s Board of Directors authorized a share repurchase program of up to</w:t>
      </w:r>
    </w:p>
    <w:p>
      <w:pPr>
        <w:spacing w:after="0" w:line="27" w:lineRule="exact"/>
        <w:rPr>
          <w:sz w:val="20"/>
          <w:szCs w:val="20"/>
          <w:color w:val="auto"/>
        </w:rPr>
      </w:pPr>
    </w:p>
    <w:p>
      <w:pPr>
        <w:ind w:left="60" w:right="219"/>
        <w:spacing w:after="0" w:line="252" w:lineRule="auto"/>
        <w:rPr>
          <w:sz w:val="20"/>
          <w:szCs w:val="20"/>
          <w:color w:val="auto"/>
        </w:rPr>
      </w:pPr>
      <w:r>
        <w:rPr>
          <w:rFonts w:ascii="Times New Roman" w:cs="Times New Roman" w:eastAsia="Times New Roman" w:hAnsi="Times New Roman"/>
          <w:sz w:val="18"/>
          <w:szCs w:val="18"/>
          <w:color w:val="auto"/>
        </w:rPr>
        <w:t>$300 million of the Company’s common stock (the “Share Repurchase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spacing w:after="0" w:line="188"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repurchased 0.9 million shares of its common stock at an aggregate cost of $30 million under the Share Repurchase Program.</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RETIREMENT-RELATED BENEFITS</w:t>
      </w:r>
    </w:p>
    <w:p>
      <w:pPr>
        <w:spacing w:after="0" w:line="189"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The following table presents the components of net periodic pension cost for the defined benefit pension plans recognized in the Consolidated Income Statement for the three and nine months ended December 31, 2024 and 2023.</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42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3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(credits)*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actuarial losses (gains)*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Curtailments and settlements*</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3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hanging="330"/>
        <w:spacing w:after="0"/>
        <w:tabs>
          <w:tab w:leader="none" w:pos="3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components of net periodic pension cost are included in other expense (income) in the Consolidated Income Statement.</w:t>
      </w:r>
    </w:p>
    <w:p>
      <w:pPr>
        <w:spacing w:after="0" w:line="20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components of net periodic benefit cost for the nonpension postretirement benefit plans and multi-employer plans recognized in the Consolidated Income Statement were not material for any period presented.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WORKFORCE REBALANCING AND SITE-RATIONALIZATION CHARGES</w:t>
      </w:r>
    </w:p>
    <w:p>
      <w:pPr>
        <w:spacing w:after="0" w:line="189"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During the nine months ended December 31, 2024, the Company initiated actions to reduce our overall cost structure and increase our operating efficiency which we expect to continue through the end of the 2025 fiscal year. These actions resulted in workforce rebalancing charges and charges related to ceasing to use leased and owned fixed assets (collectively, the “Fiscal 2025 Program”). We expect the total charges to be incurred related to the Fiscal 2025 Program to be approximately $140 million, consisting of $100 million in workforce rebalancing charges and $40 million in charges related to ceasing to use leased and owned fixed assets. The Company expects that these actions will reduce future payroll costs, rent expenses and depreciation of property and equipment.</w:t>
      </w:r>
    </w:p>
    <w:p>
      <w:pPr>
        <w:spacing w:after="0" w:line="189" w:lineRule="exact"/>
        <w:rPr>
          <w:sz w:val="20"/>
          <w:szCs w:val="20"/>
          <w:color w:val="auto"/>
        </w:rPr>
      </w:pPr>
    </w:p>
    <w:p>
      <w:pPr>
        <w:ind w:left="60" w:right="439" w:firstLine="648"/>
        <w:spacing w:after="0" w:line="273" w:lineRule="auto"/>
        <w:rPr>
          <w:sz w:val="20"/>
          <w:szCs w:val="20"/>
          <w:color w:val="auto"/>
        </w:rPr>
      </w:pPr>
      <w:r>
        <w:rPr>
          <w:rFonts w:ascii="Times New Roman" w:cs="Times New Roman" w:eastAsia="Times New Roman" w:hAnsi="Times New Roman"/>
          <w:sz w:val="17"/>
          <w:szCs w:val="17"/>
          <w:color w:val="auto"/>
        </w:rPr>
        <w:t>During the year ended March 31, 2023, the Company initiated actions to reduce our overall cost structure and increase our operating efficiency, which continued through the year ended March 31, 2024. These actions resulted in workforce rebalancing charges, charges related to ceasing to use leased and owned fixed assets, and lease termination charges (collectively, the “Fiscal 2024 Program”). The total charges incurred related to the Fiscal 2024 Program were approximately $310 million, consisting of $190 million in workforce rebalancing charges and $120 million in charges related to ceasing to use leased and owned fixed assets and lease termination charges. The Company expects that these actions will reduce future payroll costs, rent expenses and depreciation of property and equipment.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segment breakout of charges incurred during the three and nine months ended December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142"/>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tcBorders>
              <w:bottom w:val="single" w:sz="8" w:color="auto"/>
            </w:tcBorders>
            <w:gridSpan w:val="4"/>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Borders>
              <w:bottom w:val="single" w:sz="8" w:color="auto"/>
            </w:tcBorders>
            <w:gridSpan w:val="4"/>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Pr>
          <w:p>
            <w:pPr>
              <w:spacing w:after="0"/>
              <w:rPr>
                <w:sz w:val="12"/>
                <w:szCs w:val="12"/>
                <w:color w:val="auto"/>
              </w:rPr>
            </w:pPr>
          </w:p>
        </w:tc>
        <w:tc>
          <w:tcPr>
            <w:tcW w:w="840" w:type="dxa"/>
            <w:vAlign w:val="bottom"/>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r>
      <w:tr>
        <w:trPr>
          <w:trHeight w:val="142"/>
        </w:trPr>
        <w:tc>
          <w:tcPr>
            <w:tcW w:w="246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2"/>
                <w:szCs w:val="12"/>
                <w:color w:val="auto"/>
              </w:rPr>
            </w:pPr>
          </w:p>
        </w:tc>
        <w:tc>
          <w:tcPr>
            <w:tcW w:w="840" w:type="dxa"/>
            <w:vAlign w:val="bottom"/>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r>
      <w:tr>
        <w:trPr>
          <w:trHeight w:val="209"/>
        </w:trPr>
        <w:tc>
          <w:tcPr>
            <w:tcW w:w="23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46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Principal Markets</w:t>
            </w:r>
            <w:r>
              <w:rPr>
                <w:rFonts w:ascii="Times New Roman" w:cs="Times New Roman" w:eastAsia="Times New Roman" w:hAnsi="Times New Roman"/>
                <w:sz w:val="25"/>
                <w:szCs w:val="25"/>
                <w:color w:val="auto"/>
                <w:vertAlign w:val="superscript"/>
              </w:rPr>
              <w:t>(1)</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460" w:type="dxa"/>
            <w:vAlign w:val="bottom"/>
            <w:tcBorders>
              <w:bottom w:val="single" w:sz="8" w:color="CCEEFF"/>
            </w:tcBorders>
            <w:gridSpan w:val="3"/>
          </w:tcPr>
          <w:p>
            <w:pPr>
              <w:ind w:left="20"/>
              <w:spacing w:after="0" w:line="216" w:lineRule="exact"/>
              <w:rPr>
                <w:sz w:val="20"/>
                <w:szCs w:val="20"/>
                <w:color w:val="auto"/>
              </w:rPr>
            </w:pPr>
            <w:r>
              <w:rPr>
                <w:rFonts w:ascii="Times New Roman" w:cs="Times New Roman" w:eastAsia="Times New Roman" w:hAnsi="Times New Roman"/>
                <w:sz w:val="17"/>
                <w:szCs w:val="17"/>
                <w:color w:val="auto"/>
              </w:rPr>
              <w:t>Strategic Markets</w:t>
            </w:r>
            <w:r>
              <w:rPr>
                <w:rFonts w:ascii="Times New Roman" w:cs="Times New Roman" w:eastAsia="Times New Roman" w:hAnsi="Times New Roman"/>
                <w:sz w:val="25"/>
                <w:szCs w:val="25"/>
                <w:color w:val="auto"/>
                <w:vertAlign w:val="superscript"/>
              </w:rPr>
              <w:t>(1)</w:t>
            </w:r>
          </w:p>
        </w:tc>
        <w:tc>
          <w:tcPr>
            <w:tcW w:w="6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64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16"/>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64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24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640" w:type="dxa"/>
            <w:vAlign w:val="bottom"/>
            <w:tcBorders>
              <w:top w:val="single" w:sz="8" w:color="auto"/>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0"/>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72" w:lineRule="exact"/>
        <w:rPr>
          <w:sz w:val="20"/>
          <w:szCs w:val="20"/>
          <w:color w:val="auto"/>
        </w:rPr>
      </w:pPr>
    </w:p>
    <w:p>
      <w:pPr>
        <w:ind w:left="380" w:right="559" w:hanging="330"/>
        <w:spacing w:after="0" w:line="261" w:lineRule="auto"/>
        <w:tabs>
          <w:tab w:leader="none" w:pos="3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Kyndryl’s operations in Australia/New Zealand transitioned from Principal Markets to Strategic Markets in the quarter ended June 30, 2024; historical segment information has been recast to reflect this change.</w:t>
      </w:r>
    </w:p>
    <w:p>
      <w:pPr>
        <w:spacing w:after="0" w:line="167"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classification of workforce rebalancing and site-rationalization activities in the Consolidated Income Statement during the three and nine months ended December 31, 2024 and 2023.</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0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5"/>
                <w:szCs w:val="15"/>
                <w:color w:val="auto"/>
              </w:rPr>
            </w:pPr>
          </w:p>
        </w:tc>
        <w:tc>
          <w:tcPr>
            <w:tcW w:w="19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Costs Incurred to Date</w:t>
            </w:r>
          </w:p>
        </w:tc>
      </w:tr>
      <w:tr>
        <w:trPr>
          <w:trHeight w:val="142"/>
        </w:trPr>
        <w:tc>
          <w:tcPr>
            <w:tcW w:w="2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2000" w:type="dxa"/>
            <w:vAlign w:val="bottom"/>
            <w:gridSpan w:val="5"/>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Fiscal 2025</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Fiscal 2024</w:t>
            </w:r>
          </w:p>
        </w:tc>
        <w:tc>
          <w:tcPr>
            <w:tcW w:w="20" w:type="dxa"/>
            <w:vAlign w:val="bottom"/>
          </w:tcPr>
          <w:p>
            <w:pPr>
              <w:spacing w:after="0"/>
              <w:rPr>
                <w:sz w:val="12"/>
                <w:szCs w:val="12"/>
                <w:color w:val="auto"/>
              </w:rPr>
            </w:pPr>
          </w:p>
        </w:tc>
      </w:tr>
      <w:tr>
        <w:trPr>
          <w:trHeight w:val="142"/>
        </w:trPr>
        <w:tc>
          <w:tcPr>
            <w:tcW w:w="24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Program</w:t>
            </w:r>
          </w:p>
        </w:tc>
      </w:tr>
      <w:tr>
        <w:trPr>
          <w:trHeight w:val="209"/>
        </w:trPr>
        <w:tc>
          <w:tcPr>
            <w:tcW w:w="2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r>
      <w:tr>
        <w:trPr>
          <w:trHeight w:val="198"/>
        </w:trPr>
        <w:tc>
          <w:tcPr>
            <w:tcW w:w="24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20"/>
                <w:szCs w:val="20"/>
                <w:color w:val="auto"/>
              </w:rPr>
            </w:pPr>
          </w:p>
        </w:tc>
      </w:tr>
      <w:tr>
        <w:trPr>
          <w:trHeight w:val="216"/>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Pr>
          <w:p>
            <w:pPr>
              <w:spacing w:after="0"/>
              <w:rPr>
                <w:sz w:val="18"/>
                <w:szCs w:val="18"/>
                <w:color w:val="auto"/>
              </w:rPr>
            </w:pPr>
          </w:p>
        </w:tc>
      </w:tr>
      <w:tr>
        <w:trPr>
          <w:trHeight w:val="210"/>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charges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5"/>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and changes in our workforce rebalancing and site-rationalization charges liabilities during the nine months ended December 31,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vMerge w:val="restart"/>
          </w:tcPr>
          <w:p>
            <w:pPr>
              <w:jc w:val="center"/>
              <w:ind w:left="281"/>
              <w:spacing w:after="0"/>
              <w:rPr>
                <w:sz w:val="20"/>
                <w:szCs w:val="20"/>
                <w:color w:val="auto"/>
              </w:rPr>
            </w:pPr>
            <w:r>
              <w:rPr>
                <w:rFonts w:ascii="Times New Roman" w:cs="Times New Roman" w:eastAsia="Times New Roman" w:hAnsi="Times New Roman"/>
                <w:sz w:val="14"/>
                <w:szCs w:val="14"/>
                <w:b w:val="1"/>
                <w:bCs w:val="1"/>
                <w:color w:val="auto"/>
              </w:rPr>
              <w:t>Workforce</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Related to</w:t>
            </w: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Rebalancing</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Ceasing to Use</w:t>
            </w:r>
          </w:p>
        </w:tc>
        <w:tc>
          <w:tcPr>
            <w:tcW w:w="380" w:type="dxa"/>
            <w:vAlign w:val="bottom"/>
          </w:tcPr>
          <w:p>
            <w:pPr>
              <w:spacing w:after="0"/>
              <w:rPr>
                <w:sz w:val="12"/>
                <w:szCs w:val="12"/>
                <w:color w:val="auto"/>
              </w:rPr>
            </w:pPr>
          </w:p>
        </w:tc>
        <w:tc>
          <w:tcPr>
            <w:tcW w:w="12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80" w:type="dxa"/>
            <w:vAlign w:val="bottom"/>
            <w:gridSpan w:val="3"/>
            <w:vMerge w:val="continue"/>
          </w:tcPr>
          <w:p>
            <w:pPr>
              <w:spacing w:after="0"/>
              <w:rPr>
                <w:sz w:val="15"/>
                <w:szCs w:val="15"/>
                <w:color w:val="auto"/>
              </w:rPr>
            </w:pPr>
          </w:p>
        </w:tc>
        <w:tc>
          <w:tcPr>
            <w:tcW w:w="1260" w:type="dxa"/>
            <w:vAlign w:val="bottom"/>
          </w:tcPr>
          <w:p>
            <w:pPr>
              <w:jc w:val="center"/>
              <w:ind w:left="301"/>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Leased Assets</w:t>
            </w:r>
          </w:p>
        </w:tc>
        <w:tc>
          <w:tcPr>
            <w:tcW w:w="3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8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Fiscal 2024 Program</w:t>
            </w:r>
          </w:p>
        </w:tc>
        <w:tc>
          <w:tcPr>
            <w:tcW w:w="3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60" w:type="dxa"/>
            <w:vAlign w:val="bottom"/>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6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60" w:type="dxa"/>
            <w:vAlign w:val="bottom"/>
            <w:tcBorders>
              <w:top w:val="single" w:sz="8" w:color="auto"/>
              <w:bottom w:val="single" w:sz="8" w:color="auto"/>
            </w:tcBorders>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2025 Program</w:t>
            </w:r>
          </w:p>
        </w:tc>
        <w:tc>
          <w:tcPr>
            <w:tcW w:w="126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60" w:type="dxa"/>
            <w:vAlign w:val="bottom"/>
            <w:shd w:val="clear" w:color="auto" w:fill="CCEEFF"/>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60" w:type="dxa"/>
            <w:vAlign w:val="bottom"/>
            <w:tcBorders>
              <w:top w:val="single" w:sz="8" w:color="auto"/>
              <w:bottom w:val="single" w:sz="8" w:color="auto"/>
            </w:tcBorders>
            <w:shd w:val="clear" w:color="auto" w:fill="CCEEFF"/>
          </w:tcPr>
          <w:p>
            <w:pPr>
              <w:jc w:val="right"/>
              <w:ind w:right="1101"/>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139" w:hanging="330"/>
        <w:spacing w:after="0" w:line="241" w:lineRule="auto"/>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Fiscal 2024 Program excludes workforce rebalancing liabilities inherited from our former Parent of $29 million as of March 31, 2024. Current-year movement excludes cash payments of $12 million, non-cash adjustment for $2 million and ending balance of $19 million related to actions initiated by our former Parent. Workforce rebalancing liabilities are recorded within other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FOR THE THREE AND NINE MONTHS ENDED DECEMBER 31, 2024</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5"/>
                <w:szCs w:val="15"/>
                <w:color w:val="auto"/>
              </w:rPr>
            </w:pPr>
          </w:p>
        </w:tc>
        <w:tc>
          <w:tcPr>
            <w:tcW w:w="2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20" w:type="dxa"/>
            <w:vAlign w:val="bottom"/>
          </w:tcPr>
          <w:p>
            <w:pPr>
              <w:spacing w:after="0"/>
              <w:rPr>
                <w:sz w:val="15"/>
                <w:szCs w:val="15"/>
                <w:color w:val="auto"/>
              </w:rPr>
            </w:pPr>
          </w:p>
        </w:tc>
        <w:tc>
          <w:tcPr>
            <w:tcW w:w="256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240" w:type="dxa"/>
            <w:vAlign w:val="bottom"/>
            <w:gridSpan w:val="3"/>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3,936</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11,257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12,202</w:t>
            </w:r>
          </w:p>
        </w:tc>
        <w:tc>
          <w:tcPr>
            <w:tcW w:w="0" w:type="dxa"/>
            <w:vAlign w:val="bottom"/>
          </w:tcPr>
          <w:p>
            <w:pPr>
              <w:spacing w:after="0"/>
              <w:rPr>
                <w:sz w:val="1"/>
                <w:szCs w:val="1"/>
                <w:color w:val="auto"/>
              </w:rPr>
            </w:pPr>
          </w:p>
        </w:tc>
      </w:tr>
      <w:tr>
        <w:trPr>
          <w:trHeight w:val="243"/>
        </w:trPr>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Revenue growth (GAAP)</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2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Revenue growth in constant currency</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3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43"/>
        </w:trPr>
        <w:tc>
          <w:tcPr>
            <w:tcW w:w="3240" w:type="dxa"/>
            <w:vAlign w:val="bottom"/>
            <w:gridSpan w:val="3"/>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80" w:right="99" w:hanging="330"/>
        <w:spacing w:after="0" w:line="269" w:lineRule="auto"/>
        <w:tabs>
          <w:tab w:leader="none" w:pos="359"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For definitions of these metrics and a reconciliation of adjusted EBITDA to the most directly comparable financial measure calculated and presented in accordance with U.S. GAAP, see “Segment Results.”</w:t>
      </w:r>
    </w:p>
    <w:p>
      <w:pPr>
        <w:spacing w:after="0" w:line="34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3"/>
                <w:szCs w:val="13"/>
                <w:color w:val="auto"/>
              </w:rPr>
            </w:pPr>
          </w:p>
        </w:tc>
        <w:tc>
          <w:tcPr>
            <w:tcW w:w="144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4540" w:type="dxa"/>
            <w:vAlign w:val="bottom"/>
            <w:vMerge w:val="continue"/>
          </w:tcPr>
          <w:p>
            <w:pPr>
              <w:spacing w:after="0"/>
              <w:rPr>
                <w:sz w:val="15"/>
                <w:szCs w:val="15"/>
                <w:color w:val="auto"/>
              </w:rPr>
            </w:pPr>
          </w:p>
        </w:tc>
        <w:tc>
          <w:tcPr>
            <w:tcW w:w="1660" w:type="dxa"/>
            <w:vAlign w:val="bottom"/>
            <w:gridSpan w:val="2"/>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8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Organization of Information</w:t>
      </w:r>
    </w:p>
    <w:p>
      <w:pPr>
        <w:spacing w:after="0" w:line="229" w:lineRule="exact"/>
        <w:rPr>
          <w:sz w:val="20"/>
          <w:szCs w:val="20"/>
          <w:color w:val="auto"/>
        </w:rPr>
      </w:pPr>
    </w:p>
    <w:p>
      <w:pPr>
        <w:ind w:left="60" w:right="219" w:firstLine="648"/>
        <w:spacing w:after="0" w:line="281" w:lineRule="auto"/>
        <w:rPr>
          <w:sz w:val="20"/>
          <w:szCs w:val="20"/>
          <w:color w:val="auto"/>
        </w:rPr>
      </w:pPr>
      <w:r>
        <w:rPr>
          <w:rFonts w:ascii="Times New Roman" w:cs="Times New Roman" w:eastAsia="Times New Roman" w:hAnsi="Times New Roman"/>
          <w:sz w:val="17"/>
          <w:szCs w:val="17"/>
          <w:color w:val="auto"/>
        </w:rPr>
        <w:t>Kyndryl Holdings, Inc. was formed as a wholly-owned subsidiary of IBM in September 2021 to hold the operations of the infrastructure services unit of IBM’s Global Technology Services segment. On November 3, 2021, Kyndryl separated from IBM through a spin-off that was tax-free for U.S. federal tax purposes. Following the Separation, Kyndryl became an independent, publicly-traded company and the world’s leading IT infrastructure services provider.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 Dynamics</w:t>
      </w:r>
    </w:p>
    <w:p>
      <w:pPr>
        <w:spacing w:after="0" w:line="22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In fiscal year 2025, we have seen continuing demand for information technology services, despite concerns about economic growth and geopolitical tensions. Most economists, including the International Monetary Fund, expect positive macroeconomic growth to continue in calendar year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Performance</w:t>
      </w:r>
    </w:p>
    <w:p>
      <w:pPr>
        <w:spacing w:after="0" w:line="22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For the three months ended December 31, 2024, we reported $3.7 billion in revenue, a decline of 5 percent compared to the prior-year period. Roughly half of the decline was due to currency movements, and the remainder was largely attributable to actions the Company has taken to reduce low-margin components of its customer relationships, as well as the divestiture of the Company’s SIS platform in Canada, which was completed during the three months ended December 31, 2024. United States revenue declined 7 percent, Japan revenue was unchanged (but increased in constant currency), Principal Markets revenue declined 4 percent and Strategic Markets revenue declined 6 percent, in each case compared to the three months ended December 31, 2023. Net income of $215 million improved by $227 million versus the prior-year period driven by a $138 million after-tax gain from the sale of our SIS business (classified as a transaction-related benefit) and progress on our key initiatives to drive operating efficiencies and increased margins,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partially offset by increased software costs and the impact in the prior year of an agreement that allowed us to collect previously reserved receivables from our former Parent (classified as a transaction-related benefit).</w:t>
      </w:r>
    </w:p>
    <w:p>
      <w:pPr>
        <w:spacing w:after="0" w:line="16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For the nine months ended December 31, 2024, we reported $11.3 billion in revenue, a decline of 8 percent compared to the prior-year period. The revenue decline was largely attributable to actions the Company has taken to reduce low-margin components of its customer relationships, as well as currency effects. United States revenue declined 12 percent, Japan revenue was unchanged (but increased in constant currency), Principal Markets revenue declined 5 percent and Strategic Markets revenue decreased 11 percent, in each case compared to the nine months ended December 31, 2023. Net income of $183 million improved by $478 million versus the prior-year period driven by a combination of lower depreciation expenses resulting from the change of useful life of information technology equipment effective April 1, 2024 (a year-over-year benefit of $150 million, before taxes), a $138 million after-tax gain from the sale of our SIS business, progress on our key initiatives to drive operating efficiencies and increased margins, and a vendor credit, partially offset by increased software costs.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2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Company made a minor change to its geographic reportable segments effective June 1, 2024 to reflect how the Company manages its operations and measures business performance, transitioning the reporting and management of its operations in Australia/New Zealand from the Principal Markets segment to the Strategic Markets segment. All historical segment information has been recast to reflect this change. The following table presents our reportable segments’ revenue and adjusted EBITDA for the three and nine months ended December 31, 2024 and 2023. Segment revenue and revenue growth in constant currency exclude any transactions between the segments.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6"/>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Year-over-</w:t>
            </w:r>
          </w:p>
        </w:tc>
        <w:tc>
          <w:tcPr>
            <w:tcW w:w="242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Year-over-Year</w:t>
            </w:r>
          </w:p>
        </w:tc>
        <w:tc>
          <w:tcPr>
            <w:tcW w:w="0" w:type="dxa"/>
            <w:vAlign w:val="bottom"/>
          </w:tcPr>
          <w:p>
            <w:pPr>
              <w:spacing w:after="0"/>
              <w:rPr>
                <w:sz w:val="1"/>
                <w:szCs w:val="1"/>
                <w:color w:val="auto"/>
              </w:rPr>
            </w:pPr>
          </w:p>
        </w:tc>
      </w:tr>
      <w:tr>
        <w:trPr>
          <w:trHeight w:val="173"/>
        </w:trPr>
        <w:tc>
          <w:tcPr>
            <w:tcW w:w="2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0" w:type="dxa"/>
            <w:vAlign w:val="bottom"/>
            <w:gridSpan w:val="6"/>
            <w:vMerge w:val="continue"/>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Year Change</w:t>
            </w:r>
          </w:p>
        </w:tc>
        <w:tc>
          <w:tcPr>
            <w:tcW w:w="2420" w:type="dxa"/>
            <w:vAlign w:val="bottom"/>
            <w:gridSpan w:val="6"/>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6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0"/>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1,032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2,907</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3,305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1,753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1,361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3,933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4,128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904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2,664</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3,009</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3,744</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3,936</w:t>
            </w:r>
          </w:p>
        </w:tc>
        <w:tc>
          <w:tcPr>
            <w:tcW w:w="14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11,257</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12,202</w:t>
            </w: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39"/>
        </w:trPr>
        <w:tc>
          <w:tcPr>
            <w:tcW w:w="2060" w:type="dxa"/>
            <w:vAlign w:val="bottom"/>
            <w:gridSpan w:val="2"/>
            <w:shd w:val="clear" w:color="auto" w:fill="CCEEFF"/>
          </w:tcPr>
          <w:p>
            <w:pPr>
              <w:ind w:left="220"/>
              <w:spacing w:after="0" w:line="139" w:lineRule="exact"/>
              <w:rPr>
                <w:sz w:val="20"/>
                <w:szCs w:val="20"/>
                <w:color w:val="auto"/>
              </w:rPr>
            </w:pPr>
            <w:r>
              <w:rPr>
                <w:rFonts w:ascii="Times New Roman" w:cs="Times New Roman" w:eastAsia="Times New Roman" w:hAnsi="Times New Roman"/>
                <w:sz w:val="16"/>
                <w:szCs w:val="16"/>
                <w:b w:val="1"/>
                <w:bCs w:val="1"/>
                <w:color w:val="auto"/>
              </w:rPr>
              <w:t>Revenue growth in</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60" w:type="dxa"/>
            <w:vAlign w:val="bottom"/>
            <w:gridSpan w:val="2"/>
            <w:shd w:val="clear" w:color="auto" w:fill="CCEEFF"/>
          </w:tcPr>
          <w:p>
            <w:pPr>
              <w:ind w:left="220"/>
              <w:spacing w:after="0" w:line="246" w:lineRule="exact"/>
              <w:rPr>
                <w:sz w:val="20"/>
                <w:szCs w:val="20"/>
                <w:color w:val="auto"/>
              </w:rPr>
            </w:pPr>
            <w:r>
              <w:rPr>
                <w:rFonts w:ascii="Times New Roman" w:cs="Times New Roman" w:eastAsia="Times New Roman" w:hAnsi="Times New Roman"/>
                <w:sz w:val="18"/>
                <w:szCs w:val="18"/>
                <w:b w:val="1"/>
                <w:bCs w:val="1"/>
                <w:color w:val="auto"/>
              </w:rPr>
              <w:t>constant currency</w:t>
            </w:r>
            <w:r>
              <w:rPr>
                <w:rFonts w:ascii="Times New Roman" w:cs="Times New Roman" w:eastAsia="Times New Roman" w:hAnsi="Times New Roman"/>
                <w:sz w:val="26"/>
                <w:szCs w:val="26"/>
                <w:b w:val="1"/>
                <w:bCs w:val="1"/>
                <w:color w:val="auto"/>
                <w:vertAlign w:val="superscript"/>
              </w:rPr>
              <w:t>(1)</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(1)</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607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Markets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511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Strategic Markets</w:t>
            </w: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Corporate and other</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NM</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66"/>
        </w:trPr>
        <w:tc>
          <w:tcPr>
            <w:tcW w:w="2060" w:type="dxa"/>
            <w:vAlign w:val="bottom"/>
            <w:gridSpan w:val="2"/>
          </w:tcPr>
          <w:p>
            <w:pPr>
              <w:ind w:left="220"/>
              <w:spacing w:after="0" w:line="166" w:lineRule="exact"/>
              <w:rPr>
                <w:sz w:val="20"/>
                <w:szCs w:val="20"/>
                <w:color w:val="auto"/>
              </w:rPr>
            </w:pPr>
            <w:r>
              <w:rPr>
                <w:rFonts w:ascii="Times New Roman" w:cs="Times New Roman" w:eastAsia="Times New Roman" w:hAnsi="Times New Roman"/>
                <w:sz w:val="18"/>
                <w:szCs w:val="18"/>
                <w:b w:val="1"/>
                <w:bCs w:val="1"/>
                <w:color w:val="auto"/>
              </w:rPr>
              <w:t>Total adjusted</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14"/>
                <w:szCs w:val="14"/>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1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rPr>
              <w:t>1,801</w:t>
            </w:r>
          </w:p>
        </w:tc>
        <w:tc>
          <w:tcPr>
            <w:tcW w:w="140" w:type="dxa"/>
            <w:vAlign w:val="bottom"/>
          </w:tcPr>
          <w:p>
            <w:pPr>
              <w:spacing w:after="0"/>
              <w:rPr>
                <w:sz w:val="14"/>
                <w:szCs w:val="14"/>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8"/>
        </w:trPr>
        <w:tc>
          <w:tcPr>
            <w:tcW w:w="2060" w:type="dxa"/>
            <w:vAlign w:val="bottom"/>
            <w:gridSpan w:val="2"/>
          </w:tcPr>
          <w:p>
            <w:pPr>
              <w:ind w:left="220"/>
              <w:spacing w:after="0" w:line="232"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6"/>
                <w:szCs w:val="26"/>
                <w:b w:val="1"/>
                <w:bCs w:val="1"/>
                <w:color w:val="auto"/>
                <w:vertAlign w:val="superscript"/>
              </w:rPr>
              <w:t>(1)</w:t>
            </w:r>
          </w:p>
        </w:tc>
        <w:tc>
          <w:tcPr>
            <w:tcW w:w="1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9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4" w:lineRule="exact"/>
        <w:rPr>
          <w:sz w:val="20"/>
          <w:szCs w:val="20"/>
          <w:color w:val="auto"/>
        </w:rPr>
      </w:pPr>
    </w:p>
    <w:p>
      <w:pPr>
        <w:ind w:left="380" w:right="339" w:hanging="330"/>
        <w:spacing w:after="0" w:line="221" w:lineRule="auto"/>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growth in constant currency and adjusted EBITDA are non-GAAP financial metrics. See the information below for definitions of these metrics and a reconciliation of adjusted EBITDA to net income (loss).</w:t>
      </w:r>
    </w:p>
    <w:p>
      <w:pPr>
        <w:ind w:left="380" w:hanging="330"/>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amounts not allocated to segments.</w:t>
      </w:r>
    </w:p>
    <w:p>
      <w:pPr>
        <w:spacing w:after="0" w:line="192" w:lineRule="exact"/>
        <w:rPr>
          <w:sz w:val="20"/>
          <w:szCs w:val="20"/>
          <w:color w:val="auto"/>
        </w:rPr>
      </w:pPr>
    </w:p>
    <w:p>
      <w:pPr>
        <w:ind w:left="60" w:right="219" w:firstLine="648"/>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We also present certain non-GAAP financial measures to provide useful supplemental information to investors. We provide these non-GAAP financial measures as we believe it enhances visibility to underlying results and the impact of management decisions on operational performance, enables better comparison to peer companies and allows us to provide a long-term strategic view of the business going forward.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Revenue growth in constant currency is a non-GAAP measure that eliminates the effects of exchange rate fluctuations when translating from foreign currencies to the United States dollar. It is calculated by using the average exchange rates that existed for the same period of the prior year. Constant-currency measures are provided so that revenue can be viewed without the effect of fluctuations in currency exchange rates, which is consistent with how management evaluates our revenue results and trends.</w:t>
      </w:r>
    </w:p>
    <w:p>
      <w:pPr>
        <w:spacing w:after="0" w:line="18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Additionally, management uses adjusted EBITDA to evaluate our performance. Adjusted EBITDA is a non-GAAP measure and defined as net income (loss) excluding income taxes, interest expense, depreciation and amortization (excluding depreciation of right-of-use assets and amortization of capitalized contract costs), charges related to ceasing to use leased/fixed assets, charges related to lease terminations, transaction-related costs and benefits, pension expenses other than pension servicing costs and multi-employer plan costs, stock-based compensation expense, workforce rebalancing charges incurred prior to March 31, 2024, impairment expense, significant litigation costs and benefits, and currency impacts of highly inflationary countries. We believe that adjusted EBITDA is a helpful supplemental measure to assist investors in evaluating our operating results as it excludes certain items whose fluctuation from period to period does not necessarily correspond to changes in the operations of our business.</w:t>
      </w:r>
    </w:p>
    <w:p>
      <w:pPr>
        <w:spacing w:after="0" w:line="188"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These disclosures are provided in addition to and not as a substitute for the percentage change in revenue and profit or loss measures on a U.S. GAAP basis compared to the corresponding period in the prior year. Other companies may calculate and define similarly labeled items differently, which may limit the usefulness of these measures for comparative purposes.</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a reconciliation of U.S. GAAP net income (loss) to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1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98"/>
        </w:trPr>
        <w:tc>
          <w:tcPr>
            <w:tcW w:w="43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Depreciation of property, equipment and capitalized</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r>
        <w:trPr>
          <w:trHeight w:val="198"/>
        </w:trPr>
        <w:tc>
          <w:tcPr>
            <w:tcW w:w="43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color w:val="auto"/>
              </w:rPr>
              <w:t>Workforce rebalancing charges incurred prior to March</w:t>
            </w: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31, 2024</w:t>
            </w:r>
          </w:p>
        </w:tc>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8"/>
        </w:trPr>
        <w:tc>
          <w:tcPr>
            <w:tcW w:w="436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Charges related to ceasing to use leased/fixed assets and</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terminations</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3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3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Other adjustments*</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1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right="359" w:hanging="330"/>
        <w:spacing w:after="0" w:line="24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represent pension expenses other than pension servicing costs and multi-employer plan costs, significant litigation costs and benefits, and currency impacts of highly inflationary countries. For the three and nine months ended December 31, 2023, other adjustments also include an adjustment to reduce amortization expense for the amount already included in transaction-related costs (benefits) above.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5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38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1,032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2,907</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3,305</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7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2024, United States revenue of $961 million decreased 7 percent compared to the prior-year quarter, driven by the Company’s efforts to reduce certain low-margin revenues and the expiration of certain low- and negative-margin contracts entered into before the Spin-off. Adjusted EBITDA increased $10 million from the prior-year quarter, primarily driven by progress on our key initiatives.</w:t>
      </w:r>
    </w:p>
    <w:p>
      <w:pPr>
        <w:spacing w:after="0" w:line="180" w:lineRule="exact"/>
        <w:rPr>
          <w:sz w:val="20"/>
          <w:szCs w:val="20"/>
          <w:color w:val="auto"/>
        </w:rPr>
      </w:pPr>
    </w:p>
    <w:p>
      <w:pPr>
        <w:ind w:left="60" w:right="319"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December 31, 2024, United States revenue of $2.9 billion decreased 12 percent compared to the prior-year period, driven by the Company’s efforts to reduce certain low-margin revenues and the expiration of certain low- and negative-margin contracts entered into before the Spin-off. Adjusted EBITDA decreased $111 million from the prior-year period, primarily driven by lower revenue and the impact of the inclusion of workforce rebalancing charges in adjusted EBITDA in fiscal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38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579</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1,753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288</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2024, Japan revenue of $579 million was unchanged compared to the prior-year quarter and increased 3 percent in constant currency, primarily driven by expanding the scope of services we provide to our customers. Adjusted EBITDA increased $17 million from the prior-year quarter, primarily driven by progress on our key initiatives.</w:t>
      </w:r>
    </w:p>
    <w:p>
      <w:pPr>
        <w:spacing w:after="0" w:line="180" w:lineRule="exact"/>
        <w:rPr>
          <w:sz w:val="20"/>
          <w:szCs w:val="20"/>
          <w:color w:val="auto"/>
        </w:rPr>
      </w:pPr>
    </w:p>
    <w:p>
      <w:pPr>
        <w:ind w:left="60" w:right="399"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December 31, 2024, Japan revenue of $1.8 billion was unchanged compared to the prior-year period, and increased 6 percent in constant currency, primarily driven by expanding the scope of services we provide to our customers. Adjusted EBITDA increased $10 million from the prior-year period, primarily driven by progress on our key initiatives.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15"/>
                <w:szCs w:val="15"/>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38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1,300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1,361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3,933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79" w:firstLine="648"/>
        <w:spacing w:after="0" w:line="312" w:lineRule="auto"/>
        <w:rPr>
          <w:sz w:val="20"/>
          <w:szCs w:val="20"/>
          <w:color w:val="auto"/>
        </w:rPr>
      </w:pPr>
      <w:r>
        <w:rPr>
          <w:rFonts w:ascii="Times New Roman" w:cs="Times New Roman" w:eastAsia="Times New Roman" w:hAnsi="Times New Roman"/>
          <w:sz w:val="17"/>
          <w:szCs w:val="17"/>
          <w:color w:val="auto"/>
        </w:rPr>
        <w:t>For the three months ended December 31, 2024, Principal Markets revenue of $1.3 billion decreased 4 percent compared to the prior-year quarter, driven by actions the Company has taken to reduce equipment sales and other low-</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359"/>
        <w:spacing w:after="0" w:line="266" w:lineRule="auto"/>
        <w:rPr>
          <w:sz w:val="20"/>
          <w:szCs w:val="20"/>
          <w:color w:val="auto"/>
        </w:rPr>
      </w:pPr>
      <w:r>
        <w:rPr>
          <w:rFonts w:ascii="Times New Roman" w:cs="Times New Roman" w:eastAsia="Times New Roman" w:hAnsi="Times New Roman"/>
          <w:sz w:val="18"/>
          <w:szCs w:val="18"/>
          <w:color w:val="auto"/>
        </w:rPr>
        <w:t>margin components of its customer relationships, as well as the divestiture of its SIS platform in Canada. Adjusted EBITDA increased $35 million from the prior-year quarter, primarily due to increased operating efficiencies and higher margins on recent signings.</w:t>
      </w:r>
    </w:p>
    <w:p>
      <w:pPr>
        <w:spacing w:after="0" w:line="176" w:lineRule="exact"/>
        <w:rPr>
          <w:sz w:val="20"/>
          <w:szCs w:val="20"/>
          <w:color w:val="auto"/>
        </w:rPr>
      </w:pPr>
    </w:p>
    <w:p>
      <w:pPr>
        <w:ind w:left="60" w:right="359" w:firstLine="648"/>
        <w:spacing w:after="0" w:line="281" w:lineRule="auto"/>
        <w:rPr>
          <w:sz w:val="20"/>
          <w:szCs w:val="20"/>
          <w:color w:val="auto"/>
        </w:rPr>
      </w:pPr>
      <w:r>
        <w:rPr>
          <w:rFonts w:ascii="Times New Roman" w:cs="Times New Roman" w:eastAsia="Times New Roman" w:hAnsi="Times New Roman"/>
          <w:sz w:val="17"/>
          <w:szCs w:val="17"/>
          <w:color w:val="auto"/>
        </w:rPr>
        <w:t>For the nine months ended December 31, 2024, Principal Markets revenue of $3.9 billion decreased 5 percent compared to the prior-year period, driven by actions the Company has taken to reduce equipment sales and other low-margin components of its customer relationships. Adjusted EBITDA increased $144 million from the prior-year period, primarily due to increased operating efficiencies and higher margins on recent signings, as well as a vendor credit.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Strategic Markets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15"/>
                <w:szCs w:val="15"/>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60" w:type="dxa"/>
            <w:vAlign w:val="bottom"/>
          </w:tcPr>
          <w:p>
            <w:pPr>
              <w:spacing w:after="0"/>
              <w:rPr>
                <w:sz w:val="15"/>
                <w:szCs w:val="15"/>
                <w:color w:val="auto"/>
              </w:rPr>
            </w:pPr>
          </w:p>
        </w:tc>
        <w:tc>
          <w:tcPr>
            <w:tcW w:w="238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2,664</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year-over-year change</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growth in constant currency</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year-over-year change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December 31, 2024, Strategic Markets revenue of $904 million decreased 6 percent compared to the prior-year quarter driven by an unfavorable currency exchange rate impact of three points and actions the Company has taken to reduce low-margin components of its customer relationships. Adjusted EBITDA increased $26 million from the prior-year quarter primarily due to progress on our key initiatives.</w:t>
      </w:r>
    </w:p>
    <w:p>
      <w:pPr>
        <w:spacing w:after="0" w:line="18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December 31, 2024, Strategic Markets revenue of $2.7 billion decreased 11 percent compared to the prior-year period. The revenue decline was largely attributable to actions the Company has taken to reduce equipment sales and other low-margin components of its customer relationships. Adjusted EBITDA decreased $31 million from the prior-year period, primarily driven by the impact of the inclusion of workforce rebalancing charges in adjusted EBITDA in fiscal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229"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Corporate and other had an adjusted EBITDA loss of $24 million in the three months ended December 31, 2024, compared to a loss of $25 million in the three months ended December 31, 2023. Corporate and other had an adjusted EBITDA loss of $66 million in the nine months ended December 31, 2024, compared to a loss of $71 million in the nine months ended December 31, 2023.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3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80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09"/>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8"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Cost of services was 79.6% of revenue in the three months ended December 31, 2024, compared to 80.9% in the three months ended December 31, 2023, driven by increased operating efficiencies and higher margins on recent signings. Selling, general and administrative expenses were 17.3% of revenue in the three months ended December 31, 2024, compared to 17.9% of revenue in the prior-year quarter, primarily due to lower enterprise services expenses. Transaction-related costs (benefits) were (4.0)% of revenue in the three months ended December 31, 2024, due to a $145 million pretax gain from the sale of the SIS business, compared to transaction-related costs (benefits) of (2.0)% of revenue in the prior-year quarter, which reflected an agreement that allowed us to collect previously reserved receivables from our former Parent. Interest expense was 0.6% of revenue in the three months ended December 31, 2024 compared to 0.8% in the prior-year quarter. Other expense (income) was (0.9)% of revenue in the three months ended December 31, 2024 compared to 0.5% in the prior-year quarter, driven by currency-related hedging gains recorded this year.</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1820" w:type="dxa"/>
            <w:vAlign w:val="bottom"/>
            <w:gridSpan w:val="4"/>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Percent of Revenue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6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 vs. 2023</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Workforce rebalancing charges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costs (benefits)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8"/>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Cost of services was 79.4% of revenue in the nine months ended December 31, 2024, compared to 82.4% in the nine months ended December 31, 2023, driven by lower depreciation expenses, increased operating efficiencies, higher margins on recent signings, and a vendor credit. Selling, general and administrative expenses were 17.3% of revenue in the nine months ended December 31, 2024 compared to 16.9% in the prior-year period, driven by lower revenue. Transaction-related costs (benefits) were (1.1)% of revenue in the nine months ended December 31, 2024, due to a $145 million pretax gain from the sale of the SIS business, compared to transaction-related costs (benefits) of 0.1% of revenue in the nine months ended December 31, 2023. Interest expense was 0.7% of revenue in the nine months ended December 31, 2024 compared to 0.8% in the prior-year period.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Transaction-Related Costs</w:t>
      </w:r>
    </w:p>
    <w:p>
      <w:pPr>
        <w:spacing w:after="0" w:line="229"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color w:val="auto"/>
        </w:rPr>
        <w:t>The Company classifies certain expenses and benefits related to the Separation, acquisitions and divestitures as “transaction-related costs (benefits)” in the Consolidated Income Statement. Transaction-related costs include gains or losses associated with divestitures, employee retention expenses, information technology costs, marketing expenses to establish the Kyndryl brand, legal, accounting, consulting and other professional service costs required, pre-Separation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539"/>
        <w:spacing w:after="0" w:line="266" w:lineRule="auto"/>
        <w:rPr>
          <w:sz w:val="20"/>
          <w:szCs w:val="20"/>
          <w:color w:val="auto"/>
        </w:rPr>
      </w:pPr>
      <w:r>
        <w:rPr>
          <w:rFonts w:ascii="Times New Roman" w:cs="Times New Roman" w:eastAsia="Times New Roman" w:hAnsi="Times New Roman"/>
          <w:sz w:val="18"/>
          <w:szCs w:val="18"/>
          <w:color w:val="auto"/>
        </w:rPr>
        <w:t>and post-Separation, to prepare for and execute the Separation, costs and benefits resulting from settlements with our former Parent associated with pre-Separation and Separation-related matters, and other costs related to contract and supplier novation and integration.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Workforce Rebalancing and Site-Rationalization Charges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2025 Program</w:t>
      </w:r>
    </w:p>
    <w:p>
      <w:pPr>
        <w:spacing w:after="0" w:line="227"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During the nine months ended December 31, 2024, management initiated actions to reduce the Company’s overall cost structure and increase our operating efficiency. These actions will result in workforce rebalancing charges, charges related to ceasing to use leased and owned fixed assets, and charges related to lease terminations. During the three months ended December 31, 2024, the Company recorded $17 million in workforce rebalancing charges and $9 million in charges related to ceasing to use leased and owned fixed assets, including lease termination charges. During the nine months ended December 31, 2024, the Company recorded $92 million in workforce rebalancing charges and $29 million in charges related to ceasing to use leased and owned fixed assets, including lease termination charges.</w:t>
      </w:r>
    </w:p>
    <w:p>
      <w:pPr>
        <w:spacing w:after="0" w:line="18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Total cash outlays for this program are expected to be $140 million, of which approximately $80 million has been paid through December 31, 2024 and approximately $20 million is expected to be paid through the end of fiscal year 2025, and the remainder thereafter. Management expects that these workforce rebalancing and site-rationalization activities will reduce payroll costs, rent expenses and depreciation of property and equipment by more than $200 million in fiscal year 2026. There can be no guarantee that we will achieve our expected cost savings.</w:t>
      </w:r>
    </w:p>
    <w:p>
      <w:pPr>
        <w:spacing w:after="0" w:line="183"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Company will continue to seek opportunities to improve operational efficiency and reduce costs, which may result in additional charges in future periods. For additional information, see Note 14 – Workforce Rebalancing and Site-Rationalization Charges in the accompanying Consolidated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Fiscal 2024 Program</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During the year ended March 31, 2023, management initiated certain actions to reduce the Company’s overall cost structure and increase our operating efficiency, which continued through the year ended March 31, 2024. These actions resulted in workforce rebalancing charges, charges related to ceasing to use leased and owned fixed assets, and charges related to lease terminations. Workforce rebalancing charges arise from cost-reduction actions to enhance productivity and cost-competitiveness and to rebalance skills that result in payments to the terminated employees. In addition, we identified certain leased and owned assets that were inherited from IBM as a result of the Separation that we determined will no longer provide any economic benefit to Kyndryl. During the three months ended December 31, 2023, the Company recognized $19 million in workforce rebalancing charges and $14 million in charges related to ceasing to use leased and owned fixed assets, including lease termination charges. During the nine months ended December 31, 2023, the Company recognized $115 million in workforce rebalancing charges and $24 million in charges related to ceasing to use leased and owned fixed assets, including lease termination charges.</w:t>
      </w:r>
    </w:p>
    <w:p>
      <w:pPr>
        <w:spacing w:after="0" w:line="19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Total cash outlays for this program are expected to be $300 million, of which approximately $260 million has been paid through December 31, 2024 (including approximately $60 million of contractual payments toward leased assets we have ceased to use) and approximately $10 million is expected to be paid in fiscal year 2025. Management estimated that these workforce rebalancing and site-rationalization activities will reduce payroll costs, rent expenses and depreciation of property and equipment by approximately $400 million in fiscal year 2025. There can be no guarantee that we will achieve our expected cost savings.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left="60" w:right="579" w:firstLine="648"/>
        <w:spacing w:after="0" w:line="312" w:lineRule="auto"/>
        <w:rPr>
          <w:sz w:val="20"/>
          <w:szCs w:val="20"/>
          <w:color w:val="auto"/>
        </w:rPr>
      </w:pPr>
      <w:r>
        <w:rPr>
          <w:rFonts w:ascii="Times New Roman" w:cs="Times New Roman" w:eastAsia="Times New Roman" w:hAnsi="Times New Roman"/>
          <w:sz w:val="17"/>
          <w:szCs w:val="17"/>
          <w:color w:val="auto"/>
        </w:rPr>
        <w:t>The provision for income taxes for the three months ended December 31, 2024 was $43 million of expense, compared to $65 million of expense for the three months ended December 31, 2023. Our income tax expense for the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499"/>
        <w:spacing w:after="0" w:line="312" w:lineRule="auto"/>
        <w:rPr>
          <w:sz w:val="20"/>
          <w:szCs w:val="20"/>
          <w:color w:val="auto"/>
        </w:rPr>
      </w:pPr>
      <w:r>
        <w:rPr>
          <w:rFonts w:ascii="Times New Roman" w:cs="Times New Roman" w:eastAsia="Times New Roman" w:hAnsi="Times New Roman"/>
          <w:sz w:val="17"/>
          <w:szCs w:val="17"/>
          <w:color w:val="auto"/>
        </w:rPr>
        <w:t>three months ended December 31, 2024 and 2023 was primarily related to taxes on foreign operations and valuation allowances recorded in certain jurisdictions against deferred tax assets that are not more likely than not to be realized.</w:t>
      </w:r>
    </w:p>
    <w:p>
      <w:pPr>
        <w:spacing w:after="0" w:line="140"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nine months ended December 31, 2024 was $134 million of expense, compared to $131 million of expense for the nine months ended December 31, 2023. Our income tax expense for the nine months ended December 31, 2024 and 2023 was primarily related to taxes on foreign operations and valuation allowances recorded in certain jurisdictions against deferred tax assets that are not more likely than not to be realized.</w:t>
      </w:r>
    </w:p>
    <w:p>
      <w:pPr>
        <w:spacing w:after="0" w:line="180"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assessing the need for a valuation allowance, management considers all available evidence for each jurisdiction, including past operating results, estimates of future taxable income, the reversal of existing temporary differences, and the feasibility of ongoing tax planning strategies and actions. Estimates of future taxable income and loss could change, perhaps materially, which may require us to revise our assessment of the recoverability of the deferred tax asset at that time.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Dynamics</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Total assets of $9.9 billion decreased by $665 million (and decreased by $372 million adjusted for currency) from March 31, 2024, primarily driven by: a decrease of $225 million in accounts receivable mainly due to lower revenue; a decrease in property and equipment, net, of $185 million due to asset dispositions and effects from currency; and a reduction in operating right-of-use assets, net, of $162 million due to amortization outpacing additions.</w:t>
      </w:r>
    </w:p>
    <w:p>
      <w:pPr>
        <w:spacing w:after="0" w:line="180"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Total liabilities of $8.7 billion decreased by $747 million (and decreased by $553 million adjusted for currency) from March 31, 2024, primarily as a result of: a decrease in accounts payable of $262 million due to lower costs; a decrease in operating lease liabilities of $155 million due to a reduction in right-of-use assets; a decrease in accrued contract costs of $126 million due to lower volumes; and a decrease in accrued compensation and benefits of $116 million due to payments of annual incentives. Total equity of $1.2 billion increased by $82 million from March 31, 2024, principally due to our net income in the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cash flows from operating, investing and financing activities are summarized in the table below.</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614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Pr>
          <w:p>
            <w:pPr>
              <w:spacing w:after="0"/>
              <w:rPr>
                <w:sz w:val="18"/>
                <w:szCs w:val="18"/>
                <w:color w:val="auto"/>
              </w:rPr>
            </w:pP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firstLine="648"/>
        <w:spacing w:after="0" w:line="312" w:lineRule="auto"/>
        <w:rPr>
          <w:sz w:val="20"/>
          <w:szCs w:val="20"/>
          <w:color w:val="auto"/>
        </w:rPr>
      </w:pPr>
      <w:r>
        <w:rPr>
          <w:rFonts w:ascii="Times New Roman" w:cs="Times New Roman" w:eastAsia="Times New Roman" w:hAnsi="Times New Roman"/>
          <w:sz w:val="17"/>
          <w:szCs w:val="17"/>
          <w:color w:val="auto"/>
        </w:rPr>
        <w:t>Net cash provided by operating activities was $361 million in the nine months ended December 31, 2024, compared net cash provided by operating activities of $309 million in the prior-year period, mainly due to higher margins.</w:t>
      </w:r>
    </w:p>
    <w:p>
      <w:pPr>
        <w:spacing w:after="0" w:line="140"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$199 million in the nine months ended December 31, 2024, compared to a net cash use of $350 million in the prior-year period, due to the sale of the SIS business partially offset by the acquisition of Skytap.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totaled $172 million in the nine months ended December 31, 2024, compared to net cash used in financing activities of $123 million in the prior-year period, mainly due to share repurchases of $30 million under the Company’s Share Repurchase Program.</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the Company’s signings for the three and nine months ended December 31,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2023.</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billions)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Nine Months Ended December 31,</w:t>
            </w:r>
          </w:p>
        </w:tc>
        <w:tc>
          <w:tcPr>
            <w:tcW w:w="0" w:type="dxa"/>
            <w:vAlign w:val="bottom"/>
          </w:tcPr>
          <w:p>
            <w:pPr>
              <w:spacing w:after="0"/>
              <w:rPr>
                <w:sz w:val="1"/>
                <w:szCs w:val="1"/>
                <w:color w:val="auto"/>
              </w:rPr>
            </w:pPr>
          </w:p>
        </w:tc>
      </w:tr>
      <w:tr>
        <w:trPr>
          <w:trHeight w:val="142"/>
        </w:trPr>
        <w:tc>
          <w:tcPr>
            <w:tcW w:w="31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0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signings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Signings increased by $362 million in the three months ended December 31, 2024, or 10%, compared to the prior-year quarter, and signings increased by $3.8 billion in the nine months ended December 31, 2024, or 43%, compared to the nine months ended December 31, 2023, driven by growth in our United States, Japan and Strategic Markets operating segments. Management uses signings as a tool to monitor the performance of the business including the business’ ability to attract new customers and sell additional scope into our existing customer base. There are no third-party standards or requirements governing the calculation of signings. We define signings as an initial estimate of the value of a customer’s commitment under a contract. The calculation involves estimates and judgments to gauge the extent of a customer’s commitment, including the type and duration of the agreement and the presence of termination charges or wind-down costs. Contract extensions and increases in scope are treated as signings only to the extent of the incremental new value. Signings can vary over time due to a variety of factors including, but not limited to, the timing of signing a small number of larger outsourcing contracts as well as the length of those contracts. The conversion of signings into revenue may vary based on the types of services and solutions, customer decisions and other factors, which may include, but are not limited to, the macroeconomic environment or external events.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the Company’s revolving credit agreement entered into in October 2021 will be sufficient to meet our anticipated cash needs for at least the next twelve months.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229"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In October 2021, in preparation for our Spin-off, we completed the offering of $2.4 billion in aggregate principal amount of senior unsecured fixed-rate notes as follows: $700 million aggregate principal amount of 2.05% Senior Notes due 2026, $500 million aggregate principal amount of 2.70% Senior Notes due 2028, $650 million aggregate principal amount of 3.15% Senior Notes due 2031 and $550 million aggregate principal amount of 4.10% Senior Notes due 2041 (the “Initial Notes”). The Initial Notes were offered and sold to qualified institutional buyers in reliance on Rule 144A under the Securities Act and to non-U.S. persons in reliance on Regulation S of the Securities Act. In connection with the issuance of the Initial Notes, we entered into a registration rights agreement with the purchasers of the Initial Notes, pursuant to which we completed a registered offering to exchange each series of Initial Notes for new notes with substantially identical terms during the quarter ended September 30, 2022.</w:t>
      </w:r>
    </w:p>
    <w:p>
      <w:pPr>
        <w:spacing w:after="0" w:line="188"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February 2024, we completed a registered offering of $500 million in aggregate principal amount of 6.35% senior unsecured notes due 2034 (the “2034 Notes”). We received proceeds of $494 million, net of debt issuance costs and discounts. The 2034 Notes are the Company’s senior unsecured obligations and rank equally in right of payment with all of the Company’s other existing and future senior unsecured indebtedness.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The Initial Notes and the 2034 Notes are subject to customary affirmative covenants, negative covenants and events of default for financings of this type and are redeemable at our option in a customary manner.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October 2021, we entered into a $3.15 billion multi-currency revolving credit agreement (the “Revolving Credit Agreement”), which expires, unless extended, in October 2026. The Revolving Credit Agreement was amended in June 2023, replacing the London Interbank Offered Rate (“LIBOR”) with the Secured Overnight Financing Rate (“SOFR”). Interest rates on borrowings under the Revolving Credit Agreement will be based on prevailing market interest rates, plus a margin, as further described in the Revolving Credit Agreement. As of December 31, 2024, there has been no drawdown on the Revolving Credit Agreement.</w:t>
      </w:r>
    </w:p>
    <w:p>
      <w:pPr>
        <w:spacing w:after="0" w:line="187"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Revolving Credit Agreement includes certain customary mandatory prepayment provisions. In addition, it includes customary events of default and affirmative and negative covenants as well as a maintenance covenant that will require that the ratio of our indebtedness for borrowed money to consolidated EBITDA (as defined in the Revolving Credit Agreement) for any period of four consecutive fiscal quarters be no greater than 3.50 to 1.00. The Company is in compliance with its debt covenants.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entered into arrangements with third-party financial institutions to sell certain financial assets (primarily trade receivables) without recourse. The Company has determined these are true sales. The carrying value of the financial asset sold is derecognized, and a net gain or loss on the sale is recognized, at the time of the transfer. The first agreement, which was executed in November 2021 and subsequently amended, enabled us to sell certain of our trade receivables to the counterparty. The initial term of this agreement was 18 months, and the agreement automatically resets to a term of 18 months after every six months, unless either party elects not to extend. This agreement was further amended during the quarter ended September 30, 2024 to reduce the committed facility limit from $1 billion to $600 million and to add an incremental uncommitted facility limit of $200 million that is subject to the counterparty’s sole discretion to purchase such incremental amount. The second agreement was executed in June 2022 with a separate third-party financial institution and renews automatically on its anniversary date, unless either party elects not to extend.</w:t>
      </w:r>
    </w:p>
    <w:p>
      <w:pPr>
        <w:spacing w:after="0" w:line="19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net proceeds from these agreements are reflected as cash provided by operating activities in the Consolidated Statement of Cash Flows. Gross proceeds from receivables sold to third parties under the aforementioned programs were $760 million and $2.6 billion for the three and nine months ended December 31, 2024, respectively, and $846 million and $2.9 billion for the three and nine months ended December 31, 2023, respectively. The fees associated with the transfers of receivables were $8 million and $28 million for the three and nine months ended December 31, 2024, respectively, and $11 million and $39 million for the three and nine months ended December 31, 2023, respectively.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Financing Program</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March 31, 2024, the Company initiated a supplier financing program with a third-party financial institution under which the Company agrees to pay the financial institution the stated amounts of invoices from participating suppliers on the originally invoiced due date, which have an average term of 90 to 120 days. The financial institution offers earlier payment of the invoices at the sole discretion of the supplier for a discounted amount. The Company does not provide secured legal assets or other forms of guarantees under the arrangements. The Company is not a party to the arrangement between its suppliers and the financial institution. The Company or the financial institution may terminate the agreement upon at least 180 days’ notice. The Company’s obligations under this program continue to be recognized as accounts payable in the Consolidated Balance Sheet. The obligations outstanding under this program were immaterial at December 31, 2024 and March 31, 2024.</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left="60" w:right="239"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a share repurchase program of up to $300 million of the Company’s common stock (the “Share Repurchase Program”). Under the Share Repurchase Program, the Company may repurchase shares of its common stock from time to time in open market transactions and may also repurchase shares in accelerated share buyback programs, tender offers, privately negotiated transactions or by other means. Repurchases may also be made under a Rule 10b5-1 trading plan. The timing and amount of repurchase transactions will be determined by the Company’s management based on its evaluation of market conditions, share price, legal requirements and other factors. The program does not have a set expiration date and may be suspended, modified or discontinued at any time without prior notice.</w:t>
      </w:r>
    </w:p>
    <w:p>
      <w:pPr>
        <w:spacing w:after="0" w:line="192"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the Company repurchased 0.9 million shares of its common stock at an aggregate cost of $30 million under the Share Repurchase Program.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left="60" w:right="239" w:firstLine="648"/>
        <w:spacing w:after="0" w:line="281" w:lineRule="auto"/>
        <w:rPr>
          <w:sz w:val="20"/>
          <w:szCs w:val="20"/>
          <w:color w:val="auto"/>
        </w:rPr>
      </w:pPr>
      <w:r>
        <w:rPr>
          <w:rFonts w:ascii="Times New Roman" w:cs="Times New Roman" w:eastAsia="Times New Roman" w:hAnsi="Times New Roman"/>
          <w:sz w:val="17"/>
          <w:szCs w:val="17"/>
          <w:color w:val="auto"/>
        </w:rPr>
        <w:t>The application of U.S. GAAP requires us to make estimates and assumptions about certain items and future events that directly affect our reported financial condition. There have been no changes to our critical accounting policies and estimates as described in our Annual Report on Form 10-K for the fiscal year ended March 31, 2024 for more information; we refer to the Annual Report on Form 10-K for the fiscal year ended March 31, 2024 as the “Form 10-K”.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All statements other than statements of historical fact included in this report, including statements concerning the Company’s plans, objectives, goals, beliefs, business strategies, future events, business condition, results of operations, financial position, business outlook and business trends and other non-historical statements in this report are forward-looking statements. Such forward-looking statements often contain words such as “aim,” “anticipate,” “believe,” “contemplate,” “could,” “estimate,” “expect,” “forecast,” “intend,” “may,” “opportunity,” “plan,” “position,” “predict,” “project,” “should,” “seek,” “target,” “will,” “would” and other similar words or expressions or the negative thereof or other variations thereon. Forward-looking statements are based on the Company’s current assumptions and beliefs regarding future business and financial performance. The Company’s actual business, financial condition or results of operations may differ materially from those suggested by forward-looking statements as a result of risks and uncertainties which include, among others:</w:t>
      </w:r>
    </w:p>
    <w:p>
      <w:pPr>
        <w:spacing w:after="0" w:line="192"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retain existing customers or sell additional services to customers;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growth and productivity objectives;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relationships with critical suppliers and partners;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address and adapt to technological developments and trends;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attract and retain key personnel and other skilled employees;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economic, political, public health and other conditions;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the Company’s reputation;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accurately estimate the cost of services and the timeline for completion of contracts;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delivery issues;</w:t>
      </w:r>
    </w:p>
    <w:p>
      <w:pPr>
        <w:spacing w:after="0" w:line="9" w:lineRule="exact"/>
        <w:rPr>
          <w:rFonts w:ascii="Times New Roman" w:cs="Times New Roman" w:eastAsia="Times New Roman" w:hAnsi="Times New Roman"/>
          <w:sz w:val="18"/>
          <w:szCs w:val="18"/>
          <w:color w:val="auto"/>
        </w:rPr>
      </w:pPr>
    </w:p>
    <w:p>
      <w:pPr>
        <w:ind w:left="720" w:right="439" w:hanging="319"/>
        <w:spacing w:after="0" w:line="25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manage acquisitions and dispositions, including integration challenges, failure to achieve objectives, the assumption of liabilities and higher debt levels;</w:t>
      </w: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business with government customers;</w:t>
      </w:r>
    </w:p>
    <w:p>
      <w:pPr>
        <w:spacing w:after="0" w:line="9" w:lineRule="exact"/>
        <w:rPr>
          <w:rFonts w:ascii="Times New Roman" w:cs="Times New Roman" w:eastAsia="Times New Roman" w:hAnsi="Times New Roman"/>
          <w:sz w:val="18"/>
          <w:szCs w:val="18"/>
          <w:color w:val="auto"/>
        </w:rPr>
      </w:pPr>
    </w:p>
    <w:p>
      <w:pPr>
        <w:ind w:left="720" w:right="639" w:hanging="319"/>
        <w:spacing w:after="0" w:line="260"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Company’s intellectual property rights to prevent competitive offerings and the failure of the Company to obtain, retain and extend necessary licenses;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 Discussion (continued)</w:t>
      </w:r>
    </w:p>
    <w:p>
      <w:pPr>
        <w:spacing w:after="0" w:line="229"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our goodwill or long-lived assets;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cybersecurity, data governance and privacy;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non-compliance with legal and regulatory requirements;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tax matters and environmental matters;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investigatory risks and potential indemnification obligations;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changes in market liquidity conditions and customer credit risk on receivables;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pension plans;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Spin-off;</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deficiencies identified in our information technology controls;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Company’s common stock and the securities market.</w:t>
      </w:r>
    </w:p>
    <w:p>
      <w:pPr>
        <w:spacing w:after="0" w:line="207"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Additional risks and uncertainties include, among others, those risks and uncertainties described in the “Risk Factors” section of our Form 10-K for the fiscal year ended March 31, 2024, as such factors may be updated from time to time in the Company’s subsequent filings with the SEC. Any forward-looking statement in this report speaks only as of the date on which it is made. Except as required by law, the Company assumes no obligation to update or revise any forward-looking statements, whether as a result of new information, future events or otherwise.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color w:val="auto"/>
        </w:rPr>
        <w:t>We routinely post on or make accessible through our corporate website at www.kyndryl.com and Investor Relations website at https://investors.kyndryl.com information that may be material or of interest to our investors, including news and materials regarding our financial performance, business developments, investor events and other important information regarding the Company. You may automatically receive email alerts and other information about the Company when you enroll your email address by visiting the “Investor Email Alerts” section under the “Resources” section at https://investors.kyndryl.com. We encourage investors, media, our customers, consumers, business partners and others interested in our Company to review the information we provide through these channels. The information contained on the websites referenced above is not, and shall not be deemed to be, incorporated into this filing or any of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For our disclosures about market risk, see the information under the heading “Quantitative and Qualitative Disclosures About Market Risk” in the Form 10-K. There have been no material changes to the Company’s disclosure about market risk in the Form 10-K.</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The Company’s management evaluated, with the participation of the Chief Executive Officer and Chief Financial Officer, the effectiveness of the Company’s disclosure controls and procedures (as such term is defined in Rule 13a-15(e) of the Securities Exchange Act of 1934, as amended (the “Exchange Act”)) as of the end of the period covered by this report. Based on that evaluation, the Chief Executive Officer and Chief Financial Officer have concluded that the Company’s disclosure controls and procedures were not effective as of the end of the period covered by this report due to a material weakness in internal control over financial reporting in the area of our information technology general controls (“ITGCs”) that was disclosed in Part II, Item 9A of the Company’s Form 10-K. The deficiencies in ITGCs were related to access and program development and change management controls associated with the Company’s large-scale migration in a compressed timeframe of its internal operating systems to a new enterprise resource planning system, which was required to replace the systems temporarily being made available to the Company by our former Parent following our Spin-off. These control deficiencies did not result in a misstatement to the annual or interim consolidated financial statements previously filed or included in this Form 10-Q.</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 13a-15(f) of the Exchange Act) that occurred during the quarter ended December 31, 2024 that have materially affected, or are reasonably likely to materially affect, the Company’s internal control over financial reporting other than the ongoing remediation of the ITGC deficiencies described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Remediation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Company has designed, implemented and substantially completed testing controls to address ITGC deficiencies that were previously described in Part II, Item 9A of the Company’s Form 10-K. These controls include but are not limited to (i) additional controls across, and additional documentation of, our information technology environment, including user access and segregation of duty controls, program development and change management controls, and certain computer operations controls, and (ii) training of relevant personnel on the design and operation of the new or modified ITGCs. The deficiencies will not be considered fully remediated until the applicable controls operate for a sufficient period of time and management has concluded, through testing, that these controls are operating effectively. The remediation plan is subject to ongoing management review, as well as oversight by the Audit Committee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11 – Commitments and Contingencies, in the notes to consolidated financial statements in this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report.</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the heading “Risk Factors” in our Form 10-K for the year ended March 31, 2024. There have been no material changes with respect to the risk factors disclosed in the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60" w:right="319" w:firstLine="648"/>
        <w:spacing w:after="0" w:line="282" w:lineRule="auto"/>
        <w:rPr>
          <w:sz w:val="20"/>
          <w:szCs w:val="20"/>
          <w:color w:val="auto"/>
        </w:rPr>
      </w:pPr>
      <w:r>
        <w:rPr>
          <w:rFonts w:ascii="Times New Roman" w:cs="Times New Roman" w:eastAsia="Times New Roman" w:hAnsi="Times New Roman"/>
          <w:sz w:val="18"/>
          <w:szCs w:val="18"/>
          <w:color w:val="auto"/>
        </w:rPr>
        <w:t>A summary of our common stock repurchases during the three months ended December 31, 2024 is set forth in the table below.</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6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3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19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36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5"/>
        </w:trPr>
        <w:tc>
          <w:tcPr>
            <w:tcW w:w="19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ind w:right="211"/>
              <w:spacing w:after="0" w:line="176" w:lineRule="exact"/>
              <w:rPr>
                <w:sz w:val="20"/>
                <w:szCs w:val="20"/>
                <w:color w:val="auto"/>
              </w:rPr>
            </w:pPr>
            <w:r>
              <w:rPr>
                <w:rFonts w:ascii="Times New Roman" w:cs="Times New Roman" w:eastAsia="Times New Roman" w:hAnsi="Times New Roman"/>
                <w:sz w:val="14"/>
                <w:szCs w:val="14"/>
                <w:b w:val="1"/>
                <w:bCs w:val="1"/>
                <w:color w:val="auto"/>
                <w:w w:val="99"/>
              </w:rPr>
              <w:t>Repurchased</w:t>
            </w:r>
            <w:r>
              <w:rPr>
                <w:rFonts w:ascii="Times New Roman" w:cs="Times New Roman" w:eastAsia="Times New Roman" w:hAnsi="Times New Roman"/>
                <w:sz w:val="20"/>
                <w:szCs w:val="20"/>
                <w:b w:val="1"/>
                <w:bCs w:val="1"/>
                <w:color w:val="auto"/>
                <w:w w:val="99"/>
                <w:vertAlign w:val="superscript"/>
              </w:rPr>
              <w:t>(a)</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36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(in millions)</w:t>
            </w:r>
          </w:p>
        </w:tc>
        <w:tc>
          <w:tcPr>
            <w:tcW w:w="0" w:type="dxa"/>
            <w:vAlign w:val="bottom"/>
          </w:tcPr>
          <w:p>
            <w:pPr>
              <w:spacing w:after="0"/>
              <w:rPr>
                <w:sz w:val="1"/>
                <w:szCs w:val="1"/>
                <w:color w:val="auto"/>
              </w:rPr>
            </w:pPr>
          </w:p>
        </w:tc>
      </w:tr>
      <w:tr>
        <w:trPr>
          <w:trHeight w:val="210"/>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1 - 30</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34.50</w:t>
            </w: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86,970</w:t>
            </w:r>
          </w:p>
        </w:tc>
        <w:tc>
          <w:tcPr>
            <w:tcW w:w="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1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1 - 31</w:t>
            </w:r>
          </w:p>
        </w:tc>
        <w:tc>
          <w:tcPr>
            <w:tcW w:w="1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772,249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8"/>
                <w:szCs w:val="18"/>
                <w:color w:val="auto"/>
              </w:rPr>
              <w:t>34.97</w:t>
            </w:r>
          </w:p>
        </w:tc>
        <w:tc>
          <w:tcPr>
            <w:tcW w:w="2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772,249</w:t>
            </w:r>
          </w:p>
        </w:tc>
        <w:tc>
          <w:tcPr>
            <w:tcW w:w="36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9"/>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859,219</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80" w:right="259" w:hanging="330"/>
        <w:spacing w:after="0"/>
        <w:tabs>
          <w:tab w:leader="none" w:pos="3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shares were repurchased in open market transactions pursuant to the $300 million Share Repurchase Program authorized by our Board of Directors and publicly announced on November 21, 2024. The Share Repurchase Program does not have a set expiration date and may be suspended, modified or discontinued at any time without prior notice. Amounts shown herein exclude common stock repurchases to settle tax withholdings related to the vesting of stock-based awards. See further description of the Stock Repurchase Program in “Part I, Item 2— Management’s Discussion and Analysis of Financial Condition and Results of Operations—Liquidity and Capital Resources— Share Repurchase Program.”</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6499"/>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executive officers adopted, terminated or modified a “Rule 10b5-1 trading arrangement” or a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27"/>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4"/>
        </w:trPr>
        <w:tc>
          <w:tcPr>
            <w:tcW w:w="17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6320" w:type="dxa"/>
            <w:vAlign w:val="bottom"/>
            <w:tcBorders>
              <w:bottom w:val="single" w:sz="8" w:color="0000EE"/>
            </w:tcBorders>
            <w:gridSpan w:val="5"/>
          </w:tcPr>
          <w:p>
            <w:pPr>
              <w:spacing w:after="0" w:line="194"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Separation and Distribution Agreement, dated as of November 2, 2021, by and between</w:t>
              </w:r>
            </w:hyperlink>
          </w:p>
        </w:tc>
        <w:tc>
          <w:tcPr>
            <w:tcW w:w="420" w:type="dxa"/>
            <w:vAlign w:val="bottom"/>
            <w:gridSpan w:val="8"/>
          </w:tcPr>
          <w:p>
            <w:pPr>
              <w:spacing w:after="0"/>
              <w:rPr>
                <w:sz w:val="16"/>
                <w:szCs w:val="16"/>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3"/>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International Business Machines Corporation and the registrant, was filed as Exhibit 2.1 to</w:t>
              </w:r>
            </w:hyperlink>
          </w:p>
        </w:tc>
      </w:tr>
      <w:tr>
        <w:trPr>
          <w:trHeight w:val="196"/>
        </w:trPr>
        <w:tc>
          <w:tcPr>
            <w:tcW w:w="1720" w:type="dxa"/>
            <w:vAlign w:val="bottom"/>
          </w:tcPr>
          <w:p>
            <w:pPr>
              <w:spacing w:after="0"/>
              <w:rPr>
                <w:sz w:val="17"/>
                <w:szCs w:val="17"/>
                <w:color w:val="auto"/>
              </w:rPr>
            </w:pPr>
          </w:p>
        </w:tc>
        <w:tc>
          <w:tcPr>
            <w:tcW w:w="62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the registrant’s Current Report on Form 8-K filed on November 4, 2021, and is hereby</w:t>
              </w:r>
            </w:hyperlink>
          </w:p>
        </w:tc>
        <w:tc>
          <w:tcPr>
            <w:tcW w:w="300" w:type="dxa"/>
            <w:vAlign w:val="bottom"/>
            <w:tcBorders>
              <w:top w:val="single" w:sz="8" w:color="0000EE"/>
            </w:tcBorders>
            <w:gridSpan w:val="4"/>
          </w:tcPr>
          <w:p>
            <w:pPr>
              <w:spacing w:after="0"/>
              <w:rPr>
                <w:sz w:val="17"/>
                <w:szCs w:val="17"/>
                <w:color w:val="auto"/>
              </w:rPr>
            </w:pPr>
          </w:p>
        </w:tc>
        <w:tc>
          <w:tcPr>
            <w:tcW w:w="220" w:type="dxa"/>
            <w:vAlign w:val="bottom"/>
            <w:gridSpan w:val="5"/>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19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incorporated by reference.</w:t>
              </w:r>
            </w:hyperlink>
          </w:p>
        </w:tc>
        <w:tc>
          <w:tcPr>
            <w:tcW w:w="4840" w:type="dxa"/>
            <w:vAlign w:val="bottom"/>
            <w:gridSpan w:val="12"/>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6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Amended and Restated Certificate of Incorporation of the registrant was filed as Exhibit 3.1</w:t>
              </w:r>
            </w:hyperlink>
          </w:p>
        </w:tc>
        <w:tc>
          <w:tcPr>
            <w:tcW w:w="120" w:type="dxa"/>
            <w:vAlign w:val="bottom"/>
            <w:gridSpan w:val="3"/>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3"/>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to the registrant’s Current Report on Form 8-K filed on November 4, 2021, and is hereby</w:t>
              </w:r>
            </w:hyperlink>
          </w:p>
        </w:tc>
      </w:tr>
      <w:tr>
        <w:trPr>
          <w:trHeight w:val="196"/>
        </w:trPr>
        <w:tc>
          <w:tcPr>
            <w:tcW w:w="1720" w:type="dxa"/>
            <w:vAlign w:val="bottom"/>
          </w:tcPr>
          <w:p>
            <w:pPr>
              <w:spacing w:after="0"/>
              <w:rPr>
                <w:sz w:val="17"/>
                <w:szCs w:val="17"/>
                <w:color w:val="auto"/>
              </w:rPr>
            </w:pPr>
          </w:p>
        </w:tc>
        <w:tc>
          <w:tcPr>
            <w:tcW w:w="19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incorporated by reference.</w:t>
              </w:r>
            </w:hyperlink>
          </w:p>
        </w:tc>
        <w:tc>
          <w:tcPr>
            <w:tcW w:w="4500" w:type="dxa"/>
            <w:vAlign w:val="bottom"/>
            <w:tcBorders>
              <w:top w:val="single" w:sz="8" w:color="0000EE"/>
            </w:tcBorders>
            <w:gridSpan w:val="6"/>
          </w:tcPr>
          <w:p>
            <w:pPr>
              <w:spacing w:after="0"/>
              <w:rPr>
                <w:sz w:val="17"/>
                <w:szCs w:val="17"/>
                <w:color w:val="auto"/>
              </w:rPr>
            </w:pPr>
          </w:p>
        </w:tc>
        <w:tc>
          <w:tcPr>
            <w:tcW w:w="340" w:type="dxa"/>
            <w:vAlign w:val="bottom"/>
            <w:gridSpan w:val="6"/>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3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Amended and Restated Bylaws of the registrant, effective January 25, 2023, was filed as</w:t>
              </w:r>
            </w:hyperlink>
          </w:p>
        </w:tc>
        <w:tc>
          <w:tcPr>
            <w:tcW w:w="360" w:type="dxa"/>
            <w:vAlign w:val="bottom"/>
            <w:gridSpan w:val="7"/>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740" w:type="dxa"/>
            <w:vAlign w:val="bottom"/>
            <w:gridSpan w:val="13"/>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Exhibit 3.1 to the registrant’s Current Report on Form 8-K filed on January 27, 2023, and is</w:t>
              </w:r>
            </w:hyperlink>
          </w:p>
        </w:tc>
      </w:tr>
      <w:tr>
        <w:trPr>
          <w:trHeight w:val="196"/>
        </w:trPr>
        <w:tc>
          <w:tcPr>
            <w:tcW w:w="1720" w:type="dxa"/>
            <w:vAlign w:val="bottom"/>
          </w:tcPr>
          <w:p>
            <w:pPr>
              <w:spacing w:after="0"/>
              <w:rPr>
                <w:sz w:val="17"/>
                <w:szCs w:val="17"/>
                <w:color w:val="auto"/>
              </w:rPr>
            </w:pPr>
          </w:p>
        </w:tc>
        <w:tc>
          <w:tcPr>
            <w:tcW w:w="66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hereby incorporated by reference</w:t>
              </w:r>
              <w:r>
                <w:rPr>
                  <w:rFonts w:ascii="Times New Roman" w:cs="Times New Roman" w:eastAsia="Times New Roman" w:hAnsi="Times New Roman"/>
                  <w:sz w:val="18"/>
                  <w:szCs w:val="18"/>
                  <w:color w:val="000000"/>
                </w:rPr>
                <w:t>.</w:t>
              </w:r>
            </w:hyperlink>
          </w:p>
        </w:tc>
        <w:tc>
          <w:tcPr>
            <w:tcW w:w="140" w:type="dxa"/>
            <w:vAlign w:val="bottom"/>
            <w:gridSpan w:val="4"/>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302 of the Sarbanes-Oxley</w:t>
            </w:r>
          </w:p>
        </w:tc>
      </w:tr>
      <w:tr>
        <w:trPr>
          <w:trHeight w:val="196"/>
        </w:trPr>
        <w:tc>
          <w:tcPr>
            <w:tcW w:w="1720" w:type="dxa"/>
            <w:vAlign w:val="bottom"/>
          </w:tcPr>
          <w:p>
            <w:pPr>
              <w:spacing w:after="0"/>
              <w:rPr>
                <w:sz w:val="17"/>
                <w:szCs w:val="17"/>
                <w:color w:val="auto"/>
              </w:rPr>
            </w:pPr>
          </w:p>
        </w:tc>
        <w:tc>
          <w:tcPr>
            <w:tcW w:w="67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4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302 of the Sarbanes-Oxley</w:t>
            </w:r>
          </w:p>
        </w:tc>
      </w:tr>
      <w:tr>
        <w:trPr>
          <w:trHeight w:val="196"/>
        </w:trPr>
        <w:tc>
          <w:tcPr>
            <w:tcW w:w="1720" w:type="dxa"/>
            <w:vAlign w:val="bottom"/>
          </w:tcPr>
          <w:p>
            <w:pPr>
              <w:spacing w:after="0"/>
              <w:rPr>
                <w:sz w:val="17"/>
                <w:szCs w:val="17"/>
                <w:color w:val="auto"/>
              </w:rPr>
            </w:pPr>
          </w:p>
        </w:tc>
        <w:tc>
          <w:tcPr>
            <w:tcW w:w="66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Act of 2002 (filed herewith)</w:t>
            </w:r>
          </w:p>
        </w:tc>
        <w:tc>
          <w:tcPr>
            <w:tcW w:w="100" w:type="dxa"/>
            <w:vAlign w:val="bottom"/>
            <w:gridSpan w:val="2"/>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40" w:type="dxa"/>
            <w:vAlign w:val="bottom"/>
            <w:gridSpan w:val="10"/>
          </w:tcPr>
          <w:p>
            <w:pPr>
              <w:spacing w:after="0" w:line="20" w:lineRule="exact"/>
              <w:rPr>
                <w:sz w:val="1"/>
                <w:szCs w:val="1"/>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as required by Section 906 of the Sarbanes-Oxley</w:t>
            </w:r>
          </w:p>
        </w:tc>
      </w:tr>
      <w:tr>
        <w:trPr>
          <w:trHeight w:val="196"/>
        </w:trPr>
        <w:tc>
          <w:tcPr>
            <w:tcW w:w="17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4300" w:type="dxa"/>
            <w:vAlign w:val="bottom"/>
            <w:tcBorders>
              <w:top w:val="single" w:sz="8" w:color="0000EE"/>
            </w:tcBorders>
            <w:gridSpan w:val="9"/>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7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as required by Section 906 of the Sarbanes-Oxley</w:t>
            </w:r>
          </w:p>
        </w:tc>
      </w:tr>
      <w:tr>
        <w:trPr>
          <w:trHeight w:val="196"/>
        </w:trPr>
        <w:tc>
          <w:tcPr>
            <w:tcW w:w="1720" w:type="dxa"/>
            <w:vAlign w:val="bottom"/>
          </w:tcPr>
          <w:p>
            <w:pPr>
              <w:spacing w:after="0"/>
              <w:rPr>
                <w:sz w:val="17"/>
                <w:szCs w:val="17"/>
                <w:color w:val="auto"/>
              </w:rPr>
            </w:pPr>
          </w:p>
        </w:tc>
        <w:tc>
          <w:tcPr>
            <w:tcW w:w="24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 (furnished herewith)</w:t>
            </w:r>
          </w:p>
        </w:tc>
        <w:tc>
          <w:tcPr>
            <w:tcW w:w="4240" w:type="dxa"/>
            <w:vAlign w:val="bottom"/>
            <w:tcBorders>
              <w:top w:val="single" w:sz="8" w:color="0000EE"/>
            </w:tcBorders>
            <w:gridSpan w:val="8"/>
          </w:tcPr>
          <w:p>
            <w:pPr>
              <w:spacing w:after="0"/>
              <w:rPr>
                <w:sz w:val="17"/>
                <w:szCs w:val="17"/>
                <w:color w:val="auto"/>
              </w:rPr>
            </w:pPr>
          </w:p>
        </w:tc>
        <w:tc>
          <w:tcPr>
            <w:tcW w:w="100" w:type="dxa"/>
            <w:vAlign w:val="bottom"/>
            <w:gridSpan w:val="2"/>
          </w:tcPr>
          <w:p>
            <w:pPr>
              <w:spacing w:after="0"/>
              <w:rPr>
                <w:sz w:val="17"/>
                <w:szCs w:val="17"/>
                <w:color w:val="auto"/>
              </w:rPr>
            </w:pPr>
          </w:p>
        </w:tc>
      </w:tr>
      <w:tr>
        <w:trPr>
          <w:trHeight w:val="218"/>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101.INS</w:t>
            </w: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w:t>
            </w:r>
          </w:p>
        </w:tc>
      </w:tr>
      <w:tr>
        <w:trPr>
          <w:trHeight w:val="216"/>
        </w:trPr>
        <w:tc>
          <w:tcPr>
            <w:tcW w:w="1720" w:type="dxa"/>
            <w:vAlign w:val="bottom"/>
          </w:tcPr>
          <w:p>
            <w:pPr>
              <w:spacing w:after="0"/>
              <w:rPr>
                <w:sz w:val="18"/>
                <w:szCs w:val="18"/>
                <w:color w:val="auto"/>
              </w:rPr>
            </w:pP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 the Inline XBRL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101.SCH</w:t>
            </w: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101.CAL</w:t>
            </w: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101.DEF</w:t>
            </w: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101.LAB</w:t>
            </w: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101.PRE</w:t>
            </w: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16"/>
        </w:trPr>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interactive data file does not appear in the</w:t>
            </w:r>
          </w:p>
        </w:tc>
      </w:tr>
      <w:tr>
        <w:trPr>
          <w:trHeight w:val="234"/>
        </w:trPr>
        <w:tc>
          <w:tcPr>
            <w:tcW w:w="1720" w:type="dxa"/>
            <w:vAlign w:val="bottom"/>
          </w:tcPr>
          <w:p>
            <w:pPr>
              <w:spacing w:after="0"/>
              <w:rPr>
                <w:sz w:val="20"/>
                <w:szCs w:val="20"/>
                <w:color w:val="auto"/>
              </w:rPr>
            </w:pPr>
          </w:p>
        </w:tc>
        <w:tc>
          <w:tcPr>
            <w:tcW w:w="6740" w:type="dxa"/>
            <w:vAlign w:val="bottom"/>
            <w:gridSpan w:val="13"/>
          </w:tcPr>
          <w:p>
            <w:pPr>
              <w:spacing w:after="0"/>
              <w:rPr>
                <w:sz w:val="20"/>
                <w:szCs w:val="20"/>
                <w:color w:val="auto"/>
              </w:rPr>
            </w:pPr>
            <w:r>
              <w:rPr>
                <w:rFonts w:ascii="Times New Roman" w:cs="Times New Roman" w:eastAsia="Times New Roman" w:hAnsi="Times New Roman"/>
                <w:sz w:val="18"/>
                <w:szCs w:val="18"/>
                <w:color w:val="auto"/>
                <w:w w:val="99"/>
              </w:rPr>
              <w:t>Interactive Data File because its XBRL tags are embedded within the Inline XBRL document</w:t>
            </w: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do not apply in any other context or at any time other than the date they were made.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Kyndryl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17145</wp:posOffset>
            </wp:positionV>
            <wp:extent cx="27686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60"/>
        <w:spacing w:after="0"/>
        <w:tabs>
          <w:tab w:leader="none" w:pos="620" w:val="left"/>
        </w:tabs>
        <w:rPr>
          <w:sz w:val="20"/>
          <w:szCs w:val="20"/>
          <w:color w:val="auto"/>
        </w:rPr>
      </w:pPr>
      <w:r>
        <w:rPr>
          <w:rFonts w:ascii="Times New Roman" w:cs="Times New Roman" w:eastAsia="Times New Roman" w:hAnsi="Times New Roman"/>
          <w:sz w:val="18"/>
          <w:szCs w:val="18"/>
          <w:color w:val="auto"/>
        </w:rPr>
        <w:t>Date:</w:t>
        <w:tab/>
        <w:t>February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wp:posOffset>
            </wp:positionV>
            <wp:extent cx="23317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/s/ Vineet Khurana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88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8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Vineet Khurana</w:t>
      </w:r>
    </w:p>
    <w:p>
      <w:pPr>
        <w:spacing w:after="0" w:line="2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Senior Vice President and Global Controller</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 and Authorized</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J. Schroeter,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80" w:right="160" w:hanging="2"/>
        <w:spacing w:after="0" w:line="266" w:lineRule="auto"/>
        <w:tabs>
          <w:tab w:leader="none" w:pos="56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80" w:hanging="2"/>
        <w:spacing w:after="0" w:line="266" w:lineRule="auto"/>
        <w:tabs>
          <w:tab w:leader="none" w:pos="5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6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 Wyshner,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Kyndryl Holdings, Inc.;</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8"/>
        <w:spacing w:after="0" w:line="282"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76" w:lineRule="auto"/>
        <w:tabs>
          <w:tab w:leader="none" w:pos="1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380" w:right="160" w:hanging="2"/>
        <w:spacing w:after="0" w:line="266" w:lineRule="auto"/>
        <w:tabs>
          <w:tab w:leader="none" w:pos="5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380" w:right="280" w:hanging="2"/>
        <w:spacing w:after="0" w:line="266" w:lineRule="auto"/>
        <w:tabs>
          <w:tab w:leader="none" w:pos="5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60" w:hanging="2"/>
        <w:spacing w:after="0" w:line="266" w:lineRule="auto"/>
        <w:tabs>
          <w:tab w:leader="none" w:pos="5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380" w:right="20" w:hanging="2"/>
        <w:spacing w:after="0" w:line="266" w:lineRule="auto"/>
        <w:tabs>
          <w:tab w:leader="none" w:pos="5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80" w:right="140" w:hanging="2"/>
        <w:spacing w:after="0" w:line="312" w:lineRule="auto"/>
        <w:tabs>
          <w:tab w:leader="none" w:pos="56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left="380" w:right="140" w:hanging="2"/>
        <w:spacing w:after="0" w:line="282" w:lineRule="auto"/>
        <w:tabs>
          <w:tab w:leader="none" w:pos="5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December 31, 2024, as filed with the Securities and Exchange Commission on the date hereof (the “Report”), I, Martin J. Schroeter, Chairman and Chief Executive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Martin J. Schroeter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Martin J. Schroeter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KYNDRYL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Kyndryl Holdings, Inc. (the “Company”) on Form 10-Q for the quarterly period ended December 31, 2024, as filed with the Securities and Exchange Commission on the date hereof (the “Report”), I, David B. Wyshner, Chief Financial Officer of the Company, do hereby certify, pursuant to 18 U.S.C. Section 1350, as adopted pursuant to Section 906 of the Sarbanes-Oxley Act of 2002, that:</w:t>
      </w:r>
    </w:p>
    <w:p>
      <w:pPr>
        <w:spacing w:after="0" w:line="180"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6, 2025</w:t>
      </w:r>
    </w:p>
    <w:p>
      <w:pPr>
        <w:spacing w:after="0" w:line="25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David B. Wyshner</w:t>
      </w:r>
    </w:p>
    <w:p>
      <w:pPr>
        <w:spacing w:after="0" w:line="50"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57" Type="http://schemas.openxmlformats.org/officeDocument/2006/relationships/hyperlink" Target="https://www.sec.gov/Archives/edgar/data/1867072/000110465921134456/tm2131654d1_ex2-1.htm" TargetMode="External"/><Relationship Id="rId58" Type="http://schemas.openxmlformats.org/officeDocument/2006/relationships/hyperlink" Target="https://www.sec.gov/Archives/edgar/data/1867072/000110465921134456/tm2131654d1_ex3-1.htm" TargetMode="External"/><Relationship Id="rId59" Type="http://schemas.openxmlformats.org/officeDocument/2006/relationships/hyperlink" Target="https://www.sec.gov/Archives/edgar/data/1867072/000155837023000663/kd-20230125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2025-02-06T15:40:04Z</dcterms:created>
  <dcterms:modified xsi:type="dcterms:W3CDTF">2025-02-06T15:40:04Z</dcterms:modified>
</cp:coreProperties>
</file>