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kd-20220331x10qt.htm"/>
        <w:bookmarkStart w:id="1" w:name="kskd20220331x10qt"/>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spacing w:before="0" w:after="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2" w:name="_c69f86c9_fccd_4111_99df_dd4644e052e4"/>
      <w:bookmarkEnd w:id="2"/>
      <w:r>
        <w:rPr>
          <w:rFonts w:ascii="Times New Roman;Times;serif" w:hAnsi="Times New Roman;Times;serif"/>
          <w:b/>
          <w:sz w:val="20"/>
        </w:rPr>
        <w:t>UNITED STATES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FORM </w:t>
      </w:r>
      <w:r>
        <w:rPr>
          <w:rFonts w:ascii="Times New Roman;Times;serif" w:hAnsi="Times New Roman;Times;serif"/>
          <w:b/>
          <w:i w:val="false"/>
          <w:caps w:val="false"/>
          <w:smallCaps w:val="false"/>
          <w:sz w:val="20"/>
        </w:rPr>
        <w:t>10-Q</w:t>
      </w:r>
    </w:p>
    <w:p>
      <w:pPr>
        <w:pStyle w:val="TextBody"/>
        <w:spacing w:before="0" w:after="0"/>
        <w:ind w:left="0" w:right="0" w:hanging="0"/>
        <w:jc w:val="center"/>
        <w:rPr/>
      </w:pPr>
      <w:r>
        <w:rPr/>
        <w:t xml:space="preserve">☐ </w:t>
      </w:r>
      <w:r>
        <w:rPr>
          <w:rFonts w:ascii="Times New Roman;Times;serif" w:hAnsi="Times New Roman;Times;serif"/>
          <w:b/>
          <w:sz w:val="20"/>
        </w:rPr>
        <w:t>QUARTERLY REPORT PURSUANT TO SECTION 13 or 15(d)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______________________</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spacing w:before="0" w:after="0"/>
        <w:ind w:left="0" w:right="0" w:hanging="0"/>
        <w:jc w:val="center"/>
        <w:rPr/>
      </w:pPr>
      <w:r>
        <w:rPr/>
        <w:t xml:space="preserve"> ☒ </w:t>
      </w:r>
      <w:r>
        <w:rPr>
          <w:rFonts w:ascii="Times New Roman;Times;serif" w:hAnsi="Times New Roman;Times;serif"/>
          <w:b/>
          <w:sz w:val="20"/>
        </w:rPr>
        <w:t>TRANSITION REPORT PURSUANT TO SECTION 13 or 15(d)</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JANUARY 1, 2022 TO MARCH 31, 2022 </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001-40853</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spacing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spacing w:before="0" w:after="0"/>
        <w:rPr>
          <w:sz w:val="4"/>
          <w:szCs w:val="4"/>
        </w:rPr>
      </w:pPr>
      <w:r>
        <w:rPr>
          <w:sz w:val="4"/>
          <w:szCs w:val="4"/>
        </w:rPr>
      </w:r>
      <w:bookmarkStart w:id="3" w:name="Tc_uLAMvLcSPUi3p73VsvqeeA_6_2"/>
      <w:bookmarkStart w:id="4" w:name="Tc_FnM25aOAgU-ZAzHhEplKXQ_6_0"/>
      <w:bookmarkStart w:id="5" w:name="Tc_XSNWA1On5UeCEHgY2RjvOA_5_0"/>
      <w:bookmarkStart w:id="6" w:name="Tc_bahVdv8wF0im-4YBbHeuWQ_2_2"/>
      <w:bookmarkStart w:id="7" w:name="Tc_gHzM6NU6_Ue_zbnSJxjHEw_2_0"/>
      <w:bookmarkStart w:id="8" w:name="_4a02b725_aae4_48a3_b51e_b6751091d035"/>
      <w:bookmarkStart w:id="9" w:name="Tc_uLAMvLcSPUi3p73VsvqeeA_6_2"/>
      <w:bookmarkStart w:id="10" w:name="Tc_FnM25aOAgU-ZAzHhEplKXQ_6_0"/>
      <w:bookmarkStart w:id="11" w:name="Tc_XSNWA1On5UeCEHgY2RjvOA_5_0"/>
      <w:bookmarkStart w:id="12" w:name="Tc_bahVdv8wF0im-4YBbHeuWQ_2_2"/>
      <w:bookmarkStart w:id="13" w:name="Tc_gHzM6NU6_Ue_zbnSJxjHEw_2_0"/>
      <w:bookmarkStart w:id="14" w:name="_4a02b725_aae4_48a3_b51e_b6751091d035"/>
      <w:bookmarkEnd w:id="9"/>
      <w:bookmarkEnd w:id="10"/>
      <w:bookmarkEnd w:id="11"/>
      <w:bookmarkEnd w:id="12"/>
      <w:bookmarkEnd w:id="13"/>
      <w:bookmarkEnd w:id="14"/>
    </w:p>
    <w:tbl>
      <w:tblPr>
        <w:tblW w:w="7453" w:type="dxa"/>
        <w:jc w:val="left"/>
        <w:tblInd w:w="0" w:type="dxa"/>
        <w:tblCellMar>
          <w:top w:w="0" w:type="dxa"/>
          <w:left w:w="0" w:type="dxa"/>
          <w:bottom w:w="0" w:type="dxa"/>
          <w:right w:w="0" w:type="dxa"/>
        </w:tblCellMar>
      </w:tblPr>
      <w:tblGrid>
        <w:gridCol w:w="4321"/>
        <w:gridCol w:w="326"/>
        <w:gridCol w:w="2806"/>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81810" cy="175260"/>
                      <wp:effectExtent l="0" t="0" r="0" b="0"/>
                      <wp:wrapNone/>
                      <wp:docPr id="3" name="Frame3"/>
                      <a:graphic xmlns:a="http://schemas.openxmlformats.org/drawingml/2006/main">
                        <a:graphicData uri="http://schemas.microsoft.com/office/word/2010/wordprocessingShape">
                          <wps:wsp>
                            <wps:cNvSpPr txBox="1"/>
                            <wps:spPr>
                              <a:xfrm>
                                <a:off x="0" y="0"/>
                                <a:ext cx="1781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shd w:fill="auto" w:val="clear"/>
            <w:vAlign w:val="center"/>
          </w:tcPr>
          <w:p>
            <w:pPr>
              <w:pStyle w:val="TableContents"/>
              <w:spacing w:before="0" w:after="0"/>
              <w:ind w:left="0" w:right="0" w:hanging="0"/>
              <w:rPr/>
            </w:pPr>
            <w:r>
              <w:rPr/>
              <w:t>    </w:t>
            </w:r>
          </w:p>
        </w:tc>
        <w:tc>
          <w:tcPr>
            <w:tcW w:w="28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86-1185492</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number)</w:t>
            </w:r>
          </w:p>
        </w:tc>
      </w:tr>
      <w:tr>
        <w:trPr/>
        <w:tc>
          <w:tcPr>
            <w:tcW w:w="43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pPr>
            <w:r>
              <w:rPr/>
              <w:t>​</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One Vanderbilt Avenue, 15th Floor</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pPr>
            <w:r>
              <w:rPr/>
              <w:t>​</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10017</w:t>
            </w:r>
          </w:p>
        </w:tc>
      </w:tr>
      <w:tr>
        <w:trPr/>
        <w:tc>
          <w:tcPr>
            <w:tcW w:w="432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26" w:type="dxa"/>
            <w:tcBorders/>
            <w:shd w:fill="auto" w:val="clear"/>
            <w:vAlign w:val="center"/>
          </w:tcPr>
          <w:p>
            <w:pPr>
              <w:pStyle w:val="TableContents"/>
              <w:spacing w:before="0" w:after="0"/>
              <w:ind w:left="0" w:right="0" w:hanging="0"/>
              <w:rPr/>
            </w:pPr>
            <w:r>
              <w:rPr/>
              <w:t>​</w:t>
            </w:r>
          </w:p>
        </w:tc>
        <w:tc>
          <w:tcPr>
            <w:tcW w:w="280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212-896-2098</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sz w:val="18"/>
        </w:rPr>
        <w:t xml:space="preserve">Former fiscal year: </w:t>
      </w:r>
      <w:r>
        <w:rPr>
          <w:rFonts w:ascii="Times New Roman;Times;serif" w:hAnsi="Times New Roman;Times;serif"/>
          <w:b/>
          <w:i w:val="false"/>
          <w:caps w:val="false"/>
          <w:smallCaps w:val="false"/>
          <w:sz w:val="18"/>
        </w:rPr>
        <w:t>December 31</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spacing w:before="0" w:after="240"/>
        <w:ind w:left="0" w:right="0" w:hanging="0"/>
        <w:jc w:val="center"/>
        <w:rPr/>
      </w:pPr>
      <w:r>
        <w:rPr/>
        <w:t>​</w:t>
      </w:r>
    </w:p>
    <w:p>
      <w:pPr>
        <w:pStyle w:val="TextBody"/>
        <w:spacing w:before="0" w:after="10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spacing w:before="0" w:after="0"/>
        <w:rPr>
          <w:sz w:val="4"/>
          <w:szCs w:val="4"/>
        </w:rPr>
      </w:pPr>
      <w:r>
        <w:rPr>
          <w:sz w:val="4"/>
          <w:szCs w:val="4"/>
        </w:rPr>
      </w:r>
      <w:bookmarkStart w:id="15" w:name="Tc_dRdwNhG89EKJw2jN23om5w_0_4"/>
      <w:bookmarkStart w:id="16" w:name="Tc_qP3qedjN_U-HNtS92a5pdg_0_2"/>
      <w:bookmarkStart w:id="17" w:name="Tc_rR6QlCFptEOb4feVNy52zw_0_0"/>
      <w:bookmarkStart w:id="18" w:name="_0da8eeab_f593_4d14_a62c_1c49a09957ef"/>
      <w:bookmarkStart w:id="19" w:name="Tc_dRdwNhG89EKJw2jN23om5w_0_4"/>
      <w:bookmarkStart w:id="20" w:name="Tc_qP3qedjN_U-HNtS92a5pdg_0_2"/>
      <w:bookmarkStart w:id="21" w:name="Tc_rR6QlCFptEOb4feVNy52zw_0_0"/>
      <w:bookmarkStart w:id="22" w:name="_0da8eeab_f593_4d14_a62c_1c49a09957ef"/>
      <w:bookmarkEnd w:id="19"/>
      <w:bookmarkEnd w:id="20"/>
      <w:bookmarkEnd w:id="21"/>
      <w:bookmarkEnd w:id="22"/>
    </w:p>
    <w:tbl>
      <w:tblPr>
        <w:tblW w:w="7255" w:type="dxa"/>
        <w:jc w:val="left"/>
        <w:tblInd w:w="0" w:type="dxa"/>
        <w:tblCellMar>
          <w:top w:w="0" w:type="dxa"/>
          <w:left w:w="0" w:type="dxa"/>
          <w:bottom w:w="30" w:type="dxa"/>
          <w:right w:w="0" w:type="dxa"/>
        </w:tblCellMar>
      </w:tblPr>
      <w:tblGrid>
        <w:gridCol w:w="3076"/>
        <w:gridCol w:w="326"/>
        <w:gridCol w:w="1426"/>
        <w:gridCol w:w="326"/>
        <w:gridCol w:w="2101"/>
      </w:tblGrid>
      <w:tr>
        <w:trPr/>
        <w:tc>
          <w:tcPr>
            <w:tcW w:w="307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8" w:space="0" w:color="000000"/>
            </w:tcBorders>
            <w:shd w:fill="auto" w:val="clear"/>
            <w:vAlign w:val="center"/>
          </w:tcPr>
          <w:p>
            <w:pPr>
              <w:pStyle w:val="TableContents"/>
              <w:spacing w:before="0" w:after="0"/>
              <w:ind w:left="0" w:right="0" w:hanging="0"/>
              <w:rPr/>
            </w:pPr>
            <w:r>
              <w:rPr/>
              <w:t>    </w:t>
            </w:r>
          </w:p>
        </w:tc>
        <w:tc>
          <w:tcPr>
            <w:tcW w:w="1426"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bottom w:val="single" w:sz="8" w:space="0" w:color="000000"/>
            </w:tcBorders>
            <w:shd w:fill="auto" w:val="clear"/>
            <w:vAlign w:val="center"/>
          </w:tcPr>
          <w:p>
            <w:pPr>
              <w:pStyle w:val="TableContents"/>
              <w:spacing w:before="0" w:after="0"/>
              <w:ind w:left="0" w:right="0" w:hanging="0"/>
              <w:rPr/>
            </w:pPr>
            <w:r>
              <w:rPr/>
              <w:t>    </w:t>
            </w:r>
          </w:p>
        </w:tc>
        <w:tc>
          <w:tcPr>
            <w:tcW w:w="2101"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076" w:type="dxa"/>
            <w:tcBorders>
              <w:top w:val="single" w:sz="8" w:space="0" w:color="000000"/>
            </w:tcBorders>
            <w:shd w:fill="auto" w:val="clear"/>
            <w:tcMar>
              <w:top w:w="28" w:type="dxa"/>
              <w:bottom w:w="0"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Common stock, par value $0.01 per share</w:t>
            </w:r>
          </w:p>
        </w:tc>
        <w:tc>
          <w:tcPr>
            <w:tcW w:w="326" w:type="dxa"/>
            <w:tcBorders/>
            <w:shd w:fill="auto" w:val="clear"/>
            <w:tcMar>
              <w:bottom w:w="0" w:type="dxa"/>
            </w:tcMar>
            <w:vAlign w:val="center"/>
          </w:tcPr>
          <w:p>
            <w:pPr>
              <w:pStyle w:val="TableContents"/>
              <w:spacing w:before="0" w:after="0"/>
              <w:ind w:left="0" w:right="0" w:hanging="0"/>
              <w:rPr/>
            </w:pPr>
            <w:r>
              <w:rPr/>
              <w:t>​</w:t>
            </w:r>
          </w:p>
        </w:tc>
        <w:tc>
          <w:tcPr>
            <w:tcW w:w="1426" w:type="dxa"/>
            <w:tcBorders>
              <w:top w:val="single" w:sz="8"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KD</w:t>
            </w:r>
          </w:p>
        </w:tc>
        <w:tc>
          <w:tcPr>
            <w:tcW w:w="326" w:type="dxa"/>
            <w:tcBorders/>
            <w:shd w:fill="auto" w:val="clear"/>
            <w:tcMar>
              <w:bottom w:w="0" w:type="dxa"/>
            </w:tcMar>
            <w:vAlign w:val="center"/>
          </w:tcPr>
          <w:p>
            <w:pPr>
              <w:pStyle w:val="TableContents"/>
              <w:spacing w:before="0" w:after="0"/>
              <w:ind w:left="0" w:right="0" w:hanging="0"/>
              <w:rPr/>
            </w:pPr>
            <w:r>
              <w:rPr/>
              <w:t>​</w:t>
            </w:r>
          </w:p>
        </w:tc>
        <w:tc>
          <w:tcPr>
            <w:tcW w:w="2101" w:type="dxa"/>
            <w:tcBorders>
              <w:top w:val="single" w:sz="8" w:space="0" w:color="000000"/>
            </w:tcBorders>
            <w:shd w:fill="auto" w:val="clear"/>
            <w:tcMar>
              <w:top w:w="28" w:type="dxa"/>
              <w:bottom w:w="0"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spacing w:before="0" w:after="0"/>
        <w:ind w:left="0" w:right="0" w:hanging="0"/>
        <w:rPr/>
      </w:pPr>
      <w:r>
        <w:rPr/>
        <w:t>​</w:t>
      </w:r>
    </w:p>
    <w:p>
      <w:pPr>
        <w:pStyle w:val="TextBody"/>
        <w:spacing w:before="0" w:after="100"/>
        <w:ind w:left="0" w:right="0" w:firstLine="720"/>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100"/>
        <w:ind w:left="0" w:right="0" w:firstLine="720"/>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100"/>
        <w:ind w:left="0" w:right="0" w:firstLine="72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32" w:type="dxa"/>
        <w:jc w:val="left"/>
        <w:tblInd w:w="0" w:type="dxa"/>
        <w:tblCellMar>
          <w:top w:w="0" w:type="dxa"/>
          <w:left w:w="0" w:type="dxa"/>
          <w:bottom w:w="0" w:type="dxa"/>
          <w:right w:w="0" w:type="dxa"/>
        </w:tblCellMar>
      </w:tblPr>
      <w:tblGrid>
        <w:gridCol w:w="1876"/>
        <w:gridCol w:w="2356"/>
      </w:tblGrid>
      <w:tr>
        <w:trPr/>
        <w:tc>
          <w:tcPr>
            <w:tcW w:w="1876" w:type="dxa"/>
            <w:tcBorders/>
            <w:shd w:fill="auto" w:val="clear"/>
            <w:vAlign w:val="center"/>
          </w:tcPr>
          <w:p>
            <w:pPr>
              <w:pStyle w:val="TableContents"/>
              <w:spacing w:before="0" w:after="0"/>
              <w:ind w:left="0" w:right="0" w:hanging="0"/>
              <w:rPr/>
            </w:pPr>
            <w:r>
              <w:rPr/>
              <w:t>​</w:t>
            </w:r>
          </w:p>
        </w:tc>
        <w:tc>
          <w:tcPr>
            <w:tcW w:w="2356" w:type="dxa"/>
            <w:tcBorders/>
            <w:shd w:fill="auto" w:val="clear"/>
            <w:vAlign w:val="center"/>
          </w:tcPr>
          <w:p>
            <w:pPr>
              <w:pStyle w:val="TableContents"/>
              <w:spacing w:before="0" w:after="0"/>
              <w:ind w:left="0" w:right="0" w:hanging="0"/>
              <w:rPr/>
            </w:pPr>
            <w:r>
              <w:rPr/>
              <w:t>​</w:t>
            </w:r>
          </w:p>
        </w:tc>
      </w:tr>
      <w:tr>
        <w:trPr/>
        <w:tc>
          <w:tcPr>
            <w:tcW w:w="187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Large accelerated filer ☐</w:t>
            </w:r>
          </w:p>
        </w:tc>
        <w:tc>
          <w:tcPr>
            <w:tcW w:w="235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w:t>
            </w:r>
          </w:p>
        </w:tc>
        <w:tc>
          <w:tcPr>
            <w:tcW w:w="23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shd w:fill="auto" w:val="clear"/>
            <w:vAlign w:val="center"/>
          </w:tcPr>
          <w:p>
            <w:pPr>
              <w:pStyle w:val="TableContents"/>
              <w:spacing w:before="0" w:after="0"/>
              <w:ind w:left="0" w:right="0" w:hanging="0"/>
              <w:jc w:val="center"/>
              <w:rPr/>
            </w:pPr>
            <w:r>
              <w:rPr/>
              <w:t>​</w:t>
            </w:r>
          </w:p>
        </w:tc>
        <w:tc>
          <w:tcPr>
            <w:tcW w:w="23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spacing w:before="0" w:after="0"/>
        <w:ind w:left="0" w:right="0" w:hanging="0"/>
        <w:rPr/>
      </w:pPr>
      <w:r>
        <w:rPr/>
        <w:t>​</w:t>
      </w:r>
    </w:p>
    <w:p>
      <w:pPr>
        <w:pStyle w:val="TextBody"/>
        <w:spacing w:before="0" w:after="4"/>
        <w:ind w:left="0" w:right="0" w:firstLine="720"/>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4"/>
        <w:ind w:left="0" w:right="0" w:firstLine="720"/>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before="0" w:after="100"/>
        <w:ind w:left="0" w:right="0" w:firstLine="720"/>
        <w:rPr>
          <w:rFonts w:ascii="Times New Roman;Times;serif" w:hAnsi="Times New Roman;Times;serif"/>
          <w:sz w:val="18"/>
        </w:rPr>
      </w:pPr>
      <w:r>
        <w:rPr>
          <w:rFonts w:ascii="Times New Roman;Times;serif" w:hAnsi="Times New Roman;Times;serif"/>
          <w:sz w:val="18"/>
        </w:rPr>
        <w:t>The number of shares of the registrant’s Common Stock, par value $0.01 per share, outstanding at May 2, 2022 was 224,549,878.</w:t>
      </w:r>
    </w:p>
    <w:p>
      <w:pPr>
        <w:pStyle w:val="TextBody"/>
        <w:pBdr>
          <w:top w:val="single" w:sz="8" w:space="1" w:color="000000"/>
          <w:bottom w:val="single" w:sz="24" w:space="1" w:color="000000"/>
        </w:pBdr>
        <w:spacing w:before="0" w:after="240"/>
        <w:ind w:left="0" w:right="0" w:hanging="0"/>
        <w:rPr/>
      </w:pPr>
      <w:r>
        <w:rPr/>
        <w:t>​</w:t>
      </w:r>
    </w:p>
    <w:p>
      <w:pPr>
        <w:pStyle w:val="TextBody"/>
        <w:spacing w:before="0" w:after="0"/>
        <w:ind w:left="0" w:right="0" w:hanging="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bookmarkStart w:id="23" w:name="TOC"/>
      <w:bookmarkStart w:id="24" w:name="_88594e3b_7e0f_4828_a490_ca28141b2f1b"/>
      <w:bookmarkEnd w:id="23"/>
      <w:bookmarkEnd w:id="24"/>
      <w:r>
        <w:rPr>
          <w:rFonts w:ascii="Times New Roman;Times;serif" w:hAnsi="Times New Roman;Times;serif"/>
          <w:b/>
          <w:sz w:val="20"/>
        </w:rPr>
        <w:t>Index</w:t>
      </w:r>
    </w:p>
    <w:tbl>
      <w:tblPr>
        <w:tblW w:w="9647" w:type="dxa"/>
        <w:jc w:val="left"/>
        <w:tblInd w:w="0" w:type="dxa"/>
        <w:tblCellMar>
          <w:top w:w="0" w:type="dxa"/>
          <w:left w:w="0" w:type="dxa"/>
          <w:bottom w:w="0" w:type="dxa"/>
          <w:right w:w="0" w:type="dxa"/>
        </w:tblCellMar>
      </w:tblPr>
      <w:tblGrid>
        <w:gridCol w:w="9136"/>
        <w:gridCol w:w="511"/>
      </w:tblGrid>
      <w:tr>
        <w:trPr/>
        <w:tc>
          <w:tcPr>
            <w:tcW w:w="91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01360" cy="175260"/>
                      <wp:effectExtent l="0" t="0" r="0" b="0"/>
                      <wp:wrapNone/>
                      <wp:docPr id="4" name="Frame4"/>
                      <a:graphic xmlns:a="http://schemas.openxmlformats.org/drawingml/2006/main">
                        <a:graphicData uri="http://schemas.microsoft.com/office/word/2010/wordprocessingShape">
                          <wps:wsp>
                            <wps:cNvSpPr txBox="1"/>
                            <wps:spPr>
                              <a:xfrm>
                                <a:off x="0" y="0"/>
                                <a:ext cx="5801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283"/>
              <w:ind w:left="0" w:right="0" w:hanging="0"/>
              <w:rPr>
                <w:sz w:val="4"/>
                <w:szCs w:val="4"/>
              </w:rPr>
            </w:pPr>
            <w:r>
              <w:rPr>
                <w:sz w:val="4"/>
                <w:szCs w:val="4"/>
              </w:rPr>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136" w:type="dxa"/>
            <w:tcBorders/>
            <w:shd w:fill="auto" w:val="clear"/>
            <w:vAlign w:val="center"/>
          </w:tcPr>
          <w:p>
            <w:pPr>
              <w:pStyle w:val="TableContents"/>
              <w:spacing w:before="0" w:after="0"/>
              <w:ind w:left="0" w:right="0" w:hanging="0"/>
              <w:rPr/>
            </w:pPr>
            <w:hyperlink w:anchor="PartIFinancialInformation_874614">
              <w:r>
                <w:rPr>
                  <w:rStyle w:val="InternetLink"/>
                  <w:rFonts w:ascii="Times New Roman;Times;serif" w:hAnsi="Times New Roman;Times;serif"/>
                  <w:b/>
                  <w:i w:val="false"/>
                  <w:caps w:val="false"/>
                  <w:smallCaps w:val="false"/>
                  <w:sz w:val="20"/>
                </w:rPr>
                <w:t>Part I - Financial Information</w:t>
              </w:r>
            </w:hyperlink>
            <w:hyperlink w:anchor="PartIFinancialInformation_874614">
              <w:r>
                <w:rPr>
                  <w:rStyle w:val="InternetLink"/>
                  <w:rFonts w:ascii="Symbol" w:hAnsi="Symbol"/>
                  <w:b/>
                  <w:i w:val="false"/>
                  <w:caps w:val="false"/>
                  <w:smallCaps w:val="false"/>
                  <w:sz w:val="20"/>
                </w:rPr>
                <w:t>:</w:t>
              </w:r>
            </w:hyperlink>
          </w:p>
        </w:tc>
        <w:tc>
          <w:tcPr>
            <w:tcW w:w="511"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spacing w:before="0" w:after="0"/>
              <w:ind w:left="0" w:right="0" w:hanging="0"/>
              <w:rPr/>
            </w:pPr>
            <w:hyperlink w:anchor="Item1ConsolidatedFinancialStatements_746">
              <w:r>
                <w:rPr>
                  <w:rStyle w:val="InternetLink"/>
                  <w:rFonts w:ascii="Times New Roman;Times;serif" w:hAnsi="Times New Roman;Times;serif"/>
                  <w:b/>
                  <w:i w:val="false"/>
                  <w:caps w:val="false"/>
                  <w:smallCaps w:val="false"/>
                  <w:sz w:val="20"/>
                </w:rPr>
                <w:t>Item 1. Consolidated Financial Statements (Unaudited)</w:t>
              </w:r>
            </w:hyperlink>
            <w:hyperlink w:anchor="Item1ConsolidatedFinancialStatements_746">
              <w:r>
                <w:rPr>
                  <w:rStyle w:val="InternetLink"/>
                  <w:rFonts w:ascii="Symbol" w:hAnsi="Symbol"/>
                  <w:b/>
                  <w:i w:val="false"/>
                  <w:caps w:val="false"/>
                  <w:smallCaps w:val="false"/>
                  <w:sz w:val="20"/>
                </w:rPr>
                <w:t>:</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1ConsolidatedFinancialStatements_746">
              <w:r>
                <w:rPr>
                  <w:rStyle w:val="InternetLink"/>
                  <w:rFonts w:ascii="Times New Roman;Times;serif" w:hAnsi="Times New Roman;Times;serif"/>
                  <w:b w:val="false"/>
                  <w:i w:val="false"/>
                  <w:caps w:val="false"/>
                  <w:smallCaps w:val="false"/>
                  <w:sz w:val="20"/>
                </w:rPr>
                <w:t>Consolidated Income Statement for the three months ended March 31, 2022 and 2021</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136" w:type="dxa"/>
            <w:tcBorders/>
            <w:shd w:fill="auto" w:val="clear"/>
            <w:vAlign w:val="center"/>
          </w:tcPr>
          <w:p>
            <w:pPr>
              <w:pStyle w:val="TableContents"/>
              <w:pBdr/>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COMBINEDSTATEMENTOFCOMPREHENSIVEINCOME_3">
              <w:r>
                <w:rPr>
                  <w:rStyle w:val="InternetLink"/>
                  <w:rFonts w:ascii="Times New Roman;Times;serif" w:hAnsi="Times New Roman;Times;serif"/>
                  <w:b w:val="false"/>
                  <w:i w:val="false"/>
                  <w:caps w:val="false"/>
                  <w:smallCaps w:val="false"/>
                  <w:sz w:val="20"/>
                </w:rPr>
                <w:t>Consolidated Statement of Comprehensive Income (Loss) for the three months ended March 31, 2022 and 2021</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136" w:type="dxa"/>
            <w:tcBorders/>
            <w:shd w:fill="auto" w:val="clear"/>
            <w:vAlign w:val="center"/>
          </w:tcPr>
          <w:p>
            <w:pPr>
              <w:pStyle w:val="TableContents"/>
              <w:spacing w:before="0" w:after="283"/>
              <w:ind w:left="0" w:right="0" w:hanging="0"/>
              <w:rPr>
                <w:sz w:val="4"/>
                <w:szCs w:val="4"/>
              </w:rPr>
            </w:pPr>
            <w:r>
              <w:rPr>
                <w:sz w:val="4"/>
                <w:szCs w:val="4"/>
              </w:rPr>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CONSOLIDATEDBALANCESHEET_346457">
              <w:r>
                <w:rPr>
                  <w:rStyle w:val="InternetLink"/>
                  <w:rFonts w:ascii="Times New Roman;Times;serif" w:hAnsi="Times New Roman;Times;serif"/>
                  <w:b w:val="false"/>
                  <w:i w:val="false"/>
                  <w:caps w:val="false"/>
                  <w:smallCaps w:val="false"/>
                  <w:sz w:val="20"/>
                </w:rPr>
                <w:t>Consolidated Balance Sheet at March 31,</w:t>
              </w:r>
            </w:hyperlink>
            <w:hyperlink w:anchor="CONSOLIDATEDBALANCESHEET_346457">
              <w:r>
                <w:rPr>
                  <w:rStyle w:val="InternetLink"/>
                  <w:rFonts w:ascii="Times New Roman;Times;serif" w:hAnsi="Times New Roman;Times;serif"/>
                  <w:caps w:val="false"/>
                  <w:smallCaps w:val="false"/>
                  <w:sz w:val="20"/>
                </w:rPr>
                <w:t> </w:t>
              </w:r>
            </w:hyperlink>
            <w:hyperlink w:anchor="CONSOLIDATEDBALANCESHEET_346457">
              <w:r>
                <w:rPr>
                  <w:rStyle w:val="InternetLink"/>
                  <w:rFonts w:ascii="Times New Roman;Times;serif" w:hAnsi="Times New Roman;Times;serif"/>
                  <w:b w:val="false"/>
                  <w:i w:val="false"/>
                  <w:caps w:val="false"/>
                  <w:smallCaps w:val="false"/>
                  <w:sz w:val="20"/>
                </w:rPr>
                <w:t>2022</w:t>
              </w:r>
            </w:hyperlink>
            <w:hyperlink w:anchor="CONSOLIDATEDBALANCESHEET_346457">
              <w:r>
                <w:rPr>
                  <w:rStyle w:val="InternetLink"/>
                  <w:rFonts w:ascii="Times New Roman;Times;serif" w:hAnsi="Times New Roman;Times;serif"/>
                  <w:caps w:val="false"/>
                  <w:smallCaps w:val="false"/>
                  <w:sz w:val="20"/>
                </w:rPr>
                <w:t xml:space="preserve"> </w:t>
              </w:r>
            </w:hyperlink>
            <w:hyperlink w:anchor="CONSOLIDATEDBALANCESHEET_346457">
              <w:r>
                <w:rPr>
                  <w:rStyle w:val="InternetLink"/>
                  <w:rFonts w:ascii="Times New Roman;Times;serif" w:hAnsi="Times New Roman;Times;serif"/>
                  <w:b w:val="false"/>
                  <w:i w:val="false"/>
                  <w:caps w:val="false"/>
                  <w:smallCaps w:val="false"/>
                  <w:sz w:val="20"/>
                </w:rPr>
                <w:t>and December 31, 2021</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136" w:type="dxa"/>
            <w:tcBorders/>
            <w:shd w:fill="auto" w:val="clear"/>
            <w:vAlign w:val="center"/>
          </w:tcPr>
          <w:p>
            <w:pPr>
              <w:pStyle w:val="TableContents"/>
              <w:pBdr/>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spacing w:before="0" w:after="0"/>
              <w:ind w:left="0" w:right="0" w:hanging="0"/>
              <w:rPr/>
            </w:pPr>
            <w:hyperlink w:anchor="Cash_Flows">
              <w:r>
                <w:rPr>
                  <w:rStyle w:val="InternetLink"/>
                  <w:rFonts w:ascii="Times New Roman;Times;serif" w:hAnsi="Times New Roman;Times;serif"/>
                  <w:b w:val="false"/>
                  <w:i w:val="false"/>
                  <w:caps w:val="false"/>
                  <w:smallCaps w:val="false"/>
                  <w:sz w:val="20"/>
                </w:rPr>
                <w:t>Consolidated Statement of Cash Flows for the three months ended March 31, 2022 and 202</w:t>
              </w:r>
            </w:hyperlink>
            <w:r>
              <w:rPr>
                <w:rFonts w:ascii="Times New Roman;Times;serif" w:hAnsi="Times New Roman;Times;serif"/>
                <w:sz w:val="20"/>
              </w:rPr>
              <w:t>1</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Equity">
              <w:r>
                <w:rPr>
                  <w:rStyle w:val="InternetLink"/>
                  <w:rFonts w:ascii="Times New Roman;Times;serif" w:hAnsi="Times New Roman;Times;serif"/>
                  <w:b w:val="false"/>
                  <w:i w:val="false"/>
                  <w:caps w:val="false"/>
                  <w:smallCaps w:val="false"/>
                  <w:sz w:val="20"/>
                </w:rPr>
                <w:t>Consolidated Statement of Equity for the three months ended March 31, 2022 and 2021</w:t>
              </w:r>
            </w:hyperlink>
            <w:r>
              <w:rPr>
                <w:rFonts w:ascii="Times New Roman;Times;serif" w:hAnsi="Times New Roman;Times;serif"/>
                <w:sz w:val="20"/>
              </w:rPr>
              <w:t xml:space="preserve"> </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MANAGEMENTSDISCUSSIONANDANALYSISOFRESULT">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spacing w:before="0" w:after="0"/>
              <w:ind w:left="0" w:right="0" w:hanging="0"/>
              <w:rPr/>
            </w:pPr>
            <w:hyperlink w:anchor="ITEM3_Quanti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4ControlsandProcedures_560001">
              <w:r>
                <w:rPr>
                  <w:rStyle w:val="InternetLink"/>
                  <w:rFonts w:ascii="Times New Roman;Times;serif" w:hAnsi="Times New Roman;Times;serif"/>
                  <w:b/>
                  <w:i w:val="false"/>
                  <w:caps w:val="false"/>
                  <w:smallCaps w:val="false"/>
                  <w:sz w:val="20"/>
                </w:rPr>
                <w:t>Item 4. Controls and Procedures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spacing w:before="0" w:after="0"/>
              <w:ind w:left="0" w:right="0" w:hanging="0"/>
              <w:rPr/>
            </w:pPr>
            <w:hyperlink w:anchor="PartIIOtherInformation_819306">
              <w:r>
                <w:rPr>
                  <w:rStyle w:val="InternetLink"/>
                  <w:rFonts w:ascii="Times New Roman;Times;serif" w:hAnsi="Times New Roman;Times;serif"/>
                  <w:b/>
                  <w:i w:val="false"/>
                  <w:caps w:val="false"/>
                  <w:smallCaps w:val="false"/>
                  <w:sz w:val="20"/>
                </w:rPr>
                <w:t>Part II - Other Information</w:t>
              </w:r>
            </w:hyperlink>
            <w:hyperlink w:anchor="PartIIOtherInformation_819306">
              <w:r>
                <w:rPr>
                  <w:rStyle w:val="InternetLink"/>
                  <w:rFonts w:ascii="Symbol" w:hAnsi="Symbol"/>
                  <w:b/>
                  <w:i w:val="false"/>
                  <w:caps w:val="false"/>
                  <w:smallCaps w:val="false"/>
                  <w:sz w:val="20"/>
                </w:rPr>
                <w:t>:</w:t>
              </w:r>
            </w:hyperlink>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1LegalProceedings_389566">
              <w:r>
                <w:rPr>
                  <w:rStyle w:val="InternetLink"/>
                  <w:rFonts w:ascii="Times New Roman;Times;serif" w:hAnsi="Times New Roman;Times;serif"/>
                  <w:b/>
                  <w:i w:val="false"/>
                  <w:caps w:val="false"/>
                  <w:smallCaps w:val="false"/>
                  <w:sz w:val="20"/>
                </w:rPr>
                <w:t>Item 1. Legal Proceedings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136" w:type="dxa"/>
            <w:tcBorders/>
            <w:shd w:fill="auto" w:val="clear"/>
            <w:vAlign w:val="center"/>
          </w:tcPr>
          <w:p>
            <w:pPr>
              <w:pStyle w:val="TableContents"/>
              <w:pBdr/>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1A">
              <w:r>
                <w:rPr>
                  <w:rStyle w:val="InternetLink"/>
                  <w:rFonts w:ascii="Times New Roman;Times;serif" w:hAnsi="Times New Roman;Times;serif"/>
                  <w:b/>
                  <w:i w:val="false"/>
                  <w:caps w:val="false"/>
                  <w:smallCaps w:val="false"/>
                  <w:sz w:val="20"/>
                </w:rPr>
                <w:t>Item 1A. Risk Factors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136" w:type="dxa"/>
            <w:tcBorders/>
            <w:shd w:fill="auto" w:val="clear"/>
            <w:vAlign w:val="center"/>
          </w:tcPr>
          <w:p>
            <w:pPr>
              <w:pStyle w:val="TableContents"/>
              <w:pBdr/>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2Uregisteredsalesofequitysecurities">
              <w:r>
                <w:rPr>
                  <w:rStyle w:val="InternetLink"/>
                  <w:rFonts w:ascii="Times New Roman;Times;serif" w:hAnsi="Times New Roman;Times;serif"/>
                  <w:b/>
                  <w:i w:val="false"/>
                  <w:caps w:val="false"/>
                  <w:smallCaps w:val="false"/>
                  <w:sz w:val="20"/>
                </w:rPr>
                <w:t>Item 2. Unregistered Sales of Equity Securities and Use of Proceeds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136" w:type="dxa"/>
            <w:tcBorders/>
            <w:shd w:fill="auto" w:val="clear"/>
            <w:vAlign w:val="center"/>
          </w:tcPr>
          <w:p>
            <w:pPr>
              <w:pStyle w:val="TableContents"/>
              <w:pBdr/>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3DefaultsUponSeniorSecurities">
              <w:r>
                <w:rPr>
                  <w:rStyle w:val="InternetLink"/>
                  <w:rFonts w:ascii="Times New Roman;Times;serif" w:hAnsi="Times New Roman;Times;serif"/>
                  <w:b/>
                  <w:i w:val="false"/>
                  <w:caps w:val="false"/>
                  <w:smallCaps w:val="false"/>
                  <w:sz w:val="20"/>
                </w:rPr>
                <w:t>Item 3. Defaults Upon Senior Securities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136" w:type="dxa"/>
            <w:tcBorders/>
            <w:shd w:fill="auto" w:val="clear"/>
            <w:vAlign w:val="center"/>
          </w:tcPr>
          <w:p>
            <w:pPr>
              <w:pStyle w:val="TableContents"/>
              <w:pBdr/>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4MineSafetyDisclosures">
              <w:r>
                <w:rPr>
                  <w:rStyle w:val="InternetLink"/>
                  <w:rFonts w:ascii="Times New Roman;Times;serif" w:hAnsi="Times New Roman;Times;serif"/>
                  <w:b/>
                  <w:i w:val="false"/>
                  <w:caps w:val="false"/>
                  <w:smallCaps w:val="false"/>
                  <w:sz w:val="20"/>
                </w:rPr>
                <w:t>Item 4. Mine Safety Disclosures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136" w:type="dxa"/>
            <w:tcBorders/>
            <w:shd w:fill="auto" w:val="clear"/>
            <w:vAlign w:val="center"/>
          </w:tcPr>
          <w:p>
            <w:pPr>
              <w:pStyle w:val="TableContents"/>
              <w:pBdr/>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5OtherInformation">
              <w:r>
                <w:rPr>
                  <w:rStyle w:val="InternetLink"/>
                  <w:rFonts w:ascii="Times New Roman;Times;serif" w:hAnsi="Times New Roman;Times;serif"/>
                  <w:b/>
                  <w:i w:val="false"/>
                  <w:caps w:val="false"/>
                  <w:smallCaps w:val="false"/>
                  <w:sz w:val="20"/>
                </w:rPr>
                <w:t>Item 5. Other Information</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9136" w:type="dxa"/>
            <w:tcBorders/>
            <w:shd w:fill="auto" w:val="clear"/>
            <w:vAlign w:val="center"/>
          </w:tcPr>
          <w:p>
            <w:pPr>
              <w:pStyle w:val="TableContents"/>
              <w:pBdr/>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r>
      <w:tr>
        <w:trPr/>
        <w:tc>
          <w:tcPr>
            <w:tcW w:w="9136" w:type="dxa"/>
            <w:tcBorders/>
            <w:shd w:fill="auto" w:val="clear"/>
            <w:vAlign w:val="center"/>
          </w:tcPr>
          <w:p>
            <w:pPr>
              <w:pStyle w:val="TableContents"/>
              <w:pBdr/>
              <w:spacing w:before="0" w:after="0"/>
              <w:ind w:left="0" w:right="0" w:hanging="0"/>
              <w:rPr/>
            </w:pPr>
            <w:hyperlink w:anchor="Item6Exhibits_457436">
              <w:r>
                <w:rPr>
                  <w:rStyle w:val="InternetLink"/>
                  <w:rFonts w:ascii="Times New Roman;Times;serif" w:hAnsi="Times New Roman;Times;serif"/>
                  <w:b/>
                  <w:i w:val="false"/>
                  <w:caps w:val="false"/>
                  <w:smallCaps w:val="false"/>
                  <w:sz w:val="20"/>
                </w:rPr>
                <w:t>Item 6. Exhibits</w:t>
              </w:r>
            </w:hyperlink>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25" w:name="PartIFinancialInformation_874614"/>
      <w:bookmarkStart w:id="26" w:name="Item1ConsolidatedFinancialStatements_746"/>
      <w:bookmarkStart w:id="27" w:name="_02b01b05_c179_4957_bccd_ad81bbc35c67"/>
      <w:bookmarkEnd w:id="25"/>
      <w:bookmarkEnd w:id="26"/>
      <w:bookmarkEnd w:id="27"/>
      <w:r>
        <w:rPr>
          <w:rFonts w:ascii="Times New Roman;Times;serif" w:hAnsi="Times New Roman;Times;serif"/>
          <w:b/>
          <w:sz w:val="20"/>
        </w:rPr>
        <w:t>Part I - Financial Information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Item 1. Consolidated Financial Statements (Unaudited):</w:t>
      </w:r>
    </w:p>
    <w:p>
      <w:pPr>
        <w:pStyle w:val="TextBody"/>
        <w:spacing w:before="0" w:after="240"/>
        <w:ind w:left="0" w:right="0" w:hanging="0"/>
        <w:jc w:val="center"/>
        <w:rPr>
          <w:rFonts w:ascii="Times New Roman;Times;serif" w:hAnsi="Times New Roman;Times;serif"/>
          <w:sz w:val="16"/>
        </w:rPr>
      </w:pPr>
      <w:bookmarkStart w:id="28" w:name="COMBINEDINCOMESTATEMENT_709357"/>
      <w:bookmarkStart w:id="29" w:name="INDEXINCOMESTATEMENT"/>
      <w:bookmarkEnd w:id="28"/>
      <w:bookmarkEnd w:id="29"/>
      <w:r>
        <w:rPr>
          <w:rFonts w:ascii="Times New Roman;Times;serif" w:hAnsi="Times New Roman;Times;serif"/>
          <w:b/>
          <w:sz w:val="20"/>
        </w:rPr>
        <w:t>KYNDRYL HOLDINGS, INC.</w:t>
        <w:br/>
        <w:t>CONSOLIDATED INCOME STATEMENT</w:t>
        <w:br/>
      </w:r>
      <w:r>
        <w:rPr>
          <w:rFonts w:ascii="Times New Roman;Times;serif" w:hAnsi="Times New Roman;Times;serif"/>
          <w:b/>
          <w:sz w:val="16"/>
        </w:rPr>
        <w:t>(In millions, except per share amounts)</w:t>
        <w:b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30" w:name="Tc_jeZtFYbXO0mUxLDRzRE-IA_21_0"/>
      <w:bookmarkStart w:id="31" w:name="Tc_P2-hoBfwK0qCa6iM6fab8Q_20_0"/>
      <w:bookmarkStart w:id="32" w:name="Tc_-UtK1uTCRUCv5o2m399mgw_18_5"/>
      <w:bookmarkStart w:id="33" w:name="Tc_f9MFaqYck0K1O3NOm5bmNw_18_2"/>
      <w:bookmarkStart w:id="34" w:name="Tc_v1iYQdyZ5UeDvB8-kI2YtA_18_0"/>
      <w:bookmarkStart w:id="35" w:name="Tc_TPBOkkud702vb64IqC5voQ_17_5"/>
      <w:bookmarkStart w:id="36" w:name="Tc_9GQq2a2e2U6h5joecOdcAQ_17_2"/>
      <w:bookmarkStart w:id="37" w:name="Tc_E_cINMM4W0uVC7W4s660vg_17_0"/>
      <w:bookmarkStart w:id="38" w:name="Tc_AxG2EDakSEexAsJIp2Yokw_15_5"/>
      <w:bookmarkStart w:id="39" w:name="Tc_aJin1LrYZk2s9LNu0Q151A_15_2"/>
      <w:bookmarkStart w:id="40" w:name="Tc_7_0dUFBAOUOFDT2jdhvo3g_15_0"/>
      <w:bookmarkStart w:id="41" w:name="Tc_XZEbQFnItkiDy_ciGQjJ4w_14_5"/>
      <w:bookmarkStart w:id="42" w:name="Tc_ODUs2Y4Rpk6UhRVgdOpsww_14_2"/>
      <w:bookmarkStart w:id="43" w:name="Tc_fNRHSE2NqkCHX4X583TTHg_14_0"/>
      <w:bookmarkStart w:id="44" w:name="Tc_9jLyxKVxz0inllGP3K8Ypw_13_5"/>
      <w:bookmarkStart w:id="45" w:name="Tc_7LeAUYK3U0-ywQ17ZuLUDQ_13_2"/>
      <w:bookmarkStart w:id="46" w:name="Tc_fgQdeJqR5EWynEHKRYvMQw_13_0"/>
      <w:bookmarkStart w:id="47" w:name="Tc_CNHluxS4wUWb6TWwtyAyQQ_11_5"/>
      <w:bookmarkStart w:id="48" w:name="Tc__GYSQSNRB0qVyjMxSArsfQ_11_2"/>
      <w:bookmarkStart w:id="49" w:name="Tc_5Mc1Y8rAjkeJJonhO-gW4g_11_0"/>
      <w:bookmarkStart w:id="50" w:name="Tc_E_iIyCro7UyUWO8CYGYfcA_10_0"/>
      <w:bookmarkStart w:id="51" w:name="Tc_gmclKVMR70iLqLNCgAYNgA_9_0"/>
      <w:bookmarkStart w:id="52" w:name="Tc_JcA9zqw9VU24VlFdzYOejw_8_0"/>
      <w:bookmarkStart w:id="53" w:name="Tc_GPsPnZ3__UK6Is7GjPISbA_7_3"/>
      <w:bookmarkStart w:id="54" w:name="Tc_smKk1VcXskOBqj1u7lyZJg_7_0"/>
      <w:bookmarkStart w:id="55" w:name="Tc_88n0NON2fUK_pUC-oVuT-g_6_0"/>
      <w:bookmarkStart w:id="56" w:name="Tc_akQSnc6SMk6Tc170Ft-NZQ_5_5"/>
      <w:bookmarkStart w:id="57" w:name="Tc_KE0_TNmtvEaw33RRx7NUzw_5_2"/>
      <w:bookmarkStart w:id="58" w:name="Tc_BghQz3ZTTEmlzmgcAHYr2g_5_0"/>
      <w:bookmarkStart w:id="59" w:name="Tc_EhKZEViVBE6ZISOD2GNacw_3_5"/>
      <w:bookmarkStart w:id="60" w:name="Tc_W8uCAZS6V0W4DmO3uwL5Jw_3_2"/>
      <w:bookmarkStart w:id="61" w:name="Tc_cHt8pVHyYkuF7UZcKOff3A_3_0"/>
      <w:bookmarkStart w:id="62" w:name="Tc_JGmcJAmdxk6AsN6y5YPPaw_2_5"/>
      <w:bookmarkStart w:id="63" w:name="Tc_DGjVA14FME6jU2KLn3GDtA_2_2"/>
      <w:bookmarkStart w:id="64" w:name="Tc_BkXNY8bnn02sfiZiY0Sbbw_1_2"/>
      <w:bookmarkStart w:id="65" w:name="_c443ebeb_d135_46b7_af73_8728d7f26085"/>
      <w:bookmarkStart w:id="66" w:name="Tc_jeZtFYbXO0mUxLDRzRE-IA_21_0"/>
      <w:bookmarkStart w:id="67" w:name="Tc_P2-hoBfwK0qCa6iM6fab8Q_20_0"/>
      <w:bookmarkStart w:id="68" w:name="Tc_-UtK1uTCRUCv5o2m399mgw_18_5"/>
      <w:bookmarkStart w:id="69" w:name="Tc_f9MFaqYck0K1O3NOm5bmNw_18_2"/>
      <w:bookmarkStart w:id="70" w:name="Tc_v1iYQdyZ5UeDvB8-kI2YtA_18_0"/>
      <w:bookmarkStart w:id="71" w:name="Tc_TPBOkkud702vb64IqC5voQ_17_5"/>
      <w:bookmarkStart w:id="72" w:name="Tc_9GQq2a2e2U6h5joecOdcAQ_17_2"/>
      <w:bookmarkStart w:id="73" w:name="Tc_E_cINMM4W0uVC7W4s660vg_17_0"/>
      <w:bookmarkStart w:id="74" w:name="Tc_AxG2EDakSEexAsJIp2Yokw_15_5"/>
      <w:bookmarkStart w:id="75" w:name="Tc_aJin1LrYZk2s9LNu0Q151A_15_2"/>
      <w:bookmarkStart w:id="76" w:name="Tc_7_0dUFBAOUOFDT2jdhvo3g_15_0"/>
      <w:bookmarkStart w:id="77" w:name="Tc_XZEbQFnItkiDy_ciGQjJ4w_14_5"/>
      <w:bookmarkStart w:id="78" w:name="Tc_ODUs2Y4Rpk6UhRVgdOpsww_14_2"/>
      <w:bookmarkStart w:id="79" w:name="Tc_fNRHSE2NqkCHX4X583TTHg_14_0"/>
      <w:bookmarkStart w:id="80" w:name="Tc_9jLyxKVxz0inllGP3K8Ypw_13_5"/>
      <w:bookmarkStart w:id="81" w:name="Tc_7LeAUYK3U0-ywQ17ZuLUDQ_13_2"/>
      <w:bookmarkStart w:id="82" w:name="Tc_fgQdeJqR5EWynEHKRYvMQw_13_0"/>
      <w:bookmarkStart w:id="83" w:name="Tc_CNHluxS4wUWb6TWwtyAyQQ_11_5"/>
      <w:bookmarkStart w:id="84" w:name="Tc__GYSQSNRB0qVyjMxSArsfQ_11_2"/>
      <w:bookmarkStart w:id="85" w:name="Tc_5Mc1Y8rAjkeJJonhO-gW4g_11_0"/>
      <w:bookmarkStart w:id="86" w:name="Tc_E_iIyCro7UyUWO8CYGYfcA_10_0"/>
      <w:bookmarkStart w:id="87" w:name="Tc_gmclKVMR70iLqLNCgAYNgA_9_0"/>
      <w:bookmarkStart w:id="88" w:name="Tc_JcA9zqw9VU24VlFdzYOejw_8_0"/>
      <w:bookmarkStart w:id="89" w:name="Tc_GPsPnZ3__UK6Is7GjPISbA_7_3"/>
      <w:bookmarkStart w:id="90" w:name="Tc_smKk1VcXskOBqj1u7lyZJg_7_0"/>
      <w:bookmarkStart w:id="91" w:name="Tc_88n0NON2fUK_pUC-oVuT-g_6_0"/>
      <w:bookmarkStart w:id="92" w:name="Tc_akQSnc6SMk6Tc170Ft-NZQ_5_5"/>
      <w:bookmarkStart w:id="93" w:name="Tc_KE0_TNmtvEaw33RRx7NUzw_5_2"/>
      <w:bookmarkStart w:id="94" w:name="Tc_BghQz3ZTTEmlzmgcAHYr2g_5_0"/>
      <w:bookmarkStart w:id="95" w:name="Tc_EhKZEViVBE6ZISOD2GNacw_3_5"/>
      <w:bookmarkStart w:id="96" w:name="Tc_W8uCAZS6V0W4DmO3uwL5Jw_3_2"/>
      <w:bookmarkStart w:id="97" w:name="Tc_cHt8pVHyYkuF7UZcKOff3A_3_0"/>
      <w:bookmarkStart w:id="98" w:name="Tc_JGmcJAmdxk6AsN6y5YPPaw_2_5"/>
      <w:bookmarkStart w:id="99" w:name="Tc_DGjVA14FME6jU2KLn3GDtA_2_2"/>
      <w:bookmarkStart w:id="100" w:name="Tc_BkXNY8bnn02sfiZiY0Sbbw_1_2"/>
      <w:bookmarkStart w:id="101" w:name="_c443ebeb_d135_46b7_af73_8728d7f2608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tbl>
      <w:tblPr>
        <w:tblW w:w="6610" w:type="dxa"/>
        <w:jc w:val="left"/>
        <w:tblInd w:w="0" w:type="dxa"/>
        <w:tblCellMar>
          <w:top w:w="0" w:type="dxa"/>
          <w:left w:w="0" w:type="dxa"/>
          <w:bottom w:w="0" w:type="dxa"/>
          <w:right w:w="0" w:type="dxa"/>
        </w:tblCellMar>
      </w:tblPr>
      <w:tblGrid>
        <w:gridCol w:w="3796"/>
        <w:gridCol w:w="326"/>
        <w:gridCol w:w="254"/>
        <w:gridCol w:w="706"/>
        <w:gridCol w:w="393"/>
        <w:gridCol w:w="308"/>
        <w:gridCol w:w="827"/>
      </w:tblGrid>
      <w:tr>
        <w:trPr/>
        <w:tc>
          <w:tcPr>
            <w:tcW w:w="3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10460" cy="175260"/>
                      <wp:effectExtent l="0" t="0" r="0" b="0"/>
                      <wp:wrapNone/>
                      <wp:docPr id="6" name="Frame6"/>
                      <a:graphic xmlns:a="http://schemas.openxmlformats.org/drawingml/2006/main">
                        <a:graphicData uri="http://schemas.microsoft.com/office/word/2010/wordprocessingShape">
                          <wps:wsp>
                            <wps:cNvSpPr txBox="1"/>
                            <wps:spPr>
                              <a:xfrm>
                                <a:off x="0" y="0"/>
                                <a:ext cx="2410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61290" cy="175260"/>
                      <wp:effectExtent l="0" t="0" r="0" b="0"/>
                      <wp:wrapNone/>
                      <wp:docPr id="8" name="Frame8"/>
                      <a:graphic xmlns:a="http://schemas.openxmlformats.org/drawingml/2006/main">
                        <a:graphicData uri="http://schemas.microsoft.com/office/word/2010/wordprocessingShape">
                          <wps:wsp>
                            <wps:cNvSpPr txBox="1"/>
                            <wps:spPr>
                              <a:xfrm>
                                <a:off x="0" y="0"/>
                                <a:ext cx="1612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48310" cy="175260"/>
                      <wp:effectExtent l="0" t="0" r="0" b="0"/>
                      <wp:wrapNone/>
                      <wp:docPr id="9" name="Frame9"/>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49555" cy="175260"/>
                      <wp:effectExtent l="0" t="0" r="0" b="0"/>
                      <wp:wrapNone/>
                      <wp:docPr id="10" name="Frame10"/>
                      <a:graphic xmlns:a="http://schemas.openxmlformats.org/drawingml/2006/main">
                        <a:graphicData uri="http://schemas.microsoft.com/office/word/2010/wordprocessingShape">
                          <wps:wsp>
                            <wps:cNvSpPr txBox="1"/>
                            <wps:spPr>
                              <a:xfrm>
                                <a:off x="0" y="0"/>
                                <a:ext cx="2495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5580" cy="175260"/>
                      <wp:effectExtent l="0" t="0" r="0" b="0"/>
                      <wp:wrapNone/>
                      <wp:docPr id="11" name="Frame11"/>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25145" cy="175260"/>
                      <wp:effectExtent l="0" t="0" r="0" b="0"/>
                      <wp:wrapNone/>
                      <wp:docPr id="12" name="Frame12"/>
                      <a:graphic xmlns:a="http://schemas.openxmlformats.org/drawingml/2006/main">
                        <a:graphicData uri="http://schemas.microsoft.com/office/word/2010/wordprocessingShape">
                          <wps:wsp>
                            <wps:cNvSpPr txBox="1"/>
                            <wps:spPr>
                              <a:xfrm>
                                <a:off x="0" y="0"/>
                                <a:ext cx="5251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7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93" w:type="dxa"/>
            <w:tcBorders/>
            <w:shd w:fill="auto" w:val="clear"/>
            <w:vAlign w:val="center"/>
          </w:tcPr>
          <w:p>
            <w:pPr>
              <w:pStyle w:val="TableContents"/>
              <w:spacing w:before="0" w:after="1"/>
              <w:ind w:left="0" w:right="0" w:hanging="0"/>
              <w:rPr/>
            </w:pPr>
            <w:r>
              <w:rPr/>
              <w:t>    </w:t>
            </w:r>
          </w:p>
        </w:tc>
        <w:tc>
          <w:tcPr>
            <w:tcW w:w="113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b/>
                <w:sz w:val="20"/>
              </w:rPr>
              <w:t>Revenues</w:t>
            </w:r>
            <w:r>
              <w:rPr>
                <w:rFonts w:ascii="Times New Roman;Times;serif" w:hAnsi="Times New Roman;Times;serif"/>
                <w:sz w:val="20"/>
              </w:rPr>
              <w:t xml:space="preserve"> *</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4,431</w:t>
            </w:r>
          </w:p>
        </w:tc>
        <w:tc>
          <w:tcPr>
            <w:tcW w:w="393"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3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93" w:type="dxa"/>
            <w:tcBorders/>
            <w:shd w:fill="auto" w:val="clear"/>
            <w:vAlign w:val="center"/>
          </w:tcPr>
          <w:p>
            <w:pPr>
              <w:pStyle w:val="TableContents"/>
              <w:spacing w:before="0" w:after="1"/>
              <w:ind w:left="0" w:right="0" w:hanging="0"/>
              <w:rPr/>
            </w:pPr>
            <w:r>
              <w:rPr/>
              <w:t>​</w:t>
            </w:r>
          </w:p>
        </w:tc>
        <w:tc>
          <w:tcPr>
            <w:tcW w:w="308"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pPr>
            <w:r>
              <w:rPr/>
              <w:t>​</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services **</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3,824</w:t>
            </w:r>
          </w:p>
        </w:tc>
        <w:tc>
          <w:tcPr>
            <w:tcW w:w="393"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4,318</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93" w:type="dxa"/>
            <w:tcBorders/>
            <w:shd w:fill="auto" w:val="clear"/>
            <w:vAlign w:val="center"/>
          </w:tcPr>
          <w:p>
            <w:pPr>
              <w:pStyle w:val="TableContents"/>
              <w:spacing w:before="0" w:after="1"/>
              <w:ind w:left="0" w:right="0" w:hanging="0"/>
              <w:rPr/>
            </w:pPr>
            <w:r>
              <w:rPr/>
              <w:t>​</w:t>
            </w:r>
          </w:p>
        </w:tc>
        <w:tc>
          <w:tcPr>
            <w:tcW w:w="308"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714</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93"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pPr>
            <w:r>
              <w:rPr/>
              <w:t>​</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93" w:type="dxa"/>
            <w:tcBorders/>
            <w:shd w:fill="auto" w:val="clear"/>
            <w:vAlign w:val="center"/>
          </w:tcPr>
          <w:p>
            <w:pPr>
              <w:pStyle w:val="TableContents"/>
              <w:spacing w:before="0" w:after="1"/>
              <w:ind w:left="0" w:right="0" w:hanging="0"/>
              <w:rPr/>
            </w:pPr>
            <w:r>
              <w:rPr/>
              <w:t>​</w:t>
            </w:r>
          </w:p>
        </w:tc>
        <w:tc>
          <w:tcPr>
            <w:tcW w:w="308"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93"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pPr>
            <w:r>
              <w:rPr/>
              <w:t>​</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expenses</w:t>
            </w:r>
          </w:p>
        </w:tc>
        <w:tc>
          <w:tcPr>
            <w:tcW w:w="326" w:type="dxa"/>
            <w:tcBorders/>
            <w:shd w:fill="auto" w:val="clear"/>
            <w:vAlign w:val="center"/>
          </w:tcPr>
          <w:p>
            <w:pPr>
              <w:pStyle w:val="TableContents"/>
              <w:spacing w:before="0" w:after="1"/>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93" w:type="dxa"/>
            <w:tcBorders/>
            <w:shd w:fill="auto" w:val="clear"/>
            <w:vAlign w:val="center"/>
          </w:tcPr>
          <w:p>
            <w:pPr>
              <w:pStyle w:val="TableContents"/>
              <w:spacing w:before="0" w:after="1"/>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2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costs and expenses</w:t>
            </w:r>
          </w:p>
        </w:tc>
        <w:tc>
          <w:tcPr>
            <w:tcW w:w="326" w:type="dxa"/>
            <w:tcBorders/>
            <w:shd w:fill="CCEEFF" w:val="clear"/>
            <w:vAlign w:val="center"/>
          </w:tcPr>
          <w:p>
            <w:pPr>
              <w:pStyle w:val="TableContents"/>
              <w:spacing w:before="0" w:after="1"/>
              <w:ind w:left="0" w:right="0" w:hanging="0"/>
              <w:rPr/>
            </w:pPr>
            <w:r>
              <w:rPr/>
              <w:t>​</w:t>
            </w:r>
          </w:p>
        </w:tc>
        <w:tc>
          <w:tcPr>
            <w:tcW w:w="254"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4,620</w:t>
            </w:r>
          </w:p>
        </w:tc>
        <w:tc>
          <w:tcPr>
            <w:tcW w:w="393" w:type="dxa"/>
            <w:tcBorders/>
            <w:shd w:fill="CCEEFF" w:val="clear"/>
            <w:vAlign w:val="center"/>
          </w:tcPr>
          <w:p>
            <w:pPr>
              <w:pStyle w:val="TableContents"/>
              <w:spacing w:before="0" w:after="1"/>
              <w:ind w:left="0" w:right="0" w:hanging="0"/>
              <w:rPr/>
            </w:pPr>
            <w:r>
              <w:rPr/>
              <w:t>​</w:t>
            </w:r>
          </w:p>
        </w:tc>
        <w:tc>
          <w:tcPr>
            <w:tcW w:w="308"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82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5,175</w:t>
            </w:r>
          </w:p>
        </w:tc>
      </w:tr>
      <w:tr>
        <w:trPr/>
        <w:tc>
          <w:tcPr>
            <w:tcW w:w="3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93" w:type="dxa"/>
            <w:tcBorders/>
            <w:shd w:fill="auto" w:val="clear"/>
            <w:vAlign w:val="center"/>
          </w:tcPr>
          <w:p>
            <w:pPr>
              <w:pStyle w:val="TableContents"/>
              <w:spacing w:before="0" w:after="1"/>
              <w:ind w:left="0" w:right="0" w:hanging="0"/>
              <w:rPr/>
            </w:pPr>
            <w:r>
              <w:rPr/>
              <w:t>​</w:t>
            </w:r>
          </w:p>
        </w:tc>
        <w:tc>
          <w:tcPr>
            <w:tcW w:w="308"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pPr>
            <w:r>
              <w:rPr/>
              <w:t>​</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Income (loss) before income taxes</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93"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Provision for income taxes </w:t>
            </w:r>
          </w:p>
        </w:tc>
        <w:tc>
          <w:tcPr>
            <w:tcW w:w="326" w:type="dxa"/>
            <w:tcBorders/>
            <w:shd w:fill="auto" w:val="clear"/>
            <w:vAlign w:val="center"/>
          </w:tcPr>
          <w:p>
            <w:pPr>
              <w:pStyle w:val="TableContents"/>
              <w:spacing w:before="0" w:after="1"/>
              <w:ind w:left="0" w:right="0" w:hanging="0"/>
              <w:rPr/>
            </w:pPr>
            <w:r>
              <w:rPr/>
              <w:t>​</w:t>
            </w:r>
          </w:p>
        </w:tc>
        <w:tc>
          <w:tcPr>
            <w:tcW w:w="254"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93" w:type="dxa"/>
            <w:tcBorders/>
            <w:shd w:fill="auto" w:val="clear"/>
            <w:vAlign w:val="center"/>
          </w:tcPr>
          <w:p>
            <w:pPr>
              <w:pStyle w:val="TableContents"/>
              <w:spacing w:before="0" w:after="1"/>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82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spacing w:before="0" w:after="1"/>
              <w:ind w:left="0" w:right="0" w:hanging="0"/>
              <w:rPr/>
            </w:pPr>
            <w:r>
              <w:rPr/>
              <w:t>​</w:t>
            </w:r>
          </w:p>
        </w:tc>
        <w:tc>
          <w:tcPr>
            <w:tcW w:w="25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93" w:type="dxa"/>
            <w:tcBorders/>
            <w:shd w:fill="CCEEFF" w:val="clear"/>
            <w:vAlign w:val="center"/>
          </w:tcPr>
          <w:p>
            <w:pPr>
              <w:pStyle w:val="TableContents"/>
              <w:spacing w:before="0" w:after="1"/>
              <w:ind w:left="0" w:right="0" w:hanging="0"/>
              <w:rPr/>
            </w:pPr>
            <w:r>
              <w:rPr/>
              <w:t>​</w:t>
            </w:r>
          </w:p>
        </w:tc>
        <w:tc>
          <w:tcPr>
            <w:tcW w:w="30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 </w:t>
            </w:r>
          </w:p>
        </w:tc>
        <w:tc>
          <w:tcPr>
            <w:tcW w:w="82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3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pPr>
            <w:r>
              <w:rPr/>
              <w:t>​</w:t>
            </w:r>
          </w:p>
        </w:tc>
        <w:tc>
          <w:tcPr>
            <w:tcW w:w="393" w:type="dxa"/>
            <w:tcBorders/>
            <w:shd w:fill="auto" w:val="clear"/>
            <w:vAlign w:val="center"/>
          </w:tcPr>
          <w:p>
            <w:pPr>
              <w:pStyle w:val="TableContents"/>
              <w:spacing w:before="0" w:after="1"/>
              <w:ind w:left="0" w:right="0" w:hanging="0"/>
              <w:rPr/>
            </w:pPr>
            <w:r>
              <w:rPr/>
              <w:t>​</w:t>
            </w:r>
          </w:p>
        </w:tc>
        <w:tc>
          <w:tcPr>
            <w:tcW w:w="308"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pPr>
            <w:r>
              <w:rPr/>
              <w:t>​</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Basic earnings (loss) per share</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93"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earnings (loss) per share</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93" w:type="dxa"/>
            <w:tcBorders/>
            <w:shd w:fill="auto" w:val="clear"/>
            <w:vAlign w:val="center"/>
          </w:tcPr>
          <w:p>
            <w:pPr>
              <w:pStyle w:val="TableContents"/>
              <w:spacing w:before="0" w:after="1"/>
              <w:ind w:left="0" w:right="0" w:hanging="0"/>
              <w:rPr/>
            </w:pPr>
            <w:r>
              <w:rPr/>
              <w:t>​</w:t>
            </w:r>
          </w:p>
        </w:tc>
        <w:tc>
          <w:tcPr>
            <w:tcW w:w="308"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379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pPr>
            <w:r>
              <w:rPr/>
              <w:t>​</w:t>
            </w:r>
          </w:p>
        </w:tc>
        <w:tc>
          <w:tcPr>
            <w:tcW w:w="393"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pPr>
            <w:r>
              <w:rPr/>
              <w:t>​</w:t>
            </w:r>
          </w:p>
        </w:tc>
        <w:tc>
          <w:tcPr>
            <w:tcW w:w="827" w:type="dxa"/>
            <w:tcBorders/>
            <w:shd w:fill="CCEEFF" w:val="clear"/>
            <w:vAlign w:val="center"/>
          </w:tcPr>
          <w:p>
            <w:pPr>
              <w:pStyle w:val="TableContents"/>
              <w:spacing w:before="0" w:after="1"/>
              <w:ind w:left="0" w:right="0" w:hanging="0"/>
              <w:jc w:val="right"/>
              <w:rPr/>
            </w:pPr>
            <w:r>
              <w:rPr/>
              <w:t>​</w:t>
            </w:r>
          </w:p>
        </w:tc>
      </w:tr>
      <w:tr>
        <w:trPr/>
        <w:tc>
          <w:tcPr>
            <w:tcW w:w="379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basic shares outstanding</w:t>
            </w:r>
          </w:p>
        </w:tc>
        <w:tc>
          <w:tcPr>
            <w:tcW w:w="326" w:type="dxa"/>
            <w:tcBorders/>
            <w:shd w:fill="auto" w:val="clear"/>
            <w:vAlign w:val="center"/>
          </w:tcPr>
          <w:p>
            <w:pPr>
              <w:pStyle w:val="TableContents"/>
              <w:spacing w:before="0" w:after="1"/>
              <w:ind w:left="0" w:right="0" w:hanging="0"/>
              <w:rPr/>
            </w:pPr>
            <w:r>
              <w:rPr/>
              <w:t>​</w:t>
            </w:r>
          </w:p>
        </w:tc>
        <w:tc>
          <w:tcPr>
            <w:tcW w:w="254" w:type="dxa"/>
            <w:tcBorders/>
            <w:shd w:fill="auto" w:val="clear"/>
            <w:vAlign w:val="center"/>
          </w:tcPr>
          <w:p>
            <w:pPr>
              <w:pStyle w:val="TableContents"/>
              <w:spacing w:before="0" w:after="1"/>
              <w:ind w:left="0" w:right="0" w:hanging="0"/>
              <w:rPr/>
            </w:pPr>
            <w:r>
              <w:rPr/>
              <w:t>​</w:t>
            </w:r>
          </w:p>
        </w:tc>
        <w:tc>
          <w:tcPr>
            <w:tcW w:w="7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93" w:type="dxa"/>
            <w:tcBorders/>
            <w:shd w:fill="auto" w:val="clear"/>
            <w:vAlign w:val="center"/>
          </w:tcPr>
          <w:p>
            <w:pPr>
              <w:pStyle w:val="TableContents"/>
              <w:spacing w:before="0" w:after="1"/>
              <w:ind w:left="0" w:right="0" w:hanging="0"/>
              <w:rPr/>
            </w:pPr>
            <w:r>
              <w:rPr/>
              <w:t>​</w:t>
            </w:r>
          </w:p>
        </w:tc>
        <w:tc>
          <w:tcPr>
            <w:tcW w:w="308" w:type="dxa"/>
            <w:tcBorders/>
            <w:shd w:fill="auto" w:val="clear"/>
            <w:vAlign w:val="center"/>
          </w:tcPr>
          <w:p>
            <w:pPr>
              <w:pStyle w:val="TableContents"/>
              <w:spacing w:before="0" w:after="1"/>
              <w:ind w:left="0" w:right="0" w:hanging="0"/>
              <w:rPr/>
            </w:pPr>
            <w:r>
              <w:rPr/>
              <w:t>​</w:t>
            </w:r>
          </w:p>
        </w:tc>
        <w:tc>
          <w:tcPr>
            <w:tcW w:w="8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379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diluted shares outstanding</w:t>
            </w:r>
          </w:p>
        </w:tc>
        <w:tc>
          <w:tcPr>
            <w:tcW w:w="326" w:type="dxa"/>
            <w:tcBorders/>
            <w:shd w:fill="CCEEFF" w:val="clear"/>
            <w:vAlign w:val="center"/>
          </w:tcPr>
          <w:p>
            <w:pPr>
              <w:pStyle w:val="TableContents"/>
              <w:spacing w:before="0" w:after="1"/>
              <w:ind w:left="0" w:right="0" w:hanging="0"/>
              <w:rPr/>
            </w:pPr>
            <w:r>
              <w:rPr/>
              <w:t>​</w:t>
            </w:r>
          </w:p>
        </w:tc>
        <w:tc>
          <w:tcPr>
            <w:tcW w:w="254" w:type="dxa"/>
            <w:tcBorders/>
            <w:shd w:fill="CCEEFF" w:val="clear"/>
            <w:vAlign w:val="center"/>
          </w:tcPr>
          <w:p>
            <w:pPr>
              <w:pStyle w:val="TableContents"/>
              <w:spacing w:before="0" w:after="1"/>
              <w:ind w:left="0" w:right="0" w:hanging="0"/>
              <w:rPr/>
            </w:pPr>
            <w:r>
              <w:rPr/>
              <w:t>​</w:t>
            </w:r>
          </w:p>
        </w:tc>
        <w:tc>
          <w:tcPr>
            <w:tcW w:w="7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393" w:type="dxa"/>
            <w:tcBorders/>
            <w:shd w:fill="CCEEFF" w:val="clear"/>
            <w:vAlign w:val="center"/>
          </w:tcPr>
          <w:p>
            <w:pPr>
              <w:pStyle w:val="TableContents"/>
              <w:spacing w:before="0" w:after="1"/>
              <w:ind w:left="0" w:right="0" w:hanging="0"/>
              <w:rPr/>
            </w:pPr>
            <w:r>
              <w:rPr/>
              <w:t>​</w:t>
            </w:r>
          </w:p>
        </w:tc>
        <w:tc>
          <w:tcPr>
            <w:tcW w:w="308" w:type="dxa"/>
            <w:tcBorders/>
            <w:shd w:fill="CCEEFF" w:val="clear"/>
            <w:vAlign w:val="center"/>
          </w:tcPr>
          <w:p>
            <w:pPr>
              <w:pStyle w:val="TableContents"/>
              <w:spacing w:before="0" w:after="1"/>
              <w:ind w:left="0" w:right="0" w:hanging="0"/>
              <w:rPr/>
            </w:pPr>
            <w:r>
              <w:rPr/>
              <w:t>​</w:t>
            </w:r>
          </w:p>
        </w:tc>
        <w:tc>
          <w:tcPr>
            <w:tcW w:w="827"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224.1</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18"/>
        </w:rPr>
      </w:pPr>
      <w:bookmarkStart w:id="102" w:name="_c3e3e57c_2f97_494c_a32c_728add6d0d0b"/>
      <w:bookmarkEnd w:id="102"/>
      <w:r>
        <w:rPr>
          <w:rFonts w:ascii="Times New Roman;Times;serif" w:hAnsi="Times New Roman;Times;serif"/>
          <w:sz w:val="18"/>
        </w:rPr>
        <w:t>* Including related-party revenue of $236 and $154 for the three months ended March 31, 2022 and 2021, respectively</w:t>
      </w:r>
    </w:p>
    <w:p>
      <w:pPr>
        <w:pStyle w:val="TextBody"/>
        <w:spacing w:before="0" w:after="0"/>
        <w:ind w:left="0" w:right="0" w:hanging="0"/>
        <w:rPr>
          <w:rFonts w:ascii="Times New Roman;Times;serif" w:hAnsi="Times New Roman;Times;serif"/>
          <w:sz w:val="18"/>
        </w:rPr>
      </w:pPr>
      <w:bookmarkStart w:id="103" w:name="_6a271dd3_28af_4be8_a7ff_c1af824c284b"/>
      <w:bookmarkEnd w:id="103"/>
      <w:r>
        <w:rPr>
          <w:rFonts w:ascii="Times New Roman;Times;serif" w:hAnsi="Times New Roman;Times;serif"/>
          <w:sz w:val="18"/>
        </w:rPr>
        <w:t>** Including related-party cost of services of $924 and $1,006 for the three months ended March 31, 2022 and 2021, respectively</w:t>
      </w:r>
    </w:p>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240"/>
        <w:ind w:left="0" w:right="0" w:firstLine="720"/>
        <w:jc w:val="center"/>
        <w:rPr/>
      </w:pPr>
      <w:r>
        <w:rPr/>
        <w:t>​</w:t>
      </w:r>
    </w:p>
    <w:p>
      <w:pPr>
        <w:pStyle w:val="TextBody"/>
        <w:spacing w:before="0" w:after="240"/>
        <w:ind w:left="0" w:right="0" w:firstLine="720"/>
        <w:jc w:val="center"/>
        <w:rPr/>
      </w:pPr>
      <w:r>
        <w:rPr/>
        <w:t>​</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04" w:name="_c36ccea5_5429_4876_8919_9a55ec947c16"/>
      <w:bookmarkEnd w:id="104"/>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bookmarkStart w:id="105" w:name="COMBINEDSTATEMENTOFCOMPREHENSIVEINCOME_3"/>
      <w:bookmarkStart w:id="106" w:name="INDEXOCI"/>
      <w:bookmarkEnd w:id="105"/>
      <w:bookmarkEnd w:id="106"/>
      <w:r>
        <w:rPr>
          <w:rFonts w:ascii="Times New Roman;Times;serif" w:hAnsi="Times New Roman;Times;serif"/>
          <w:b/>
          <w:sz w:val="20"/>
        </w:rPr>
        <w:t>CONSOLIDATED STATEMENT OF COMPREHENSIVE INCOME (LOSS)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107" w:name="Tc__xfOAYH9XU2Csz8-pa8KVw_18_5"/>
      <w:bookmarkStart w:id="108" w:name="Tc_YdNwYqSBr0-KwuaaqKjE9g_18_2"/>
      <w:bookmarkStart w:id="109" w:name="Tc_N3cX9q8YFEmH6DZIOYeW5w_18_0"/>
      <w:bookmarkStart w:id="110" w:name="Tc_SyrFf6NAkk-zmpz-ia-t1Q_17_0"/>
      <w:bookmarkStart w:id="111" w:name="Tc_9nu7h-2Fl0KySpKaCUYLpg_16_0"/>
      <w:bookmarkStart w:id="112" w:name="Tc_wgIZKwSrY0W7ipUDoFZqLg_15_0"/>
      <w:bookmarkStart w:id="113" w:name="Tc_5i2bDEyesE23xJRfff5JOQ_14_0"/>
      <w:bookmarkStart w:id="114" w:name="Tc_rOKhtJ1oXEyAkhQGnztlTA_13_0"/>
      <w:bookmarkStart w:id="115" w:name="Tc_ROVz8RIMBECreGaJDc2A8g_12_6"/>
      <w:bookmarkStart w:id="116" w:name="Tc_oOl3iqwrmkWvuBjylx5LIA_12_0"/>
      <w:bookmarkStart w:id="117" w:name="Tc_Umz9RZFWWESG4nIjpCGGSw_11_0"/>
      <w:bookmarkStart w:id="118" w:name="Tc_I-e1k3a_YUaDwNV3qqv7oQ_10_0"/>
      <w:bookmarkStart w:id="119" w:name="Tc_BNi3Qih9TEmvzGD92W3aXw_9_6"/>
      <w:bookmarkStart w:id="120" w:name="Tc_97UiPY9fBEuTXy6T-7A14A_9_3"/>
      <w:bookmarkStart w:id="121" w:name="Tc_PtkYC1qr9EidWYPpemA1fQ_9_0"/>
      <w:bookmarkStart w:id="122" w:name="Tc_HHyj3ff9SEu8_TqnB2MkqA_8_6"/>
      <w:bookmarkStart w:id="123" w:name="Tc_7t5nh_Cfz02-VfxUPxUQIA_8_0"/>
      <w:bookmarkStart w:id="124" w:name="Tc_Kshn_aCusUG_9fW3ROI5Sg_7_6"/>
      <w:bookmarkStart w:id="125" w:name="Tc_FksD87A5xk6Px7ThCyxcnw_7_0"/>
      <w:bookmarkStart w:id="126" w:name="Tc_Tyrf8vSN002NISAk9uO0Dw_6_0"/>
      <w:bookmarkStart w:id="127" w:name="Tc_GPcvY00NR0-B6q1iRrrVxg_5_0"/>
      <w:bookmarkStart w:id="128" w:name="Tc_FFpeuq4Ci06-Dn1f4jCP6Q_4_0"/>
      <w:bookmarkStart w:id="129" w:name="Tc_I4rt1XvRl0WJW8haJ1rNww_3_5"/>
      <w:bookmarkStart w:id="130" w:name="Tc_PsJc8L3avUC6co3ZGVA-Sw_3_2"/>
      <w:bookmarkStart w:id="131" w:name="Tc_JAyD8CTlw0ipRkPpmAT6rA_3_0"/>
      <w:bookmarkStart w:id="132" w:name="Tc_J2UOty2HA02YkMY6VShnNg_2_5"/>
      <w:bookmarkStart w:id="133" w:name="Tc_NoC3e2_58EK2ZIw5oKPjVQ_2_2"/>
      <w:bookmarkStart w:id="134" w:name="Tc_gaEhGnyKEEm54P5jfnCjnw_1_2"/>
      <w:bookmarkStart w:id="135" w:name="_243a285c_ff28_4e14_ae6f_650582907f46"/>
      <w:bookmarkStart w:id="136" w:name="Tc__xfOAYH9XU2Csz8-pa8KVw_18_5"/>
      <w:bookmarkStart w:id="137" w:name="Tc_YdNwYqSBr0-KwuaaqKjE9g_18_2"/>
      <w:bookmarkStart w:id="138" w:name="Tc_N3cX9q8YFEmH6DZIOYeW5w_18_0"/>
      <w:bookmarkStart w:id="139" w:name="Tc_SyrFf6NAkk-zmpz-ia-t1Q_17_0"/>
      <w:bookmarkStart w:id="140" w:name="Tc_9nu7h-2Fl0KySpKaCUYLpg_16_0"/>
      <w:bookmarkStart w:id="141" w:name="Tc_wgIZKwSrY0W7ipUDoFZqLg_15_0"/>
      <w:bookmarkStart w:id="142" w:name="Tc_5i2bDEyesE23xJRfff5JOQ_14_0"/>
      <w:bookmarkStart w:id="143" w:name="Tc_rOKhtJ1oXEyAkhQGnztlTA_13_0"/>
      <w:bookmarkStart w:id="144" w:name="Tc_ROVz8RIMBECreGaJDc2A8g_12_6"/>
      <w:bookmarkStart w:id="145" w:name="Tc_oOl3iqwrmkWvuBjylx5LIA_12_0"/>
      <w:bookmarkStart w:id="146" w:name="Tc_Umz9RZFWWESG4nIjpCGGSw_11_0"/>
      <w:bookmarkStart w:id="147" w:name="Tc_I-e1k3a_YUaDwNV3qqv7oQ_10_0"/>
      <w:bookmarkStart w:id="148" w:name="Tc_BNi3Qih9TEmvzGD92W3aXw_9_6"/>
      <w:bookmarkStart w:id="149" w:name="Tc_97UiPY9fBEuTXy6T-7A14A_9_3"/>
      <w:bookmarkStart w:id="150" w:name="Tc_PtkYC1qr9EidWYPpemA1fQ_9_0"/>
      <w:bookmarkStart w:id="151" w:name="Tc_HHyj3ff9SEu8_TqnB2MkqA_8_6"/>
      <w:bookmarkStart w:id="152" w:name="Tc_7t5nh_Cfz02-VfxUPxUQIA_8_0"/>
      <w:bookmarkStart w:id="153" w:name="Tc_Kshn_aCusUG_9fW3ROI5Sg_7_6"/>
      <w:bookmarkStart w:id="154" w:name="Tc_FksD87A5xk6Px7ThCyxcnw_7_0"/>
      <w:bookmarkStart w:id="155" w:name="Tc_Tyrf8vSN002NISAk9uO0Dw_6_0"/>
      <w:bookmarkStart w:id="156" w:name="Tc_GPcvY00NR0-B6q1iRrrVxg_5_0"/>
      <w:bookmarkStart w:id="157" w:name="Tc_FFpeuq4Ci06-Dn1f4jCP6Q_4_0"/>
      <w:bookmarkStart w:id="158" w:name="Tc_I4rt1XvRl0WJW8haJ1rNww_3_5"/>
      <w:bookmarkStart w:id="159" w:name="Tc_PsJc8L3avUC6co3ZGVA-Sw_3_2"/>
      <w:bookmarkStart w:id="160" w:name="Tc_JAyD8CTlw0ipRkPpmAT6rA_3_0"/>
      <w:bookmarkStart w:id="161" w:name="Tc_J2UOty2HA02YkMY6VShnNg_2_5"/>
      <w:bookmarkStart w:id="162" w:name="Tc_NoC3e2_58EK2ZIw5oKPjVQ_2_2"/>
      <w:bookmarkStart w:id="163" w:name="Tc_gaEhGnyKEEm54P5jfnCjnw_1_2"/>
      <w:bookmarkStart w:id="164" w:name="_243a285c_ff28_4e14_ae6f_650582907f46"/>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tbl>
      <w:tblPr>
        <w:tblW w:w="9836" w:type="dxa"/>
        <w:jc w:val="left"/>
        <w:tblInd w:w="0" w:type="dxa"/>
        <w:tblCellMar>
          <w:top w:w="0" w:type="dxa"/>
          <w:left w:w="0" w:type="dxa"/>
          <w:bottom w:w="0" w:type="dxa"/>
          <w:right w:w="0" w:type="dxa"/>
        </w:tblCellMar>
      </w:tblPr>
      <w:tblGrid>
        <w:gridCol w:w="7021"/>
        <w:gridCol w:w="326"/>
        <w:gridCol w:w="280"/>
        <w:gridCol w:w="718"/>
        <w:gridCol w:w="433"/>
        <w:gridCol w:w="280"/>
        <w:gridCol w:w="778"/>
      </w:tblGrid>
      <w:tr>
        <w:trPr/>
        <w:tc>
          <w:tcPr>
            <w:tcW w:w="70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7800" cy="175260"/>
                      <wp:effectExtent l="0" t="0" r="0" b="0"/>
                      <wp:wrapNone/>
                      <wp:docPr id="14" name="Frame14"/>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55930" cy="175260"/>
                      <wp:effectExtent l="0" t="0" r="0" b="0"/>
                      <wp:wrapNone/>
                      <wp:docPr id="15" name="Frame15"/>
                      <a:graphic xmlns:a="http://schemas.openxmlformats.org/drawingml/2006/main">
                        <a:graphicData uri="http://schemas.microsoft.com/office/word/2010/wordprocessingShape">
                          <wps:wsp>
                            <wps:cNvSpPr txBox="1"/>
                            <wps:spPr>
                              <a:xfrm>
                                <a:off x="0" y="0"/>
                                <a:ext cx="4559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74955" cy="175260"/>
                      <wp:effectExtent l="0" t="0" r="0" b="0"/>
                      <wp:wrapNone/>
                      <wp:docPr id="16" name="Frame16"/>
                      <a:graphic xmlns:a="http://schemas.openxmlformats.org/drawingml/2006/main">
                        <a:graphicData uri="http://schemas.microsoft.com/office/word/2010/wordprocessingShape">
                          <wps:wsp>
                            <wps:cNvSpPr txBox="1"/>
                            <wps:spPr>
                              <a:xfrm>
                                <a:off x="0" y="0"/>
                                <a:ext cx="2749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77800" cy="175260"/>
                      <wp:effectExtent l="0" t="0" r="0" b="0"/>
                      <wp:wrapNone/>
                      <wp:docPr id="17" name="Frame17"/>
                      <a:graphic xmlns:a="http://schemas.openxmlformats.org/drawingml/2006/main">
                        <a:graphicData uri="http://schemas.microsoft.com/office/word/2010/wordprocessingShape">
                          <wps:wsp>
                            <wps:cNvSpPr txBox="1"/>
                            <wps:spPr>
                              <a:xfrm>
                                <a:off x="0" y="0"/>
                                <a:ext cx="177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94030" cy="175260"/>
                      <wp:effectExtent l="0" t="0" r="0" b="0"/>
                      <wp:wrapNone/>
                      <wp:docPr id="18" name="Frame18"/>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02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48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02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33" w:type="dxa"/>
            <w:tcBorders/>
            <w:shd w:fill="auto" w:val="clear"/>
            <w:vAlign w:val="center"/>
          </w:tcPr>
          <w:p>
            <w:pPr>
              <w:pStyle w:val="TableContents"/>
              <w:spacing w:before="0" w:after="1"/>
              <w:ind w:left="0" w:right="0" w:hanging="0"/>
              <w:rPr/>
            </w:pPr>
            <w:r>
              <w:rPr/>
              <w:t>    </w:t>
            </w:r>
          </w:p>
        </w:tc>
        <w:tc>
          <w:tcPr>
            <w:tcW w:w="105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70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Net income (loss)</w:t>
            </w:r>
          </w:p>
        </w:tc>
        <w:tc>
          <w:tcPr>
            <w:tcW w:w="326"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433"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70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718" w:type="dxa"/>
            <w:tcBorders/>
            <w:shd w:fill="auto" w:val="clear"/>
            <w:vAlign w:val="center"/>
          </w:tcPr>
          <w:p>
            <w:pPr>
              <w:pStyle w:val="TableContents"/>
              <w:spacing w:before="0" w:after="1"/>
              <w:ind w:left="0" w:right="0" w:hanging="0"/>
              <w:jc w:val="right"/>
              <w:rPr/>
            </w:pPr>
            <w:r>
              <w:rPr/>
              <w:t>​</w:t>
            </w:r>
          </w:p>
        </w:tc>
        <w:tc>
          <w:tcPr>
            <w:tcW w:w="433"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jc w:val="right"/>
              <w:rPr/>
            </w:pPr>
            <w:r>
              <w:rPr/>
              <w:t>​</w:t>
            </w:r>
          </w:p>
        </w:tc>
      </w:tr>
      <w:tr>
        <w:trPr/>
        <w:tc>
          <w:tcPr>
            <w:tcW w:w="70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7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433"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70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718" w:type="dxa"/>
            <w:tcBorders/>
            <w:shd w:fill="auto" w:val="clear"/>
            <w:vAlign w:val="center"/>
          </w:tcPr>
          <w:p>
            <w:pPr>
              <w:pStyle w:val="TableContents"/>
              <w:spacing w:before="0" w:after="1"/>
              <w:ind w:left="0" w:right="0" w:hanging="0"/>
              <w:jc w:val="right"/>
              <w:rPr/>
            </w:pPr>
            <w:r>
              <w:rPr/>
              <w:t>​</w:t>
            </w:r>
          </w:p>
        </w:tc>
        <w:tc>
          <w:tcPr>
            <w:tcW w:w="433"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jc w:val="right"/>
              <w:rPr/>
            </w:pPr>
            <w:r>
              <w:rPr/>
              <w:t>​</w:t>
            </w:r>
          </w:p>
        </w:tc>
      </w:tr>
      <w:tr>
        <w:trPr/>
        <w:tc>
          <w:tcPr>
            <w:tcW w:w="70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7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33"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pPr>
            <w:r>
              <w:rPr/>
              <w:t>—</w:t>
            </w:r>
          </w:p>
        </w:tc>
      </w:tr>
      <w:tr>
        <w:trPr/>
        <w:tc>
          <w:tcPr>
            <w:tcW w:w="70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auto" w:val="clear"/>
            <w:vAlign w:val="center"/>
          </w:tcPr>
          <w:p>
            <w:pPr>
              <w:pStyle w:val="TableContents"/>
              <w:spacing w:before="0" w:after="1"/>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33" w:type="dxa"/>
            <w:tcBorders/>
            <w:shd w:fill="auto" w:val="clear"/>
            <w:vAlign w:val="center"/>
          </w:tcPr>
          <w:p>
            <w:pPr>
              <w:pStyle w:val="TableContents"/>
              <w:spacing w:before="0" w:after="1"/>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78"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70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unrealized gains (losses) on cash flow hedges</w:t>
            </w:r>
          </w:p>
        </w:tc>
        <w:tc>
          <w:tcPr>
            <w:tcW w:w="326"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1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433"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78"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70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718" w:type="dxa"/>
            <w:tcBorders/>
            <w:shd w:fill="auto" w:val="clear"/>
            <w:vAlign w:val="center"/>
          </w:tcPr>
          <w:p>
            <w:pPr>
              <w:pStyle w:val="TableContents"/>
              <w:spacing w:before="0" w:after="1"/>
              <w:ind w:left="0" w:right="0" w:hanging="0"/>
              <w:rPr/>
            </w:pPr>
            <w:r>
              <w:rPr/>
              <w:t>​</w:t>
            </w:r>
          </w:p>
        </w:tc>
        <w:tc>
          <w:tcPr>
            <w:tcW w:w="433"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rPr/>
            </w:pPr>
            <w:r>
              <w:rPr/>
              <w:t>​</w:t>
            </w:r>
          </w:p>
        </w:tc>
      </w:tr>
      <w:tr>
        <w:trPr/>
        <w:tc>
          <w:tcPr>
            <w:tcW w:w="70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gains (losses) arising during the period</w:t>
            </w:r>
          </w:p>
        </w:tc>
        <w:tc>
          <w:tcPr>
            <w:tcW w:w="326"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7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433"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0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prior service (credits) costs</w:t>
            </w:r>
          </w:p>
        </w:tc>
        <w:tc>
          <w:tcPr>
            <w:tcW w:w="326"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71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33" w:type="dxa"/>
            <w:tcBorders/>
            <w:shd w:fill="auto" w:val="clear"/>
            <w:vAlign w:val="center"/>
          </w:tcPr>
          <w:p>
            <w:pPr>
              <w:pStyle w:val="TableContents"/>
              <w:spacing w:before="0" w:after="1"/>
              <w:ind w:left="0" w:right="0" w:hanging="0"/>
              <w:rPr/>
            </w:pPr>
            <w:r>
              <w:rPr/>
              <w:t>​</w:t>
            </w:r>
          </w:p>
        </w:tc>
        <w:tc>
          <w:tcPr>
            <w:tcW w:w="280"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jc w:val="right"/>
              <w:rPr/>
            </w:pPr>
            <w:r>
              <w:rPr/>
              <w:t>—</w:t>
            </w:r>
          </w:p>
        </w:tc>
      </w:tr>
      <w:tr>
        <w:trPr/>
        <w:tc>
          <w:tcPr>
            <w:tcW w:w="70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1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33"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0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retirement-related benefit plans</w:t>
            </w:r>
          </w:p>
        </w:tc>
        <w:tc>
          <w:tcPr>
            <w:tcW w:w="326" w:type="dxa"/>
            <w:tcBorders/>
            <w:shd w:fill="auto" w:val="clear"/>
            <w:vAlign w:val="center"/>
          </w:tcPr>
          <w:p>
            <w:pPr>
              <w:pStyle w:val="TableContents"/>
              <w:spacing w:before="0" w:after="1"/>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433" w:type="dxa"/>
            <w:tcBorders/>
            <w:shd w:fill="auto" w:val="clear"/>
            <w:vAlign w:val="center"/>
          </w:tcPr>
          <w:p>
            <w:pPr>
              <w:pStyle w:val="TableContents"/>
              <w:spacing w:before="0" w:after="1"/>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70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 before tax</w:t>
            </w:r>
          </w:p>
        </w:tc>
        <w:tc>
          <w:tcPr>
            <w:tcW w:w="326"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71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433" w:type="dxa"/>
            <w:tcBorders/>
            <w:shd w:fill="CCEEFF" w:val="clear"/>
            <w:vAlign w:val="center"/>
          </w:tcPr>
          <w:p>
            <w:pPr>
              <w:pStyle w:val="TableContents"/>
              <w:spacing w:before="0" w:after="1"/>
              <w:ind w:left="0" w:right="0" w:hanging="0"/>
              <w:rPr/>
            </w:pPr>
            <w:r>
              <w:rPr/>
              <w:t>​</w:t>
            </w:r>
          </w:p>
        </w:tc>
        <w:tc>
          <w:tcPr>
            <w:tcW w:w="280"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r>
      <w:tr>
        <w:trPr/>
        <w:tc>
          <w:tcPr>
            <w:tcW w:w="70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Income tax (expense) benefit related to items of other comprehensive income (loss)</w:t>
            </w:r>
          </w:p>
        </w:tc>
        <w:tc>
          <w:tcPr>
            <w:tcW w:w="326" w:type="dxa"/>
            <w:tcBorders/>
            <w:shd w:fill="auto" w:val="clear"/>
            <w:vAlign w:val="center"/>
          </w:tcPr>
          <w:p>
            <w:pPr>
              <w:pStyle w:val="TableContents"/>
              <w:spacing w:before="0" w:after="1"/>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433" w:type="dxa"/>
            <w:tcBorders/>
            <w:shd w:fill="auto" w:val="clear"/>
            <w:vAlign w:val="center"/>
          </w:tcPr>
          <w:p>
            <w:pPr>
              <w:pStyle w:val="TableContents"/>
              <w:spacing w:before="0" w:after="1"/>
              <w:ind w:left="0" w:right="0" w:hanging="0"/>
              <w:rPr/>
            </w:pPr>
            <w:r>
              <w:rPr/>
              <w:t>​</w:t>
            </w:r>
          </w:p>
        </w:tc>
        <w:tc>
          <w:tcPr>
            <w:tcW w:w="2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0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 net of tax</w:t>
            </w:r>
          </w:p>
        </w:tc>
        <w:tc>
          <w:tcPr>
            <w:tcW w:w="326"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1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433" w:type="dxa"/>
            <w:tcBorders/>
            <w:shd w:fill="CCEEFF" w:val="clear"/>
            <w:vAlign w:val="center"/>
          </w:tcPr>
          <w:p>
            <w:pPr>
              <w:pStyle w:val="TableContents"/>
              <w:spacing w:before="0" w:after="1"/>
              <w:ind w:left="0" w:right="0" w:hanging="0"/>
              <w:rPr/>
            </w:pPr>
            <w:r>
              <w:rPr/>
              <w:t>​</w:t>
            </w:r>
          </w:p>
        </w:tc>
        <w:tc>
          <w:tcPr>
            <w:tcW w:w="28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70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Total comprehensive income (loss)</w:t>
            </w:r>
          </w:p>
        </w:tc>
        <w:tc>
          <w:tcPr>
            <w:tcW w:w="326" w:type="dxa"/>
            <w:tcBorders/>
            <w:shd w:fill="auto" w:val="clear"/>
            <w:vAlign w:val="center"/>
          </w:tcPr>
          <w:p>
            <w:pPr>
              <w:pStyle w:val="TableContents"/>
              <w:spacing w:before="0" w:after="1"/>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433" w:type="dxa"/>
            <w:tcBorders/>
            <w:shd w:fill="auto" w:val="clear"/>
            <w:vAlign w:val="center"/>
          </w:tcPr>
          <w:p>
            <w:pPr>
              <w:pStyle w:val="TableContents"/>
              <w:spacing w:before="0" w:after="1"/>
              <w:ind w:left="0" w:right="0" w:hanging="0"/>
              <w:rPr/>
            </w:pPr>
            <w:r>
              <w:rPr/>
              <w:t>​</w:t>
            </w:r>
          </w:p>
        </w:tc>
        <w:tc>
          <w:tcPr>
            <w:tcW w:w="28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(580)</w:t>
            </w:r>
          </w:p>
        </w:tc>
      </w:tr>
    </w:tbl>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240"/>
        <w:ind w:left="0" w:right="0" w:firstLine="720"/>
        <w:jc w:val="center"/>
        <w:rPr/>
      </w:pPr>
      <w:r>
        <w:rPr/>
        <w:t>​</w:t>
      </w:r>
    </w:p>
    <w:p>
      <w:pPr>
        <w:pStyle w:val="TextBody"/>
        <w:spacing w:before="0" w:after="240"/>
        <w:ind w:left="0" w:right="0" w:firstLine="72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65" w:name="_2c09bdfd_af32_4e7d_909c_2e9174f61049"/>
      <w:bookmarkEnd w:id="165"/>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bookmarkStart w:id="166" w:name="CONSOLIDATEDBALANCESHEET_346457"/>
      <w:bookmarkStart w:id="167" w:name="INDEXBALSHEET"/>
      <w:bookmarkStart w:id="168" w:name="COMBINEDBALANCESHEET_463848"/>
      <w:bookmarkEnd w:id="166"/>
      <w:bookmarkEnd w:id="167"/>
      <w:bookmarkEnd w:id="168"/>
      <w:r>
        <w:rPr>
          <w:rFonts w:ascii="Times New Roman;Times;serif" w:hAnsi="Times New Roman;Times;serif"/>
          <w:b/>
          <w:sz w:val="20"/>
        </w:rPr>
        <w:t>CONSOLIDATED BALANCE SHEET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169" w:name="Tc_b2IRD9Ud4U-cfqTJkLycMA_51_5"/>
      <w:bookmarkStart w:id="170" w:name="Tc_aB-hcucu0kaKTUDWeohY7Q_51_2"/>
      <w:bookmarkStart w:id="171" w:name="Tc_wRjDxTYNKkC_19yM0RjHmw_51_0"/>
      <w:bookmarkStart w:id="172" w:name="Tc_Ib8fA_5bwE6jfxHG9dc5fw_50_5"/>
      <w:bookmarkStart w:id="173" w:name="Tc_Fwi4mfkd1U-0_m9uy0v4DQ_50_2"/>
      <w:bookmarkStart w:id="174" w:name="Tc_n3EfoFruC0mWH0c2w2JEng_50_0"/>
      <w:bookmarkStart w:id="175" w:name="Tc_4t5SBknHbE2rNR1lwp_xJQ_49_0"/>
      <w:bookmarkStart w:id="176" w:name="Tc_vBrYwdPAHEKM134cyPvRMg_48_5"/>
      <w:bookmarkStart w:id="177" w:name="Tc_dcyea1uLhUylydkntf-QAg_48_2"/>
      <w:bookmarkStart w:id="178" w:name="Tc_IcTHPKkyCEa-XeK38nSc0w_48_0"/>
      <w:bookmarkStart w:id="179" w:name="Tc_FG1G3dLj2k6R8a5BJpD8ZA_47_0"/>
      <w:bookmarkStart w:id="180" w:name="Tc_KDJijXp0NUa_RPHHAF6rNw_46_0"/>
      <w:bookmarkStart w:id="181" w:name="Tc_krjKzHuZdkWTStgsb5g2AA_45_0"/>
      <w:bookmarkStart w:id="182" w:name="Tc_Vzz0V6zakEuS_mS8cAJofA_44_5"/>
      <w:bookmarkStart w:id="183" w:name="Tc_y1zy7zyji02JmK_5oAiSHw_44_2"/>
      <w:bookmarkStart w:id="184" w:name="Tc_xxIQH9uTxECiWuQRxsvtQg_44_0"/>
      <w:bookmarkStart w:id="185" w:name="Tc_qVYYm92hQU-cVJB_fMvBTw_43_0"/>
      <w:bookmarkStart w:id="186" w:name="Tc_PSXI0p0EWESJIV2kKpiFSw_42_0"/>
      <w:bookmarkStart w:id="187" w:name="Tc_8hyyIEb4lUmEJqbzierwFg_40_0"/>
      <w:bookmarkStart w:id="188" w:name="Tc_6nQUxOXWoEqXBy2BGJs7zQ_39_5"/>
      <w:bookmarkStart w:id="189" w:name="Tc_RM6GLOaWJ0ylWVEmzaDoGA_39_2"/>
      <w:bookmarkStart w:id="190" w:name="Tc_CLztlb6g40SHWM8CCgjENQ_39_0"/>
      <w:bookmarkStart w:id="191" w:name="Tc_C8isHCvBv0ujiJzsyFGAdw_38_0"/>
      <w:bookmarkStart w:id="192" w:name="Tc_Ajlj2dNVFkSc_pacKIw1sA_37_0"/>
      <w:bookmarkStart w:id="193" w:name="Tc_0fXdsRCgNkOfgFoSZQ6oZg_36_0"/>
      <w:bookmarkStart w:id="194" w:name="Tc_Ptaifdq0IEOCv-VJvaF4PA_35_0"/>
      <w:bookmarkStart w:id="195" w:name="Tc_Z4nl9-YQ-E2SghFqQLuxjw_34_5"/>
      <w:bookmarkStart w:id="196" w:name="Tc_1ByOutsfZ0CPELO4X8qFRQ_34_2"/>
      <w:bookmarkStart w:id="197" w:name="Tc_j2yRbicTI0-CGR7FF_XaFQ_34_0"/>
      <w:bookmarkStart w:id="198" w:name="Tc_pWATMuKmlkaaem-DZSvQvA_32_5"/>
      <w:bookmarkStart w:id="199" w:name="Tc_h_AfLnQFnEqeSba7wsIoGQ_32_2"/>
      <w:bookmarkStart w:id="200" w:name="Tc_8-u5ade0fEqw470WFL5DTA_32_0"/>
      <w:bookmarkStart w:id="201" w:name="Tc_W8Fm5wyup0G3yYkTyn2s8Q_31_0"/>
      <w:bookmarkStart w:id="202" w:name="Tc_NETbmgewE0SwxXXoaJcISg_30_0"/>
      <w:bookmarkStart w:id="203" w:name="Tc_gVwuCu1z_0WctLqWo5jWaQ_29_0"/>
      <w:bookmarkStart w:id="204" w:name="Tc_7AePBQ8Y_EecRaTsG0L5IA_28_0"/>
      <w:bookmarkStart w:id="205" w:name="Tc_lvLci48jkUGdtw5wA4atZQ_27_0"/>
      <w:bookmarkStart w:id="206" w:name="Tc_SmzMYPJ0bkCm3htr97itsw_26_0"/>
      <w:bookmarkStart w:id="207" w:name="Tc_5ZxdTyywzkWx4RpVvYOj1Q_25_0"/>
      <w:bookmarkStart w:id="208" w:name="Tc_r6mHp5oUPEC2LhqPZqrFqA_24_5"/>
      <w:bookmarkStart w:id="209" w:name="Tc_TCxze2U2K0OMLq684wqugA_24_2"/>
      <w:bookmarkStart w:id="210" w:name="Tc_VyIhNBqMRkiuUAKr9ntRCA_24_0"/>
      <w:bookmarkStart w:id="211" w:name="Tc_SUAqBaLcmkaJTvCYPKN05Q_23_0"/>
      <w:bookmarkStart w:id="212" w:name="Tc_GCJOp6bX1E2-FiYtEHFnMw_22_0"/>
      <w:bookmarkStart w:id="213" w:name="Tc_QF1ZkXLEyU2UOHkrCbL1yA_20_5"/>
      <w:bookmarkStart w:id="214" w:name="Tc_jvAdLyoxOU-kv2symRSUmQ_20_2"/>
      <w:bookmarkStart w:id="215" w:name="Tc_-6wNJww5dUCx12pEJV_vgQ_20_0"/>
      <w:bookmarkStart w:id="216" w:name="Tc_OKRD5MJSpkOabeMQxLJjNg_19_0"/>
      <w:bookmarkStart w:id="217" w:name="Tc_i8bgfwtON0GEjBJkJbO7qQ_18_0"/>
      <w:bookmarkStart w:id="218" w:name="Tc_oq_TTdX9dEKi9YmhckOR6A_17_0"/>
      <w:bookmarkStart w:id="219" w:name="Tc_mHbLyVG7b0SfiR4lDHNIeg_16_0"/>
      <w:bookmarkStart w:id="220" w:name="Tc_cU3UG9Jey0Gt1PTqVsaAPQ_15_0"/>
      <w:bookmarkStart w:id="221" w:name="Tc_PSQxAV63dUiclgYqGUcdaA_14_0"/>
      <w:bookmarkStart w:id="222" w:name="Tc_KSBqPaz4Hkat_F5u7hb5iQ_13_0"/>
      <w:bookmarkStart w:id="223" w:name="Tc_Hs0aJr5sAUC40cIm2h5lEQ_12_5"/>
      <w:bookmarkStart w:id="224" w:name="Tc_tFETVriztk2yMCPusdUu_g_12_2"/>
      <w:bookmarkStart w:id="225" w:name="Tc_8_RlfqcA30CCQc5z9l6Vng_12_0"/>
      <w:bookmarkStart w:id="226" w:name="Tc_0quVDrkMcEagngijXDwWvg_10_5"/>
      <w:bookmarkStart w:id="227" w:name="Tc_ZqZMn1wNlkeXM9A5jVeW7A_10_2"/>
      <w:bookmarkStart w:id="228" w:name="Tc_6EA-AUjxFUqcogyRicLdqA_10_0"/>
      <w:bookmarkStart w:id="229" w:name="Tc_v-6b_DHhok6rYh86FuGPEA_9_0"/>
      <w:bookmarkStart w:id="230" w:name="Tc_pIXDdtb5XEy6qG_jZ_T1ZA_8_0"/>
      <w:bookmarkStart w:id="231" w:name="Tc_k-_nFrGsdUalzhkvwxLHSw_7_0"/>
      <w:bookmarkStart w:id="232" w:name="Tc_myXcdtbySEC6nkOwWXlXLA_6_0"/>
      <w:bookmarkStart w:id="233" w:name="Tc_x61Z36nmtkmzDTOjS_VCgg_5_5"/>
      <w:bookmarkStart w:id="234" w:name="Tc_huWcfX0ji0G449fpe-dL9A_5_2"/>
      <w:bookmarkStart w:id="235" w:name="Tc_WpdUWaOWRkyfV9Rm4cLD0Q_5_0"/>
      <w:bookmarkStart w:id="236" w:name="Tc_S8hvKCZQ-kOlyR4Fsrizpw_4_0"/>
      <w:bookmarkStart w:id="237" w:name="Tc_tSVXjQdz-U2H1v9tvfjRag_3_0"/>
      <w:bookmarkStart w:id="238" w:name="Tc_UI8aBsbG50qdigRHhmPnLg_2_5"/>
      <w:bookmarkStart w:id="239" w:name="Tc_O5vwTFMUp0Sx1nmZ_ZNGew_2_2"/>
      <w:bookmarkStart w:id="240" w:name="Tc_fkdksd1pK0CFo58GFfxLeg_1_5"/>
      <w:bookmarkStart w:id="241" w:name="Tc_ftm7FB3Zp0GB754RBuHWBA_1_2"/>
      <w:bookmarkStart w:id="242" w:name="_b4b8c342_fcfb_430e_a9c4_94fc9617f619"/>
      <w:bookmarkStart w:id="243" w:name="Tc_b2IRD9Ud4U-cfqTJkLycMA_51_5"/>
      <w:bookmarkStart w:id="244" w:name="Tc_aB-hcucu0kaKTUDWeohY7Q_51_2"/>
      <w:bookmarkStart w:id="245" w:name="Tc_wRjDxTYNKkC_19yM0RjHmw_51_0"/>
      <w:bookmarkStart w:id="246" w:name="Tc_Ib8fA_5bwE6jfxHG9dc5fw_50_5"/>
      <w:bookmarkStart w:id="247" w:name="Tc_Fwi4mfkd1U-0_m9uy0v4DQ_50_2"/>
      <w:bookmarkStart w:id="248" w:name="Tc_n3EfoFruC0mWH0c2w2JEng_50_0"/>
      <w:bookmarkStart w:id="249" w:name="Tc_4t5SBknHbE2rNR1lwp_xJQ_49_0"/>
      <w:bookmarkStart w:id="250" w:name="Tc_vBrYwdPAHEKM134cyPvRMg_48_5"/>
      <w:bookmarkStart w:id="251" w:name="Tc_dcyea1uLhUylydkntf-QAg_48_2"/>
      <w:bookmarkStart w:id="252" w:name="Tc_IcTHPKkyCEa-XeK38nSc0w_48_0"/>
      <w:bookmarkStart w:id="253" w:name="Tc_FG1G3dLj2k6R8a5BJpD8ZA_47_0"/>
      <w:bookmarkStart w:id="254" w:name="Tc_KDJijXp0NUa_RPHHAF6rNw_46_0"/>
      <w:bookmarkStart w:id="255" w:name="Tc_krjKzHuZdkWTStgsb5g2AA_45_0"/>
      <w:bookmarkStart w:id="256" w:name="Tc_Vzz0V6zakEuS_mS8cAJofA_44_5"/>
      <w:bookmarkStart w:id="257" w:name="Tc_y1zy7zyji02JmK_5oAiSHw_44_2"/>
      <w:bookmarkStart w:id="258" w:name="Tc_xxIQH9uTxECiWuQRxsvtQg_44_0"/>
      <w:bookmarkStart w:id="259" w:name="Tc_qVYYm92hQU-cVJB_fMvBTw_43_0"/>
      <w:bookmarkStart w:id="260" w:name="Tc_PSXI0p0EWESJIV2kKpiFSw_42_0"/>
      <w:bookmarkStart w:id="261" w:name="Tc_8hyyIEb4lUmEJqbzierwFg_40_0"/>
      <w:bookmarkStart w:id="262" w:name="Tc_6nQUxOXWoEqXBy2BGJs7zQ_39_5"/>
      <w:bookmarkStart w:id="263" w:name="Tc_RM6GLOaWJ0ylWVEmzaDoGA_39_2"/>
      <w:bookmarkStart w:id="264" w:name="Tc_CLztlb6g40SHWM8CCgjENQ_39_0"/>
      <w:bookmarkStart w:id="265" w:name="Tc_C8isHCvBv0ujiJzsyFGAdw_38_0"/>
      <w:bookmarkStart w:id="266" w:name="Tc_Ajlj2dNVFkSc_pacKIw1sA_37_0"/>
      <w:bookmarkStart w:id="267" w:name="Tc_0fXdsRCgNkOfgFoSZQ6oZg_36_0"/>
      <w:bookmarkStart w:id="268" w:name="Tc_Ptaifdq0IEOCv-VJvaF4PA_35_0"/>
      <w:bookmarkStart w:id="269" w:name="Tc_Z4nl9-YQ-E2SghFqQLuxjw_34_5"/>
      <w:bookmarkStart w:id="270" w:name="Tc_1ByOutsfZ0CPELO4X8qFRQ_34_2"/>
      <w:bookmarkStart w:id="271" w:name="Tc_j2yRbicTI0-CGR7FF_XaFQ_34_0"/>
      <w:bookmarkStart w:id="272" w:name="Tc_pWATMuKmlkaaem-DZSvQvA_32_5"/>
      <w:bookmarkStart w:id="273" w:name="Tc_h_AfLnQFnEqeSba7wsIoGQ_32_2"/>
      <w:bookmarkStart w:id="274" w:name="Tc_8-u5ade0fEqw470WFL5DTA_32_0"/>
      <w:bookmarkStart w:id="275" w:name="Tc_W8Fm5wyup0G3yYkTyn2s8Q_31_0"/>
      <w:bookmarkStart w:id="276" w:name="Tc_NETbmgewE0SwxXXoaJcISg_30_0"/>
      <w:bookmarkStart w:id="277" w:name="Tc_gVwuCu1z_0WctLqWo5jWaQ_29_0"/>
      <w:bookmarkStart w:id="278" w:name="Tc_7AePBQ8Y_EecRaTsG0L5IA_28_0"/>
      <w:bookmarkStart w:id="279" w:name="Tc_lvLci48jkUGdtw5wA4atZQ_27_0"/>
      <w:bookmarkStart w:id="280" w:name="Tc_SmzMYPJ0bkCm3htr97itsw_26_0"/>
      <w:bookmarkStart w:id="281" w:name="Tc_5ZxdTyywzkWx4RpVvYOj1Q_25_0"/>
      <w:bookmarkStart w:id="282" w:name="Tc_r6mHp5oUPEC2LhqPZqrFqA_24_5"/>
      <w:bookmarkStart w:id="283" w:name="Tc_TCxze2U2K0OMLq684wqugA_24_2"/>
      <w:bookmarkStart w:id="284" w:name="Tc_VyIhNBqMRkiuUAKr9ntRCA_24_0"/>
      <w:bookmarkStart w:id="285" w:name="Tc_SUAqBaLcmkaJTvCYPKN05Q_23_0"/>
      <w:bookmarkStart w:id="286" w:name="Tc_GCJOp6bX1E2-FiYtEHFnMw_22_0"/>
      <w:bookmarkStart w:id="287" w:name="Tc_QF1ZkXLEyU2UOHkrCbL1yA_20_5"/>
      <w:bookmarkStart w:id="288" w:name="Tc_jvAdLyoxOU-kv2symRSUmQ_20_2"/>
      <w:bookmarkStart w:id="289" w:name="Tc_-6wNJww5dUCx12pEJV_vgQ_20_0"/>
      <w:bookmarkStart w:id="290" w:name="Tc_OKRD5MJSpkOabeMQxLJjNg_19_0"/>
      <w:bookmarkStart w:id="291" w:name="Tc_i8bgfwtON0GEjBJkJbO7qQ_18_0"/>
      <w:bookmarkStart w:id="292" w:name="Tc_oq_TTdX9dEKi9YmhckOR6A_17_0"/>
      <w:bookmarkStart w:id="293" w:name="Tc_mHbLyVG7b0SfiR4lDHNIeg_16_0"/>
      <w:bookmarkStart w:id="294" w:name="Tc_cU3UG9Jey0Gt1PTqVsaAPQ_15_0"/>
      <w:bookmarkStart w:id="295" w:name="Tc_PSQxAV63dUiclgYqGUcdaA_14_0"/>
      <w:bookmarkStart w:id="296" w:name="Tc_KSBqPaz4Hkat_F5u7hb5iQ_13_0"/>
      <w:bookmarkStart w:id="297" w:name="Tc_Hs0aJr5sAUC40cIm2h5lEQ_12_5"/>
      <w:bookmarkStart w:id="298" w:name="Tc_tFETVriztk2yMCPusdUu_g_12_2"/>
      <w:bookmarkStart w:id="299" w:name="Tc_8_RlfqcA30CCQc5z9l6Vng_12_0"/>
      <w:bookmarkStart w:id="300" w:name="Tc_0quVDrkMcEagngijXDwWvg_10_5"/>
      <w:bookmarkStart w:id="301" w:name="Tc_ZqZMn1wNlkeXM9A5jVeW7A_10_2"/>
      <w:bookmarkStart w:id="302" w:name="Tc_6EA-AUjxFUqcogyRicLdqA_10_0"/>
      <w:bookmarkStart w:id="303" w:name="Tc_v-6b_DHhok6rYh86FuGPEA_9_0"/>
      <w:bookmarkStart w:id="304" w:name="Tc_pIXDdtb5XEy6qG_jZ_T1ZA_8_0"/>
      <w:bookmarkStart w:id="305" w:name="Tc_k-_nFrGsdUalzhkvwxLHSw_7_0"/>
      <w:bookmarkStart w:id="306" w:name="Tc_myXcdtbySEC6nkOwWXlXLA_6_0"/>
      <w:bookmarkStart w:id="307" w:name="Tc_x61Z36nmtkmzDTOjS_VCgg_5_5"/>
      <w:bookmarkStart w:id="308" w:name="Tc_huWcfX0ji0G449fpe-dL9A_5_2"/>
      <w:bookmarkStart w:id="309" w:name="Tc_WpdUWaOWRkyfV9Rm4cLD0Q_5_0"/>
      <w:bookmarkStart w:id="310" w:name="Tc_S8hvKCZQ-kOlyR4Fsrizpw_4_0"/>
      <w:bookmarkStart w:id="311" w:name="Tc_tSVXjQdz-U2H1v9tvfjRag_3_0"/>
      <w:bookmarkStart w:id="312" w:name="Tc_UI8aBsbG50qdigRHhmPnLg_2_5"/>
      <w:bookmarkStart w:id="313" w:name="Tc_O5vwTFMUp0Sx1nmZ_ZNGew_2_2"/>
      <w:bookmarkStart w:id="314" w:name="Tc_fkdksd1pK0CFo58GFfxLeg_1_5"/>
      <w:bookmarkStart w:id="315" w:name="Tc_ftm7FB3Zp0GB754RBuHWBA_1_2"/>
      <w:bookmarkStart w:id="316" w:name="_b4b8c342_fcfb_430e_a9c4_94fc9617f619"/>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tbl>
      <w:tblPr>
        <w:tblW w:w="8003" w:type="dxa"/>
        <w:jc w:val="left"/>
        <w:tblInd w:w="0" w:type="dxa"/>
        <w:tblCellMar>
          <w:top w:w="0" w:type="dxa"/>
          <w:left w:w="0" w:type="dxa"/>
          <w:bottom w:w="0" w:type="dxa"/>
          <w:right w:w="0" w:type="dxa"/>
        </w:tblCellMar>
      </w:tblPr>
      <w:tblGrid>
        <w:gridCol w:w="5266"/>
        <w:gridCol w:w="326"/>
        <w:gridCol w:w="213"/>
        <w:gridCol w:w="687"/>
        <w:gridCol w:w="326"/>
        <w:gridCol w:w="259"/>
        <w:gridCol w:w="926"/>
      </w:tblGrid>
      <w:tr>
        <w:trPr/>
        <w:tc>
          <w:tcPr>
            <w:tcW w:w="5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343910" cy="175260"/>
                      <wp:effectExtent l="0" t="0" r="0" b="0"/>
                      <wp:wrapNone/>
                      <wp:docPr id="19" name="Frame19"/>
                      <a:graphic xmlns:a="http://schemas.openxmlformats.org/drawingml/2006/main">
                        <a:graphicData uri="http://schemas.microsoft.com/office/word/2010/wordprocessingShape">
                          <wps:wsp>
                            <wps:cNvSpPr txBox="1"/>
                            <wps:spPr>
                              <a:xfrm>
                                <a:off x="0" y="0"/>
                                <a:ext cx="3343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5255" cy="175260"/>
                      <wp:effectExtent l="0" t="0" r="0" b="0"/>
                      <wp:wrapNone/>
                      <wp:docPr id="21" name="Frame21"/>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36245" cy="175260"/>
                      <wp:effectExtent l="0" t="0" r="0" b="0"/>
                      <wp:wrapNone/>
                      <wp:docPr id="22" name="Frame22"/>
                      <a:graphic xmlns:a="http://schemas.openxmlformats.org/drawingml/2006/main">
                        <a:graphicData uri="http://schemas.microsoft.com/office/word/2010/wordprocessingShape">
                          <wps:wsp>
                            <wps:cNvSpPr txBox="1"/>
                            <wps:spPr>
                              <a:xfrm>
                                <a:off x="0" y="0"/>
                                <a:ext cx="4362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64465" cy="175260"/>
                      <wp:effectExtent l="0" t="0" r="0" b="0"/>
                      <wp:wrapNone/>
                      <wp:docPr id="24" name="Frame24"/>
                      <a:graphic xmlns:a="http://schemas.openxmlformats.org/drawingml/2006/main">
                        <a:graphicData uri="http://schemas.microsoft.com/office/word/2010/wordprocessingShape">
                          <wps:wsp>
                            <wps:cNvSpPr txBox="1"/>
                            <wps:spPr>
                              <a:xfrm>
                                <a:off x="0" y="0"/>
                                <a:ext cx="1644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88010" cy="175260"/>
                      <wp:effectExtent l="0" t="0" r="0" b="0"/>
                      <wp:wrapNone/>
                      <wp:docPr id="25" name="Frame25"/>
                      <a:graphic xmlns:a="http://schemas.openxmlformats.org/drawingml/2006/main">
                        <a:graphicData uri="http://schemas.microsoft.com/office/word/2010/wordprocessingShape">
                          <wps:wsp>
                            <wps:cNvSpPr txBox="1"/>
                            <wps:spPr>
                              <a:xfrm>
                                <a:off x="0" y="0"/>
                                <a:ext cx="588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26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26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pPr>
            <w:r>
              <w:rPr/>
              <w:t>  </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2,134</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2,223</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Restricted cash</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 (net of allowances of $44 in 2022 and $44 in 2021)*</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2,279</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costs (current portion)</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 </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 </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920</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525</w:t>
            </w:r>
          </w:p>
        </w:tc>
        <w:tc>
          <w:tcPr>
            <w:tcW w:w="326" w:type="dxa"/>
            <w:tcBorders/>
            <w:shd w:fill="CCEEFF" w:val="clear"/>
            <w:vAlign w:val="center"/>
          </w:tcPr>
          <w:p>
            <w:pPr>
              <w:pStyle w:val="TableContents"/>
              <w:spacing w:before="0" w:after="1"/>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337</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6,092</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5,777</w:t>
            </w:r>
          </w:p>
        </w:tc>
      </w:tr>
      <w:tr>
        <w:trPr/>
        <w:tc>
          <w:tcPr>
            <w:tcW w:w="526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2,834</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2,923</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right-of-use assets, net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1,312</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1,361</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costs (noncurrent portion)</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1,244</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1,265</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taxes</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555</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675</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Goodwill </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823</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732</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Intangible assets, net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145</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Pension assets</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noncurrent assets</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c>
          <w:tcPr>
            <w:tcW w:w="326" w:type="dxa"/>
            <w:tcBorders/>
            <w:shd w:fill="CCEEFF" w:val="clear"/>
            <w:vAlign w:val="center"/>
          </w:tcPr>
          <w:p>
            <w:pPr>
              <w:pStyle w:val="TableContents"/>
              <w:spacing w:before="0" w:after="1"/>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385</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assets</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13,442</w:t>
            </w:r>
          </w:p>
        </w:tc>
        <w:tc>
          <w:tcPr>
            <w:tcW w:w="326" w:type="dxa"/>
            <w:tcBorders/>
            <w:shd w:fill="auto" w:val="clear"/>
            <w:vAlign w:val="center"/>
          </w:tcPr>
          <w:p>
            <w:pPr>
              <w:pStyle w:val="TableContents"/>
              <w:spacing w:before="0" w:after="1"/>
              <w:ind w:left="0" w:right="0" w:hanging="0"/>
              <w:rPr/>
            </w:pPr>
            <w:r>
              <w:rPr/>
              <w:t>​</w:t>
            </w:r>
          </w:p>
        </w:tc>
        <w:tc>
          <w:tcPr>
            <w:tcW w:w="25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13,213</w:t>
            </w:r>
          </w:p>
        </w:tc>
      </w:tr>
      <w:tr>
        <w:trPr/>
        <w:tc>
          <w:tcPr>
            <w:tcW w:w="526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Liabilities:</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1,555</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1,140</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Value-added tax and income tax liabilities</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284</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357</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Short-term debt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96</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compensation and benefits</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 </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 </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381</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income (current portion)</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 </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882</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 </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872</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 (current portion)</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 </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374</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 </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360</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contract costs</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676</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498</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accrued expenses and liabilities</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682</w:t>
            </w:r>
          </w:p>
        </w:tc>
        <w:tc>
          <w:tcPr>
            <w:tcW w:w="326" w:type="dxa"/>
            <w:tcBorders/>
            <w:shd w:fill="CCEEFF" w:val="clear"/>
            <w:vAlign w:val="center"/>
          </w:tcPr>
          <w:p>
            <w:pPr>
              <w:pStyle w:val="TableContents"/>
              <w:spacing w:before="0" w:after="1"/>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744</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5,058</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4,457</w:t>
            </w:r>
          </w:p>
        </w:tc>
      </w:tr>
      <w:tr>
        <w:trPr/>
        <w:tc>
          <w:tcPr>
            <w:tcW w:w="526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Long-term debt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3,127</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3,128</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Retirement and nonpension postretirement benefit obligations</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716</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856</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income (noncurrent portion)</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452</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475</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Operating lease liabilities (noncurrent portion)</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928</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1,007</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noncurrent liabilities</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449</w:t>
            </w:r>
          </w:p>
        </w:tc>
        <w:tc>
          <w:tcPr>
            <w:tcW w:w="326" w:type="dxa"/>
            <w:tcBorders/>
            <w:shd w:fill="auto" w:val="clear"/>
            <w:vAlign w:val="center"/>
          </w:tcPr>
          <w:p>
            <w:pPr>
              <w:pStyle w:val="TableContents"/>
              <w:spacing w:before="0" w:after="1"/>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522</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10,730</w:t>
            </w:r>
          </w:p>
        </w:tc>
        <w:tc>
          <w:tcPr>
            <w:tcW w:w="326" w:type="dxa"/>
            <w:tcBorders/>
            <w:shd w:fill="CCEEFF" w:val="clear"/>
            <w:vAlign w:val="center"/>
          </w:tcPr>
          <w:p>
            <w:pPr>
              <w:pStyle w:val="TableContents"/>
              <w:spacing w:before="0" w:after="1"/>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10,446</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Commitments and contingencies</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pPr>
            <w:r>
              <w:rPr/>
              <w:t>​</w:t>
            </w:r>
          </w:p>
        </w:tc>
      </w:tr>
      <w:tr>
        <w:trPr/>
        <w:tc>
          <w:tcPr>
            <w:tcW w:w="526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pPr>
            <w:r>
              <w:rPr/>
              <w:t>​</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pPr>
            <w:r>
              <w:rPr/>
              <w:t>​</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Common stock, par value $0.01 per share, and additional paid-in capital </w:t>
              <w:br/>
              <w:t xml:space="preserve">(shares authorized: 1,000.0; shares issued: 2022 – 224.5, 2021 – 224.2) </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4,315</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4,284</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deficit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w:t>
            </w:r>
          </w:p>
        </w:tc>
        <w:tc>
          <w:tcPr>
            <w:tcW w:w="68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(605)</w:t>
            </w:r>
          </w:p>
        </w:tc>
        <w:tc>
          <w:tcPr>
            <w:tcW w:w="326" w:type="dxa"/>
            <w:tcBorders/>
            <w:shd w:fill="CCEEFF" w:val="clear"/>
            <w:vAlign w:val="center"/>
          </w:tcPr>
          <w:p>
            <w:pPr>
              <w:pStyle w:val="TableContents"/>
              <w:spacing w:before="0" w:after="1"/>
              <w:ind w:left="0" w:right="0" w:hanging="0"/>
              <w:rPr/>
            </w:pPr>
            <w:r>
              <w:rPr/>
              <w:t>​</w:t>
            </w:r>
          </w:p>
        </w:tc>
        <w:tc>
          <w:tcPr>
            <w:tcW w:w="259" w:type="dxa"/>
            <w:tcBorders/>
            <w:shd w:fill="CCEEFF" w:val="clear"/>
            <w:vAlign w:val="center"/>
          </w:tcPr>
          <w:p>
            <w:pPr>
              <w:pStyle w:val="TableContents"/>
              <w:spacing w:before="0" w:after="1"/>
              <w:ind w:left="0" w:right="0" w:hanging="0"/>
              <w:rPr/>
            </w:pPr>
            <w:r>
              <w:rPr/>
              <w:t>​</w:t>
            </w:r>
          </w:p>
        </w:tc>
        <w:tc>
          <w:tcPr>
            <w:tcW w:w="92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(375)</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Treasury stock, at cost (shares: 2022 – 0.2, 2021 – 0.0)</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68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auto" w:val="clear"/>
            <w:vAlign w:val="center"/>
          </w:tcPr>
          <w:p>
            <w:pPr>
              <w:pStyle w:val="TableContents"/>
              <w:spacing w:before="0" w:after="1"/>
              <w:ind w:left="0" w:right="0" w:hanging="0"/>
              <w:rPr/>
            </w:pPr>
            <w:r>
              <w:rPr/>
              <w:t>​</w:t>
            </w:r>
          </w:p>
        </w:tc>
        <w:tc>
          <w:tcPr>
            <w:tcW w:w="259" w:type="dxa"/>
            <w:tcBorders/>
            <w:shd w:fill="auto" w:val="clear"/>
            <w:vAlign w:val="center"/>
          </w:tcPr>
          <w:p>
            <w:pPr>
              <w:pStyle w:val="TableContents"/>
              <w:spacing w:before="0" w:after="1"/>
              <w:ind w:left="0" w:right="0" w:hanging="0"/>
              <w:rPr/>
            </w:pPr>
            <w:r>
              <w:rPr/>
              <w:t>​</w:t>
            </w:r>
          </w:p>
        </w:tc>
        <w:tc>
          <w:tcPr>
            <w:tcW w:w="92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other comprehensive income (loss)</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(1,089)</w:t>
            </w:r>
          </w:p>
        </w:tc>
        <w:tc>
          <w:tcPr>
            <w:tcW w:w="326" w:type="dxa"/>
            <w:tcBorders/>
            <w:shd w:fill="CCEEFF" w:val="clear"/>
            <w:vAlign w:val="center"/>
          </w:tcPr>
          <w:p>
            <w:pPr>
              <w:pStyle w:val="TableContents"/>
              <w:spacing w:before="0" w:after="1"/>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(1,143)</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stockholders’ equity before non-controlling interests</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2,618</w:t>
            </w:r>
          </w:p>
        </w:tc>
        <w:tc>
          <w:tcPr>
            <w:tcW w:w="326" w:type="dxa"/>
            <w:tcBorders/>
            <w:shd w:fill="auto" w:val="clear"/>
            <w:vAlign w:val="center"/>
          </w:tcPr>
          <w:p>
            <w:pPr>
              <w:pStyle w:val="TableContents"/>
              <w:spacing w:before="0" w:after="1"/>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2,765</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Non-controlling interests</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8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94</w:t>
            </w:r>
          </w:p>
        </w:tc>
        <w:tc>
          <w:tcPr>
            <w:tcW w:w="326" w:type="dxa"/>
            <w:tcBorders/>
            <w:shd w:fill="CCEEFF" w:val="clear"/>
            <w:vAlign w:val="center"/>
          </w:tcPr>
          <w:p>
            <w:pPr>
              <w:pStyle w:val="TableContents"/>
              <w:spacing w:before="0" w:after="1"/>
              <w:ind w:left="0" w:right="0" w:hanging="0"/>
              <w:rPr/>
            </w:pPr>
            <w:r>
              <w:rPr/>
              <w:t>​</w:t>
            </w:r>
          </w:p>
        </w:tc>
        <w:tc>
          <w:tcPr>
            <w:tcW w:w="25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2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526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equity</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2,711</w:t>
            </w:r>
          </w:p>
        </w:tc>
        <w:tc>
          <w:tcPr>
            <w:tcW w:w="326" w:type="dxa"/>
            <w:tcBorders/>
            <w:shd w:fill="auto" w:val="clear"/>
            <w:vAlign w:val="center"/>
          </w:tcPr>
          <w:p>
            <w:pPr>
              <w:pStyle w:val="TableContents"/>
              <w:spacing w:before="0" w:after="1"/>
              <w:ind w:left="0" w:right="0" w:hanging="0"/>
              <w:rPr/>
            </w:pPr>
            <w:r>
              <w:rPr/>
              <w:t>​</w:t>
            </w:r>
          </w:p>
        </w:tc>
        <w:tc>
          <w:tcPr>
            <w:tcW w:w="259"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2,767</w:t>
            </w:r>
          </w:p>
        </w:tc>
      </w:tr>
      <w:tr>
        <w:trPr/>
        <w:tc>
          <w:tcPr>
            <w:tcW w:w="526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Total liabilities and equity</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8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13,442</w:t>
            </w:r>
          </w:p>
        </w:tc>
        <w:tc>
          <w:tcPr>
            <w:tcW w:w="326" w:type="dxa"/>
            <w:tcBorders/>
            <w:shd w:fill="CCEEFF" w:val="clear"/>
            <w:vAlign w:val="center"/>
          </w:tcPr>
          <w:p>
            <w:pPr>
              <w:pStyle w:val="TableContents"/>
              <w:spacing w:before="0" w:after="1"/>
              <w:ind w:left="0" w:right="0" w:hanging="0"/>
              <w:rPr/>
            </w:pPr>
            <w:r>
              <w:rPr/>
              <w:t>​</w:t>
            </w:r>
          </w:p>
        </w:tc>
        <w:tc>
          <w:tcPr>
            <w:tcW w:w="25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26" w:type="dxa"/>
            <w:tcBorders>
              <w:bottom w:val="double" w:sz="6" w:space="0" w:color="000000"/>
            </w:tcBorders>
            <w:shd w:fill="CCEEFF" w:val="clear"/>
            <w:tcMar>
              <w:bottom w:w="28" w:type="dxa"/>
            </w:tcMar>
            <w:vAlign w:val="center"/>
          </w:tcPr>
          <w:p>
            <w:pPr>
              <w:pStyle w:val="TableContents"/>
              <w:spacing w:before="0" w:after="1"/>
              <w:ind w:left="0" w:right="50" w:hanging="0"/>
              <w:jc w:val="right"/>
              <w:rPr>
                <w:rFonts w:ascii="Times New Roman;Times;serif" w:hAnsi="Times New Roman;Times;serif"/>
                <w:sz w:val="16"/>
              </w:rPr>
            </w:pPr>
            <w:r>
              <w:rPr>
                <w:rFonts w:ascii="Times New Roman;Times;serif" w:hAnsi="Times New Roman;Times;serif"/>
                <w:sz w:val="16"/>
              </w:rPr>
              <w:t>13,213</w:t>
            </w:r>
          </w:p>
        </w:tc>
      </w:tr>
    </w:tbl>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sz w:val="18"/>
        </w:rPr>
      </w:pPr>
      <w:bookmarkStart w:id="317" w:name="_2eab46bb_9099_4c5d_af6f_edd08d2bd595"/>
      <w:bookmarkEnd w:id="317"/>
      <w:r>
        <w:rPr>
          <w:rFonts w:ascii="Times New Roman;Times;serif" w:hAnsi="Times New Roman;Times;serif"/>
          <w:sz w:val="18"/>
        </w:rPr>
        <w:t>* Including related-party accounts receivable of $343 and $373 at March 31, 2022 and December 31, 2021, respectively</w:t>
      </w:r>
    </w:p>
    <w:p>
      <w:pPr>
        <w:pStyle w:val="TextBody"/>
        <w:spacing w:before="0" w:after="0"/>
        <w:ind w:left="0" w:right="0" w:hanging="0"/>
        <w:rPr>
          <w:rFonts w:ascii="Times New Roman;Times;serif" w:hAnsi="Times New Roman;Times;serif"/>
          <w:sz w:val="18"/>
        </w:rPr>
      </w:pPr>
      <w:bookmarkStart w:id="318" w:name="_bb99dce6_d624_4d23_a4a0_9f3f7bd553a5"/>
      <w:bookmarkEnd w:id="318"/>
      <w:r>
        <w:rPr>
          <w:rFonts w:ascii="Times New Roman;Times;serif" w:hAnsi="Times New Roman;Times;serif"/>
          <w:sz w:val="18"/>
        </w:rPr>
        <w:t>** Including related-party accounts payable of $806 and $733 at March 31, 2022 and December 31, 2021, respectively</w:t>
      </w:r>
    </w:p>
    <w:p>
      <w:pPr>
        <w:pStyle w:val="TextBody"/>
        <w:spacing w:before="0" w:after="240"/>
        <w:ind w:left="0" w:right="0" w:firstLine="72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240"/>
        <w:ind w:left="0" w:right="0" w:firstLine="720"/>
        <w:jc w:val="center"/>
        <w:rPr/>
      </w:pPr>
      <w:r>
        <w:rPr/>
        <w:t>​</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19" w:name="_ffb5726c_e0ac_4b7e_bb17_147247449a63"/>
      <w:bookmarkEnd w:id="319"/>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bookmarkStart w:id="320" w:name="Cash_Flows"/>
      <w:bookmarkStart w:id="321" w:name="INDEXCASHFLOW"/>
      <w:bookmarkStart w:id="322" w:name="COMBINEDSTATEMENTOFCASHFLOWS_358039"/>
      <w:bookmarkEnd w:id="320"/>
      <w:bookmarkEnd w:id="321"/>
      <w:bookmarkEnd w:id="322"/>
      <w:r>
        <w:rPr>
          <w:rFonts w:ascii="Times New Roman;Times;serif" w:hAnsi="Times New Roman;Times;serif"/>
          <w:b/>
          <w:sz w:val="20"/>
        </w:rPr>
        <w:t>CONSOLIDATED STATEMENT OF CASH FLOWS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323" w:name="Tc_OfxoCvtsPkauhiZ4u2Fi7g_47_6"/>
      <w:bookmarkStart w:id="324" w:name="Tc_DEUhU9Fo-EORCdBx0bUjPQ_47_5"/>
      <w:bookmarkStart w:id="325" w:name="Tc_WdrS6fIz_US2soNhBvuZZQ_47_2"/>
      <w:bookmarkStart w:id="326" w:name="Tc_-el9FdqZt06n8_KJJy5mJg_47_0"/>
      <w:bookmarkStart w:id="327" w:name="Tc_pWyUOMg-FEOFLazjkXqu_w_46_6"/>
      <w:bookmarkStart w:id="328" w:name="Tc_QTbs9LS9fUiLdTZEF24cjA_46_5"/>
      <w:bookmarkStart w:id="329" w:name="Tc_Do-XLqXCLEym7tfcZruvaw_46_2"/>
      <w:bookmarkStart w:id="330" w:name="Tc__tXUFIQQMEKh2hgiGsu89Q_46_0"/>
      <w:bookmarkStart w:id="331" w:name="Tc_b2ZkZrQNME2RpQ_5wx8s6g_45_0"/>
      <w:bookmarkStart w:id="332" w:name="Tc_FQtMNurmjkCt3bAobVM6cw_43_5"/>
      <w:bookmarkStart w:id="333" w:name="Tc_puMgUvoAWUqM5JPlvz4Avg_43_2"/>
      <w:bookmarkStart w:id="334" w:name="Tc_vx31d6WezkWUioRmJhBGHw_43_0"/>
      <w:bookmarkStart w:id="335" w:name="Tc_EIqNKdnMP0SiZmUDf2Bq3w_42_5"/>
      <w:bookmarkStart w:id="336" w:name="Tc_pQ_Zn_YDZEG5CBiAFMjD0Q_42_2"/>
      <w:bookmarkStart w:id="337" w:name="Tc_JN7Ef6XU2kaKWpmdjFcczA_42_0"/>
      <w:bookmarkStart w:id="338" w:name="Tc_MuiEUB2Ri0uByJvUCtmPkg_40_5"/>
      <w:bookmarkStart w:id="339" w:name="Tc_p0p7MRIe9Eu8gt0VVRIrbQ_40_2"/>
      <w:bookmarkStart w:id="340" w:name="Tc_nibOkcIIoEqu9j-cdiu5_w_40_0"/>
      <w:bookmarkStart w:id="341" w:name="Tc_QKrz9wMsYUyWNnIh_Sh1UQ_39_5"/>
      <w:bookmarkStart w:id="342" w:name="Tc_ZdvY91aln0SRyaAkSAxL7A_39_2"/>
      <w:bookmarkStart w:id="343" w:name="Tc_8mlV7Cwr1kax5nGaacTg3w_39_0"/>
      <w:bookmarkStart w:id="344" w:name="Tc_MPtsrTJb-0GelLWpWpWncA_37_5"/>
      <w:bookmarkStart w:id="345" w:name="Tc_ARtjhNd4Fkmf4Tknxj5bcA_37_2"/>
      <w:bookmarkStart w:id="346" w:name="Tc_gl3543ZNuEelpe6AIcKCvg_37_0"/>
      <w:bookmarkStart w:id="347" w:name="Tc_p1tNG-vcMU6IA7WGAUxCyA_36_6"/>
      <w:bookmarkStart w:id="348" w:name="Tc_bZIAkV_szke9VBveY8QSDg_36_0"/>
      <w:bookmarkStart w:id="349" w:name="Tc_BygQB2XWs0axINAVjzu4fw_35_6"/>
      <w:bookmarkStart w:id="350" w:name="Tc_Mh8h1ET0LUWn0E0em0sGYA_35_0"/>
      <w:bookmarkStart w:id="351" w:name="Tc_GOy6kcColE-J69ln60n4fw_34_6"/>
      <w:bookmarkStart w:id="352" w:name="Tc_ZYK0JwYryEqXn1_d7VFMMw_34_0"/>
      <w:bookmarkStart w:id="353" w:name="Tc_oGodh7Ced0CVLDCvIhDOQw_33_3"/>
      <w:bookmarkStart w:id="354" w:name="Tc_XLXJD8frCkG31AXr2Vy8lA_33_0"/>
      <w:bookmarkStart w:id="355" w:name="Tc_SFWMMyGoV0GuiCRQADTq0Q_32_5"/>
      <w:bookmarkStart w:id="356" w:name="Tc_02vF9ppC6EOZWxiKBL-NFw_32_2"/>
      <w:bookmarkStart w:id="357" w:name="Tc_dnMtgL5xWkWKBzpHFWSQYg_32_0"/>
      <w:bookmarkStart w:id="358" w:name="Tc_dv_KSLPM4Uat3s-6EoruYw_31_0"/>
      <w:bookmarkStart w:id="359" w:name="Tc_O9DdIgGnokiGqEdEFG3kfQ_29_5"/>
      <w:bookmarkStart w:id="360" w:name="Tc_FJqfg0HFI0O_4NAObJ3wIQ_29_2"/>
      <w:bookmarkStart w:id="361" w:name="Tc_oPkwxMYybk6Hc_MchRQo0Q_29_0"/>
      <w:bookmarkStart w:id="362" w:name="Tc_HjOKLDkheUO1Q2y0-_OPIw_28_0"/>
      <w:bookmarkStart w:id="363" w:name="Tc_2IPxCouRbU6Bcw81vfdUjQ_27_0"/>
      <w:bookmarkStart w:id="364" w:name="Tc_v7EcApjxEE2jHOc2jDG22w_26_5"/>
      <w:bookmarkStart w:id="365" w:name="Tc_gd2YwMzVdE2xnN2X6y2Ylw_26_2"/>
      <w:bookmarkStart w:id="366" w:name="Tc_w-6FC5Z8vk-NIiRnWeAg_A_26_0"/>
      <w:bookmarkStart w:id="367" w:name="Tc_DHjIySLt4EeK-dYF9bq_vg_25_0"/>
      <w:bookmarkStart w:id="368" w:name="Tc__eLtnoJBN0OxinLmS5VQsQ_23_5"/>
      <w:bookmarkStart w:id="369" w:name="Tc_Q_mR51CM5EKaNhZ1fUU5pA_23_2"/>
      <w:bookmarkStart w:id="370" w:name="Tc_czQ_2yN6SUafH82mfhMIJw_23_0"/>
      <w:bookmarkStart w:id="371" w:name="Tc_RF-qqtmDT0y5G1uriACFaQ_22_0"/>
      <w:bookmarkStart w:id="372" w:name="Tc_j2-ykTtiD0WuLiIwhA0oJA_21_0"/>
      <w:bookmarkStart w:id="373" w:name="Tc_QSsBCQoACkC23ZyK42zsGQ_20_0"/>
      <w:bookmarkStart w:id="374" w:name="Tc_i0f9oNSYhE-dlzmxsBn3gw_19_0"/>
      <w:bookmarkStart w:id="375" w:name="Tc_NFyka5Ay4E6JYbmbM2SUVQ_18_0"/>
      <w:bookmarkStart w:id="376" w:name="Tc_2MqyOtMnx0S4pKHFGtqYgQ_17_0"/>
      <w:bookmarkStart w:id="377" w:name="Tc_u3Yj9xQED0qc_taSvsHs4g_16_0"/>
      <w:bookmarkStart w:id="378" w:name="Tc_LU8PbQbG8k2tg-vtdMP0-g_15_0"/>
      <w:bookmarkStart w:id="379" w:name="Tc_MCUYaZ3jzkGEPpippHFLrg_14_0"/>
      <w:bookmarkStart w:id="380" w:name="Tc_55noNDuyH0OGtXXKu2dAuw_13_0"/>
      <w:bookmarkStart w:id="381" w:name="Tc_IjA1LMAuzEuNv330OwdOyA_12_0"/>
      <w:bookmarkStart w:id="382" w:name="Tc_r3kvMowqI0KlCwEdpU7xrw_11_0"/>
      <w:bookmarkStart w:id="383" w:name="Tc_TQVduyTFZkiqUQRyRM4qdg_10_0"/>
      <w:bookmarkStart w:id="384" w:name="Tc_qu8ucMo8hUmtY2CczQvZ-Q_9_0"/>
      <w:bookmarkStart w:id="385" w:name="Tc_KpFATyRzbUqqq0nyOLK03Q_8_0"/>
      <w:bookmarkStart w:id="386" w:name="Tc_9cpxkSE9MEen0-aUfmtscQ_7_0"/>
      <w:bookmarkStart w:id="387" w:name="Tc_ZQMLrBK7uEa-wj9cJ_hXOQ_6_0"/>
      <w:bookmarkStart w:id="388" w:name="Tc_ZG5Y8qM4ZUauRWqSsgiFqA_5_0"/>
      <w:bookmarkStart w:id="389" w:name="Tc_aRF30P0jsUeklda-1waSeQ_4_5"/>
      <w:bookmarkStart w:id="390" w:name="Tc_SYWLtRcNU0mTb-U70NGSOw_4_2"/>
      <w:bookmarkStart w:id="391" w:name="Tc_teE-e4eIpUmQD_Ghn1mArw_4_0"/>
      <w:bookmarkStart w:id="392" w:name="Tc_DbyKvgv2AEGvKZkfqAv-EQ_3_0"/>
      <w:bookmarkStart w:id="393" w:name="Tc_B18w1MamHEWlq3_K-Z2KhQ_2_5"/>
      <w:bookmarkStart w:id="394" w:name="Tc_65gHhsmjpUSCY2XYGTPkpw_2_2"/>
      <w:bookmarkStart w:id="395" w:name="Tc_vsvG5HorSk2JXYo9d3xegA_1_2"/>
      <w:bookmarkStart w:id="396" w:name="_99bcfdad_2ab4_431f_a83c_729ddb865911"/>
      <w:bookmarkStart w:id="397" w:name="Tc_OfxoCvtsPkauhiZ4u2Fi7g_47_6"/>
      <w:bookmarkStart w:id="398" w:name="Tc_DEUhU9Fo-EORCdBx0bUjPQ_47_5"/>
      <w:bookmarkStart w:id="399" w:name="Tc_WdrS6fIz_US2soNhBvuZZQ_47_2"/>
      <w:bookmarkStart w:id="400" w:name="Tc_-el9FdqZt06n8_KJJy5mJg_47_0"/>
      <w:bookmarkStart w:id="401" w:name="Tc_pWyUOMg-FEOFLazjkXqu_w_46_6"/>
      <w:bookmarkStart w:id="402" w:name="Tc_QTbs9LS9fUiLdTZEF24cjA_46_5"/>
      <w:bookmarkStart w:id="403" w:name="Tc_Do-XLqXCLEym7tfcZruvaw_46_2"/>
      <w:bookmarkStart w:id="404" w:name="Tc__tXUFIQQMEKh2hgiGsu89Q_46_0"/>
      <w:bookmarkStart w:id="405" w:name="Tc_b2ZkZrQNME2RpQ_5wx8s6g_45_0"/>
      <w:bookmarkStart w:id="406" w:name="Tc_FQtMNurmjkCt3bAobVM6cw_43_5"/>
      <w:bookmarkStart w:id="407" w:name="Tc_puMgUvoAWUqM5JPlvz4Avg_43_2"/>
      <w:bookmarkStart w:id="408" w:name="Tc_vx31d6WezkWUioRmJhBGHw_43_0"/>
      <w:bookmarkStart w:id="409" w:name="Tc_EIqNKdnMP0SiZmUDf2Bq3w_42_5"/>
      <w:bookmarkStart w:id="410" w:name="Tc_pQ_Zn_YDZEG5CBiAFMjD0Q_42_2"/>
      <w:bookmarkStart w:id="411" w:name="Tc_JN7Ef6XU2kaKWpmdjFcczA_42_0"/>
      <w:bookmarkStart w:id="412" w:name="Tc_MuiEUB2Ri0uByJvUCtmPkg_40_5"/>
      <w:bookmarkStart w:id="413" w:name="Tc_p0p7MRIe9Eu8gt0VVRIrbQ_40_2"/>
      <w:bookmarkStart w:id="414" w:name="Tc_nibOkcIIoEqu9j-cdiu5_w_40_0"/>
      <w:bookmarkStart w:id="415" w:name="Tc_QKrz9wMsYUyWNnIh_Sh1UQ_39_5"/>
      <w:bookmarkStart w:id="416" w:name="Tc_ZdvY91aln0SRyaAkSAxL7A_39_2"/>
      <w:bookmarkStart w:id="417" w:name="Tc_8mlV7Cwr1kax5nGaacTg3w_39_0"/>
      <w:bookmarkStart w:id="418" w:name="Tc_MPtsrTJb-0GelLWpWpWncA_37_5"/>
      <w:bookmarkStart w:id="419" w:name="Tc_ARtjhNd4Fkmf4Tknxj5bcA_37_2"/>
      <w:bookmarkStart w:id="420" w:name="Tc_gl3543ZNuEelpe6AIcKCvg_37_0"/>
      <w:bookmarkStart w:id="421" w:name="Tc_p1tNG-vcMU6IA7WGAUxCyA_36_6"/>
      <w:bookmarkStart w:id="422" w:name="Tc_bZIAkV_szke9VBveY8QSDg_36_0"/>
      <w:bookmarkStart w:id="423" w:name="Tc_BygQB2XWs0axINAVjzu4fw_35_6"/>
      <w:bookmarkStart w:id="424" w:name="Tc_Mh8h1ET0LUWn0E0em0sGYA_35_0"/>
      <w:bookmarkStart w:id="425" w:name="Tc_GOy6kcColE-J69ln60n4fw_34_6"/>
      <w:bookmarkStart w:id="426" w:name="Tc_ZYK0JwYryEqXn1_d7VFMMw_34_0"/>
      <w:bookmarkStart w:id="427" w:name="Tc_oGodh7Ced0CVLDCvIhDOQw_33_3"/>
      <w:bookmarkStart w:id="428" w:name="Tc_XLXJD8frCkG31AXr2Vy8lA_33_0"/>
      <w:bookmarkStart w:id="429" w:name="Tc_SFWMMyGoV0GuiCRQADTq0Q_32_5"/>
      <w:bookmarkStart w:id="430" w:name="Tc_02vF9ppC6EOZWxiKBL-NFw_32_2"/>
      <w:bookmarkStart w:id="431" w:name="Tc_dnMtgL5xWkWKBzpHFWSQYg_32_0"/>
      <w:bookmarkStart w:id="432" w:name="Tc_dv_KSLPM4Uat3s-6EoruYw_31_0"/>
      <w:bookmarkStart w:id="433" w:name="Tc_O9DdIgGnokiGqEdEFG3kfQ_29_5"/>
      <w:bookmarkStart w:id="434" w:name="Tc_FJqfg0HFI0O_4NAObJ3wIQ_29_2"/>
      <w:bookmarkStart w:id="435" w:name="Tc_oPkwxMYybk6Hc_MchRQo0Q_29_0"/>
      <w:bookmarkStart w:id="436" w:name="Tc_HjOKLDkheUO1Q2y0-_OPIw_28_0"/>
      <w:bookmarkStart w:id="437" w:name="Tc_2IPxCouRbU6Bcw81vfdUjQ_27_0"/>
      <w:bookmarkStart w:id="438" w:name="Tc_v7EcApjxEE2jHOc2jDG22w_26_5"/>
      <w:bookmarkStart w:id="439" w:name="Tc_gd2YwMzVdE2xnN2X6y2Ylw_26_2"/>
      <w:bookmarkStart w:id="440" w:name="Tc_w-6FC5Z8vk-NIiRnWeAg_A_26_0"/>
      <w:bookmarkStart w:id="441" w:name="Tc_DHjIySLt4EeK-dYF9bq_vg_25_0"/>
      <w:bookmarkStart w:id="442" w:name="Tc__eLtnoJBN0OxinLmS5VQsQ_23_5"/>
      <w:bookmarkStart w:id="443" w:name="Tc_Q_mR51CM5EKaNhZ1fUU5pA_23_2"/>
      <w:bookmarkStart w:id="444" w:name="Tc_czQ_2yN6SUafH82mfhMIJw_23_0"/>
      <w:bookmarkStart w:id="445" w:name="Tc_RF-qqtmDT0y5G1uriACFaQ_22_0"/>
      <w:bookmarkStart w:id="446" w:name="Tc_j2-ykTtiD0WuLiIwhA0oJA_21_0"/>
      <w:bookmarkStart w:id="447" w:name="Tc_QSsBCQoACkC23ZyK42zsGQ_20_0"/>
      <w:bookmarkStart w:id="448" w:name="Tc_i0f9oNSYhE-dlzmxsBn3gw_19_0"/>
      <w:bookmarkStart w:id="449" w:name="Tc_NFyka5Ay4E6JYbmbM2SUVQ_18_0"/>
      <w:bookmarkStart w:id="450" w:name="Tc_2MqyOtMnx0S4pKHFGtqYgQ_17_0"/>
      <w:bookmarkStart w:id="451" w:name="Tc_u3Yj9xQED0qc_taSvsHs4g_16_0"/>
      <w:bookmarkStart w:id="452" w:name="Tc_LU8PbQbG8k2tg-vtdMP0-g_15_0"/>
      <w:bookmarkStart w:id="453" w:name="Tc_MCUYaZ3jzkGEPpippHFLrg_14_0"/>
      <w:bookmarkStart w:id="454" w:name="Tc_55noNDuyH0OGtXXKu2dAuw_13_0"/>
      <w:bookmarkStart w:id="455" w:name="Tc_IjA1LMAuzEuNv330OwdOyA_12_0"/>
      <w:bookmarkStart w:id="456" w:name="Tc_r3kvMowqI0KlCwEdpU7xrw_11_0"/>
      <w:bookmarkStart w:id="457" w:name="Tc_TQVduyTFZkiqUQRyRM4qdg_10_0"/>
      <w:bookmarkStart w:id="458" w:name="Tc_qu8ucMo8hUmtY2CczQvZ-Q_9_0"/>
      <w:bookmarkStart w:id="459" w:name="Tc_KpFATyRzbUqqq0nyOLK03Q_8_0"/>
      <w:bookmarkStart w:id="460" w:name="Tc_9cpxkSE9MEen0-aUfmtscQ_7_0"/>
      <w:bookmarkStart w:id="461" w:name="Tc_ZQMLrBK7uEa-wj9cJ_hXOQ_6_0"/>
      <w:bookmarkStart w:id="462" w:name="Tc_ZG5Y8qM4ZUauRWqSsgiFqA_5_0"/>
      <w:bookmarkStart w:id="463" w:name="Tc_aRF30P0jsUeklda-1waSeQ_4_5"/>
      <w:bookmarkStart w:id="464" w:name="Tc_SYWLtRcNU0mTb-U70NGSOw_4_2"/>
      <w:bookmarkStart w:id="465" w:name="Tc_teE-e4eIpUmQD_Ghn1mArw_4_0"/>
      <w:bookmarkStart w:id="466" w:name="Tc_DbyKvgv2AEGvKZkfqAv-EQ_3_0"/>
      <w:bookmarkStart w:id="467" w:name="Tc_B18w1MamHEWlq3_K-Z2KhQ_2_5"/>
      <w:bookmarkStart w:id="468" w:name="Tc_65gHhsmjpUSCY2XYGTPkpw_2_2"/>
      <w:bookmarkStart w:id="469" w:name="Tc_vsvG5HorSk2JXYo9d3xegA_1_2"/>
      <w:bookmarkStart w:id="470" w:name="_99bcfdad_2ab4_431f_a83c_729ddb865911"/>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tbl>
      <w:tblPr>
        <w:tblW w:w="8800" w:type="dxa"/>
        <w:jc w:val="left"/>
        <w:tblInd w:w="0" w:type="dxa"/>
        <w:tblCellMar>
          <w:top w:w="0" w:type="dxa"/>
          <w:left w:w="0" w:type="dxa"/>
          <w:bottom w:w="0" w:type="dxa"/>
          <w:right w:w="0" w:type="dxa"/>
        </w:tblCellMar>
      </w:tblPr>
      <w:tblGrid>
        <w:gridCol w:w="5986"/>
        <w:gridCol w:w="326"/>
        <w:gridCol w:w="275"/>
        <w:gridCol w:w="719"/>
        <w:gridCol w:w="458"/>
        <w:gridCol w:w="275"/>
        <w:gridCol w:w="761"/>
      </w:tblGrid>
      <w:tr>
        <w:trPr/>
        <w:tc>
          <w:tcPr>
            <w:tcW w:w="5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01110" cy="175260"/>
                      <wp:effectExtent l="0" t="0" r="0" b="0"/>
                      <wp:wrapNone/>
                      <wp:docPr id="26" name="Frame26"/>
                      <a:graphic xmlns:a="http://schemas.openxmlformats.org/drawingml/2006/main">
                        <a:graphicData uri="http://schemas.microsoft.com/office/word/2010/wordprocessingShape">
                          <wps:wsp>
                            <wps:cNvSpPr txBox="1"/>
                            <wps:spPr>
                              <a:xfrm>
                                <a:off x="0" y="0"/>
                                <a:ext cx="3801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4625" cy="175260"/>
                      <wp:effectExtent l="0" t="0" r="0" b="0"/>
                      <wp:wrapNone/>
                      <wp:docPr id="28" name="Frame28"/>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56565" cy="175260"/>
                      <wp:effectExtent l="0" t="0" r="0" b="0"/>
                      <wp:wrapNone/>
                      <wp:docPr id="29" name="Frame29"/>
                      <a:graphic xmlns:a="http://schemas.openxmlformats.org/drawingml/2006/main">
                        <a:graphicData uri="http://schemas.microsoft.com/office/word/2010/wordprocessingShape">
                          <wps:wsp>
                            <wps:cNvSpPr txBox="1"/>
                            <wps:spPr>
                              <a:xfrm>
                                <a:off x="0" y="0"/>
                                <a:ext cx="456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90830" cy="175260"/>
                      <wp:effectExtent l="0" t="0" r="0" b="0"/>
                      <wp:wrapNone/>
                      <wp:docPr id="30" name="Frame30"/>
                      <a:graphic xmlns:a="http://schemas.openxmlformats.org/drawingml/2006/main">
                        <a:graphicData uri="http://schemas.microsoft.com/office/word/2010/wordprocessingShape">
                          <wps:wsp>
                            <wps:cNvSpPr txBox="1"/>
                            <wps:spPr>
                              <a:xfrm>
                                <a:off x="0" y="0"/>
                                <a:ext cx="2908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4625" cy="175260"/>
                      <wp:effectExtent l="0" t="0" r="0" b="0"/>
                      <wp:wrapNone/>
                      <wp:docPr id="31" name="Frame31"/>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83235" cy="175260"/>
                      <wp:effectExtent l="0" t="0" r="0" b="0"/>
                      <wp:wrapNone/>
                      <wp:docPr id="32" name="Frame32"/>
                      <a:graphic xmlns:a="http://schemas.openxmlformats.org/drawingml/2006/main">
                        <a:graphicData uri="http://schemas.microsoft.com/office/word/2010/wordprocessingShape">
                          <wps:wsp>
                            <wps:cNvSpPr txBox="1"/>
                            <wps:spPr>
                              <a:xfrm>
                                <a:off x="0" y="0"/>
                                <a:ext cx="483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8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98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58" w:type="dxa"/>
            <w:tcBorders/>
            <w:shd w:fill="auto" w:val="clear"/>
            <w:vAlign w:val="center"/>
          </w:tcPr>
          <w:p>
            <w:pPr>
              <w:pStyle w:val="TableContents"/>
              <w:spacing w:before="0" w:after="1"/>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jc w:val="right"/>
              <w:rPr/>
            </w:pPr>
            <w:r>
              <w:rPr/>
              <w:t>  </w:t>
            </w:r>
          </w:p>
        </w:tc>
        <w:tc>
          <w:tcPr>
            <w:tcW w:w="458" w:type="dxa"/>
            <w:tcBorders/>
            <w:shd w:fill="CCEEFF" w:val="clear"/>
            <w:vAlign w:val="center"/>
          </w:tcPr>
          <w:p>
            <w:pPr>
              <w:pStyle w:val="TableContents"/>
              <w:spacing w:before="0" w:after="1"/>
              <w:ind w:left="0" w:right="0" w:hanging="0"/>
              <w:rPr/>
            </w:pPr>
            <w:r>
              <w:rPr/>
              <w:t> </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jc w:val="right"/>
              <w:rPr/>
            </w:pPr>
            <w:r>
              <w:rPr/>
              <w:t>  </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income (loss)</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(229)</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(494)</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Adjustments to reconcile net income (loss) to cash provided by operating activities: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19" w:type="dxa"/>
            <w:tcBorders/>
            <w:shd w:fill="CCEEFF" w:val="clear"/>
            <w:vAlign w:val="center"/>
          </w:tcPr>
          <w:p>
            <w:pPr>
              <w:pStyle w:val="TableContents"/>
              <w:spacing w:before="0" w:after="1"/>
              <w:ind w:left="0" w:right="0" w:hanging="0"/>
              <w:jc w:val="right"/>
              <w:rPr/>
            </w:pPr>
            <w:r>
              <w:rPr/>
              <w:t>​</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61" w:type="dxa"/>
            <w:tcBorders/>
            <w:shd w:fill="CCEEFF" w:val="clear"/>
            <w:vAlign w:val="center"/>
          </w:tcPr>
          <w:p>
            <w:pPr>
              <w:pStyle w:val="TableContents"/>
              <w:spacing w:before="0" w:after="1"/>
              <w:ind w:left="0" w:right="0" w:hanging="0"/>
              <w:jc w:val="right"/>
              <w:rPr/>
            </w:pPr>
            <w:r>
              <w:rPr/>
              <w:t>​</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 </w:t>
            </w:r>
          </w:p>
        </w:tc>
        <w:tc>
          <w:tcPr>
            <w:tcW w:w="719" w:type="dxa"/>
            <w:tcBorders/>
            <w:shd w:fill="auto" w:val="clear"/>
            <w:vAlign w:val="center"/>
          </w:tcPr>
          <w:p>
            <w:pPr>
              <w:pStyle w:val="TableContents"/>
              <w:spacing w:before="0" w:after="1"/>
              <w:ind w:left="0" w:right="0" w:hanging="0"/>
              <w:jc w:val="right"/>
              <w:rPr/>
            </w:pPr>
            <w:r>
              <w:rPr/>
              <w:t>​</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 </w:t>
            </w:r>
          </w:p>
        </w:tc>
        <w:tc>
          <w:tcPr>
            <w:tcW w:w="761" w:type="dxa"/>
            <w:tcBorders/>
            <w:shd w:fill="auto" w:val="clear"/>
            <w:vAlign w:val="center"/>
          </w:tcPr>
          <w:p>
            <w:pPr>
              <w:pStyle w:val="TableContents"/>
              <w:spacing w:before="0" w:after="1"/>
              <w:ind w:left="0" w:right="0" w:hanging="0"/>
              <w:rPr/>
            </w:pPr>
            <w:r>
              <w:rPr/>
              <w:t>​</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Depreciation of property and equipment</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246</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339</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Depreciation of right-of-use assets</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103</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99</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Amortization of transition costs and prepaid software</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319</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323</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Amortization of capitalized contract costs</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160</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Amortization of intangible assets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16</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taxes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(gain) loss on asset sales and other</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12</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Change in operating assets and liabilities: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jc w:val="right"/>
              <w:rPr/>
            </w:pPr>
            <w:r>
              <w:rPr/>
              <w:t>​</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jc w:val="right"/>
              <w:rPr/>
            </w:pPr>
            <w:r>
              <w:rPr/>
              <w:t>​</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Deferred costs (excluding amortization)</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(672)</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(548)</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Right-of-use assets and liabilities (excluding depreciation)</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(118)</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Workforce rebalancing liabilities</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(73)</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Receivables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(31)</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(138)</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Accounts payable</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384</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(99)</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Taxes (including items settled with former Parent in prior-year period)</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(66)</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74</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assets and other liabilities</w:t>
            </w:r>
          </w:p>
        </w:tc>
        <w:tc>
          <w:tcPr>
            <w:tcW w:w="326" w:type="dxa"/>
            <w:tcBorders/>
            <w:shd w:fill="auto" w:val="clear"/>
            <w:vAlign w:val="center"/>
          </w:tcPr>
          <w:p>
            <w:pPr>
              <w:pStyle w:val="TableContents"/>
              <w:spacing w:before="0" w:after="1"/>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151</w:t>
            </w:r>
          </w:p>
        </w:tc>
        <w:tc>
          <w:tcPr>
            <w:tcW w:w="458" w:type="dxa"/>
            <w:tcBorders/>
            <w:shd w:fill="auto" w:val="clear"/>
            <w:vAlign w:val="center"/>
          </w:tcPr>
          <w:p>
            <w:pPr>
              <w:pStyle w:val="TableContents"/>
              <w:spacing w:before="0" w:after="1"/>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172</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Net cash provided by (used in) operating activities</w:t>
            </w:r>
          </w:p>
        </w:tc>
        <w:tc>
          <w:tcPr>
            <w:tcW w:w="326" w:type="dxa"/>
            <w:tcBorders/>
            <w:shd w:fill="CCEEFF" w:val="clear"/>
            <w:vAlign w:val="center"/>
          </w:tcPr>
          <w:p>
            <w:pPr>
              <w:pStyle w:val="TableContents"/>
              <w:spacing w:before="0" w:after="1"/>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189</w:t>
            </w:r>
          </w:p>
        </w:tc>
        <w:tc>
          <w:tcPr>
            <w:tcW w:w="458" w:type="dxa"/>
            <w:tcBorders/>
            <w:shd w:fill="CCEEFF" w:val="clear"/>
            <w:vAlign w:val="center"/>
          </w:tcPr>
          <w:p>
            <w:pPr>
              <w:pStyle w:val="TableContents"/>
              <w:spacing w:before="0" w:after="1"/>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(328)</w:t>
            </w:r>
          </w:p>
        </w:tc>
      </w:tr>
      <w:tr>
        <w:trPr/>
        <w:tc>
          <w:tcPr>
            <w:tcW w:w="5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pPr>
            <w:r>
              <w:rPr/>
              <w:t>​</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pPr>
            <w:r>
              <w:rPr/>
              <w:t>​</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19" w:type="dxa"/>
            <w:tcBorders/>
            <w:shd w:fill="CCEEFF" w:val="clear"/>
            <w:vAlign w:val="center"/>
          </w:tcPr>
          <w:p>
            <w:pPr>
              <w:pStyle w:val="TableContents"/>
              <w:spacing w:before="0" w:after="1"/>
              <w:ind w:left="0" w:right="0" w:hanging="0"/>
              <w:jc w:val="right"/>
              <w:rPr/>
            </w:pPr>
            <w:r>
              <w:rPr/>
              <w:t>​</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61" w:type="dxa"/>
            <w:tcBorders/>
            <w:shd w:fill="CCEEFF" w:val="clear"/>
            <w:vAlign w:val="center"/>
          </w:tcPr>
          <w:p>
            <w:pPr>
              <w:pStyle w:val="TableContents"/>
              <w:spacing w:before="0" w:after="1"/>
              <w:ind w:left="0" w:right="0" w:hanging="0"/>
              <w:jc w:val="right"/>
              <w:rPr/>
            </w:pPr>
            <w:r>
              <w:rPr/>
              <w:t>​</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Payments for property and equipment</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(180)</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(180)</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Proceeds from disposition of property and equipment</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93</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investing activities, net</w:t>
            </w:r>
          </w:p>
        </w:tc>
        <w:tc>
          <w:tcPr>
            <w:tcW w:w="326" w:type="dxa"/>
            <w:tcBorders/>
            <w:shd w:fill="auto" w:val="clear"/>
            <w:vAlign w:val="center"/>
          </w:tcPr>
          <w:p>
            <w:pPr>
              <w:pStyle w:val="TableContents"/>
              <w:spacing w:before="0" w:after="1"/>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(53)</w:t>
            </w:r>
          </w:p>
        </w:tc>
        <w:tc>
          <w:tcPr>
            <w:tcW w:w="458" w:type="dxa"/>
            <w:tcBorders/>
            <w:shd w:fill="auto" w:val="clear"/>
            <w:vAlign w:val="center"/>
          </w:tcPr>
          <w:p>
            <w:pPr>
              <w:pStyle w:val="TableContents"/>
              <w:spacing w:before="0" w:after="1"/>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Net cash used in investing activities</w:t>
            </w:r>
          </w:p>
        </w:tc>
        <w:tc>
          <w:tcPr>
            <w:tcW w:w="326" w:type="dxa"/>
            <w:tcBorders/>
            <w:shd w:fill="CCEEFF" w:val="clear"/>
            <w:vAlign w:val="center"/>
          </w:tcPr>
          <w:p>
            <w:pPr>
              <w:pStyle w:val="TableContents"/>
              <w:spacing w:before="0" w:after="1"/>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(225)</w:t>
            </w:r>
          </w:p>
        </w:tc>
        <w:tc>
          <w:tcPr>
            <w:tcW w:w="458" w:type="dxa"/>
            <w:tcBorders/>
            <w:shd w:fill="CCEEFF" w:val="clear"/>
            <w:vAlign w:val="center"/>
          </w:tcPr>
          <w:p>
            <w:pPr>
              <w:pStyle w:val="TableContents"/>
              <w:spacing w:before="0" w:after="1"/>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(100)</w:t>
            </w:r>
          </w:p>
        </w:tc>
      </w:tr>
      <w:tr>
        <w:trPr/>
        <w:tc>
          <w:tcPr>
            <w:tcW w:w="5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pPr>
            <w:r>
              <w:rPr/>
              <w:t>​</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pPr>
            <w:r>
              <w:rPr/>
              <w:t>​</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19" w:type="dxa"/>
            <w:tcBorders/>
            <w:shd w:fill="CCEEFF" w:val="clear"/>
            <w:vAlign w:val="center"/>
          </w:tcPr>
          <w:p>
            <w:pPr>
              <w:pStyle w:val="TableContents"/>
              <w:spacing w:before="0" w:after="1"/>
              <w:ind w:left="0" w:right="0" w:hanging="0"/>
              <w:jc w:val="right"/>
              <w:rPr/>
            </w:pPr>
            <w:r>
              <w:rPr/>
              <w:t>​</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61" w:type="dxa"/>
            <w:tcBorders/>
            <w:shd w:fill="CCEEFF" w:val="clear"/>
            <w:vAlign w:val="center"/>
          </w:tcPr>
          <w:p>
            <w:pPr>
              <w:pStyle w:val="TableContents"/>
              <w:spacing w:before="0" w:after="1"/>
              <w:ind w:left="0" w:right="0" w:hanging="0"/>
              <w:jc w:val="right"/>
              <w:rPr/>
            </w:pPr>
            <w:r>
              <w:rPr/>
              <w:t>​</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Debt repayments</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(28)</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(17)</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transfers from Parent</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jc w:val="right"/>
              <w:rPr/>
            </w:pPr>
            <w:r>
              <w:rPr/>
              <w:t>—</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460</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Short-term borrowings (repayments), net</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pPr>
            <w:r>
              <w:rPr/>
              <w:t>—</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Common stock repurchases for tax withholdings</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 </w:t>
            </w:r>
          </w:p>
        </w:tc>
        <w:tc>
          <w:tcPr>
            <w:tcW w:w="761" w:type="dxa"/>
            <w:tcBorders/>
            <w:shd w:fill="CCEEFF" w:val="clear"/>
            <w:vAlign w:val="center"/>
          </w:tcPr>
          <w:p>
            <w:pPr>
              <w:pStyle w:val="TableContents"/>
              <w:spacing w:before="0" w:after="1"/>
              <w:ind w:left="0" w:right="0" w:hanging="0"/>
              <w:jc w:val="right"/>
              <w:rPr/>
            </w:pPr>
            <w:r>
              <w:rPr/>
              <w:t>—</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financing activities, net</w:t>
            </w:r>
          </w:p>
        </w:tc>
        <w:tc>
          <w:tcPr>
            <w:tcW w:w="326" w:type="dxa"/>
            <w:tcBorders/>
            <w:shd w:fill="auto" w:val="clear"/>
            <w:vAlign w:val="center"/>
          </w:tcPr>
          <w:p>
            <w:pPr>
              <w:pStyle w:val="TableContents"/>
              <w:spacing w:before="0" w:after="1"/>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458" w:type="dxa"/>
            <w:tcBorders/>
            <w:shd w:fill="auto" w:val="clear"/>
            <w:vAlign w:val="center"/>
          </w:tcPr>
          <w:p>
            <w:pPr>
              <w:pStyle w:val="TableContents"/>
              <w:spacing w:before="0" w:after="1"/>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 xml:space="preserve">Net cash provided by (used in) financing activities </w:t>
            </w:r>
          </w:p>
        </w:tc>
        <w:tc>
          <w:tcPr>
            <w:tcW w:w="326" w:type="dxa"/>
            <w:tcBorders/>
            <w:shd w:fill="CCEEFF" w:val="clear"/>
            <w:vAlign w:val="center"/>
          </w:tcPr>
          <w:p>
            <w:pPr>
              <w:pStyle w:val="TableContents"/>
              <w:spacing w:before="0" w:after="1"/>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(43)</w:t>
            </w:r>
          </w:p>
        </w:tc>
        <w:tc>
          <w:tcPr>
            <w:tcW w:w="458" w:type="dxa"/>
            <w:tcBorders/>
            <w:shd w:fill="CCEEFF" w:val="clear"/>
            <w:vAlign w:val="center"/>
          </w:tcPr>
          <w:p>
            <w:pPr>
              <w:pStyle w:val="TableContents"/>
              <w:spacing w:before="0" w:after="1"/>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443</w:t>
            </w:r>
          </w:p>
        </w:tc>
      </w:tr>
      <w:tr>
        <w:trPr/>
        <w:tc>
          <w:tcPr>
            <w:tcW w:w="5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jc w:val="right"/>
              <w:rPr/>
            </w:pPr>
            <w:r>
              <w:rPr/>
              <w:t>​</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jc w:val="right"/>
              <w:rPr/>
            </w:pPr>
            <w:r>
              <w:rPr/>
              <w:t>​</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326" w:type="dxa"/>
            <w:tcBorders/>
            <w:shd w:fill="CCEEFF" w:val="clear"/>
            <w:vAlign w:val="center"/>
          </w:tcPr>
          <w:p>
            <w:pPr>
              <w:pStyle w:val="TableContents"/>
              <w:spacing w:before="0" w:after="1"/>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458" w:type="dxa"/>
            <w:tcBorders/>
            <w:shd w:fill="CCEEFF" w:val="clear"/>
            <w:vAlign w:val="center"/>
          </w:tcPr>
          <w:p>
            <w:pPr>
              <w:pStyle w:val="TableContents"/>
              <w:spacing w:before="0" w:after="1"/>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change in cash, cash equivalents and restricted cash</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(86)</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598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jc w:val="right"/>
              <w:rPr/>
            </w:pPr>
            <w:r>
              <w:rPr/>
              <w:t>​</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jc w:val="right"/>
              <w:rPr/>
            </w:pPr>
            <w:r>
              <w:rPr/>
              <w:t>​</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Cash, cash equivalents and restricted cash at January 1</w:t>
            </w:r>
          </w:p>
        </w:tc>
        <w:tc>
          <w:tcPr>
            <w:tcW w:w="326" w:type="dxa"/>
            <w:tcBorders/>
            <w:shd w:fill="auto" w:val="clear"/>
            <w:vAlign w:val="center"/>
          </w:tcPr>
          <w:p>
            <w:pPr>
              <w:pStyle w:val="TableContents"/>
              <w:spacing w:before="0" w:after="1"/>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2,240</w:t>
            </w:r>
          </w:p>
        </w:tc>
        <w:tc>
          <w:tcPr>
            <w:tcW w:w="458" w:type="dxa"/>
            <w:tcBorders/>
            <w:shd w:fill="auto" w:val="clear"/>
            <w:vAlign w:val="center"/>
          </w:tcPr>
          <w:p>
            <w:pPr>
              <w:pStyle w:val="TableContents"/>
              <w:spacing w:before="0" w:after="1"/>
              <w:ind w:left="0" w:right="0" w:hanging="0"/>
              <w:rPr/>
            </w:pPr>
            <w:r>
              <w:rPr/>
              <w:t>​</w:t>
            </w:r>
          </w:p>
        </w:tc>
        <w:tc>
          <w:tcPr>
            <w:tcW w:w="275"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Cash, cash equivalents and restricted cash at March 31</w:t>
            </w:r>
          </w:p>
        </w:tc>
        <w:tc>
          <w:tcPr>
            <w:tcW w:w="326" w:type="dxa"/>
            <w:tcBorders/>
            <w:shd w:fill="CCEEFF" w:val="clear"/>
            <w:vAlign w:val="center"/>
          </w:tcPr>
          <w:p>
            <w:pPr>
              <w:pStyle w:val="TableContents"/>
              <w:spacing w:before="0" w:after="1"/>
              <w:ind w:left="0" w:right="0" w:hanging="0"/>
              <w:rPr/>
            </w:pPr>
            <w:r>
              <w:rPr/>
              <w:t>​</w:t>
            </w:r>
          </w:p>
        </w:tc>
        <w:tc>
          <w:tcPr>
            <w:tcW w:w="27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2,154</w:t>
            </w:r>
          </w:p>
        </w:tc>
        <w:tc>
          <w:tcPr>
            <w:tcW w:w="458" w:type="dxa"/>
            <w:tcBorders/>
            <w:shd w:fill="CCEEFF" w:val="clear"/>
            <w:vAlign w:val="center"/>
          </w:tcPr>
          <w:p>
            <w:pPr>
              <w:pStyle w:val="TableContents"/>
              <w:spacing w:before="0" w:after="1"/>
              <w:ind w:left="0" w:right="0" w:hanging="0"/>
              <w:rPr/>
            </w:pPr>
            <w:r>
              <w:rPr/>
              <w:t>​</w:t>
            </w:r>
          </w:p>
        </w:tc>
        <w:tc>
          <w:tcPr>
            <w:tcW w:w="27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r>
      <w:tr>
        <w:trPr/>
        <w:tc>
          <w:tcPr>
            <w:tcW w:w="59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19" w:type="dxa"/>
            <w:tcBorders/>
            <w:shd w:fill="auto" w:val="clear"/>
            <w:vAlign w:val="center"/>
          </w:tcPr>
          <w:p>
            <w:pPr>
              <w:pStyle w:val="TableContents"/>
              <w:spacing w:before="0" w:after="1"/>
              <w:ind w:left="0" w:right="0" w:hanging="0"/>
              <w:rPr/>
            </w:pPr>
            <w:r>
              <w:rPr/>
              <w:t>​</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pPr>
            <w:r>
              <w:rPr/>
              <w:t>​</w:t>
            </w:r>
          </w:p>
        </w:tc>
        <w:tc>
          <w:tcPr>
            <w:tcW w:w="761" w:type="dxa"/>
            <w:tcBorders/>
            <w:shd w:fill="auto" w:val="clear"/>
            <w:vAlign w:val="center"/>
          </w:tcPr>
          <w:p>
            <w:pPr>
              <w:pStyle w:val="TableContents"/>
              <w:spacing w:before="0" w:after="1"/>
              <w:ind w:left="0" w:right="0" w:hanging="0"/>
              <w:rPr/>
            </w:pPr>
            <w:r>
              <w:rPr/>
              <w:t>​</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b/>
                <w:sz w:val="18"/>
              </w:rPr>
            </w:pPr>
            <w:r>
              <w:rPr>
                <w:rFonts w:ascii="Times New Roman;Times;serif" w:hAnsi="Times New Roman;Times;serif"/>
                <w:b/>
                <w:sz w:val="18"/>
              </w:rPr>
              <w:t>Supplemental data</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19" w:type="dxa"/>
            <w:tcBorders/>
            <w:shd w:fill="CCEEFF" w:val="clear"/>
            <w:vAlign w:val="center"/>
          </w:tcPr>
          <w:p>
            <w:pPr>
              <w:pStyle w:val="TableContents"/>
              <w:spacing w:before="0" w:after="1"/>
              <w:ind w:left="0" w:right="0" w:hanging="0"/>
              <w:rPr/>
            </w:pPr>
            <w:r>
              <w:rPr/>
              <w:t>​</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pPr>
            <w:r>
              <w:rPr/>
              <w:t>​</w:t>
            </w:r>
          </w:p>
        </w:tc>
        <w:tc>
          <w:tcPr>
            <w:tcW w:w="761" w:type="dxa"/>
            <w:tcBorders/>
            <w:shd w:fill="CCEEFF" w:val="clear"/>
            <w:vAlign w:val="center"/>
          </w:tcPr>
          <w:p>
            <w:pPr>
              <w:pStyle w:val="TableContents"/>
              <w:spacing w:before="0" w:after="1"/>
              <w:ind w:left="0" w:right="0" w:hanging="0"/>
              <w:rPr/>
            </w:pPr>
            <w:r>
              <w:rPr/>
              <w:t>​</w:t>
            </w:r>
          </w:p>
        </w:tc>
      </w:tr>
      <w:tr>
        <w:trPr/>
        <w:tc>
          <w:tcPr>
            <w:tcW w:w="5986"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Income taxes paid, net of refunds received</w:t>
            </w:r>
          </w:p>
        </w:tc>
        <w:tc>
          <w:tcPr>
            <w:tcW w:w="326"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auto"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47</w:t>
            </w:r>
          </w:p>
        </w:tc>
        <w:tc>
          <w:tcPr>
            <w:tcW w:w="458" w:type="dxa"/>
            <w:tcBorders/>
            <w:shd w:fill="auto" w:val="clear"/>
            <w:vAlign w:val="center"/>
          </w:tcPr>
          <w:p>
            <w:pPr>
              <w:pStyle w:val="TableContents"/>
              <w:spacing w:before="0" w:after="1"/>
              <w:ind w:left="0" w:right="0" w:hanging="0"/>
              <w:rPr/>
            </w:pPr>
            <w:r>
              <w:rPr/>
              <w:t>​</w:t>
            </w:r>
          </w:p>
        </w:tc>
        <w:tc>
          <w:tcPr>
            <w:tcW w:w="275"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shd w:fill="auto" w:val="clear"/>
            <w:vAlign w:val="center"/>
          </w:tcPr>
          <w:p>
            <w:pPr>
              <w:pStyle w:val="TableContents"/>
              <w:spacing w:before="0" w:after="1"/>
              <w:ind w:left="0" w:right="0" w:hanging="0"/>
              <w:jc w:val="right"/>
              <w:rPr/>
            </w:pPr>
            <w:r>
              <w:rPr/>
              <w:t>—</w:t>
            </w:r>
          </w:p>
        </w:tc>
      </w:tr>
      <w:tr>
        <w:trPr/>
        <w:tc>
          <w:tcPr>
            <w:tcW w:w="5986"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Interest paid on debt</w:t>
            </w:r>
          </w:p>
        </w:tc>
        <w:tc>
          <w:tcPr>
            <w:tcW w:w="326"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19" w:type="dxa"/>
            <w:tcBorders/>
            <w:shd w:fill="CCEEFF" w:val="clear"/>
            <w:vAlign w:val="center"/>
          </w:tcPr>
          <w:p>
            <w:pPr>
              <w:pStyle w:val="TableContents"/>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458" w:type="dxa"/>
            <w:tcBorders/>
            <w:shd w:fill="CCEEFF" w:val="clear"/>
            <w:vAlign w:val="center"/>
          </w:tcPr>
          <w:p>
            <w:pPr>
              <w:pStyle w:val="TableContents"/>
              <w:spacing w:before="0" w:after="1"/>
              <w:ind w:left="0" w:right="0" w:hanging="0"/>
              <w:rPr/>
            </w:pPr>
            <w:r>
              <w:rPr/>
              <w:t>​</w:t>
            </w:r>
          </w:p>
        </w:tc>
        <w:tc>
          <w:tcPr>
            <w:tcW w:w="275"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w:t>
            </w:r>
          </w:p>
        </w:tc>
        <w:tc>
          <w:tcPr>
            <w:tcW w:w="761" w:type="dxa"/>
            <w:tcBorders/>
            <w:shd w:fill="CCEEFF" w:val="clear"/>
            <w:vAlign w:val="center"/>
          </w:tcPr>
          <w:p>
            <w:pPr>
              <w:pStyle w:val="TableContents"/>
              <w:spacing w:before="0" w:after="1"/>
              <w:ind w:left="0" w:right="60" w:hanging="0"/>
              <w:jc w:val="right"/>
              <w:rPr/>
            </w:pPr>
            <w:r>
              <w:rPr/>
              <w:t>—</w:t>
            </w:r>
          </w:p>
        </w:tc>
      </w:tr>
    </w:tbl>
    <w:p>
      <w:pPr>
        <w:pStyle w:val="TextBody"/>
        <w:spacing w:before="0" w:after="240"/>
        <w:ind w:left="0" w:right="0" w:firstLine="72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240"/>
        <w:ind w:left="0" w:right="0" w:firstLine="72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471" w:name="Equity"/>
      <w:bookmarkStart w:id="472" w:name="_f7078b6b_66d9_434d_ac48_2b8829ce663a"/>
      <w:bookmarkEnd w:id="471"/>
      <w:bookmarkEnd w:id="472"/>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bookmarkStart w:id="473" w:name="COMBINEDSTATEMENTOFEQUITY_472371"/>
      <w:bookmarkStart w:id="474" w:name="INDEXEQUITY"/>
      <w:bookmarkEnd w:id="473"/>
      <w:bookmarkEnd w:id="474"/>
      <w:r>
        <w:rPr>
          <w:rFonts w:ascii="Times New Roman;Times;serif" w:hAnsi="Times New Roman;Times;serif"/>
          <w:b/>
          <w:sz w:val="20"/>
        </w:rPr>
        <w:t>CONSOLIDATED STATEMENT OF EQUITY</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spacing w:before="0" w:after="0"/>
        <w:ind w:left="0" w:right="0" w:hanging="0"/>
        <w:rPr/>
      </w:pPr>
      <w:r>
        <w:rPr/>
        <w:t>​</w:t>
      </w:r>
    </w:p>
    <w:p>
      <w:pPr>
        <w:pStyle w:val="Normal"/>
        <w:spacing w:before="0" w:after="0"/>
        <w:rPr>
          <w:sz w:val="4"/>
          <w:szCs w:val="4"/>
        </w:rPr>
      </w:pPr>
      <w:r>
        <w:rPr>
          <w:sz w:val="4"/>
          <w:szCs w:val="4"/>
        </w:rPr>
      </w:r>
      <w:bookmarkStart w:id="475" w:name="Tc_4XneZdU2Qk-fIobONpypQA_11_23"/>
      <w:bookmarkStart w:id="476" w:name="Tc_XJiG4X1rG0eozY42S2DFPQ_11_20"/>
      <w:bookmarkStart w:id="477" w:name="Tc_7Asg-lqZPE6k9Y6t5BuFeA_11_17"/>
      <w:bookmarkStart w:id="478" w:name="Tc_ivkAvV7V9E26BsjvlyUnKQ_11_14"/>
      <w:bookmarkStart w:id="479" w:name="Tc_EmnUvYed0kqEV9ny6KoWqw_11_11"/>
      <w:bookmarkStart w:id="480" w:name="Tc_RQZZvfXyIkeoGZGx7lTt5w_11_9"/>
      <w:bookmarkStart w:id="481" w:name="Tc_d-HgzTj-3UWygs69LTQ2pQ_11_8"/>
      <w:bookmarkStart w:id="482" w:name="Tc_3AdKft0oiUmLIwH6OG65Hg_11_5"/>
      <w:bookmarkStart w:id="483" w:name="Tc_YazRJnlXPUSKXvLpHiAUlA_11_0"/>
      <w:bookmarkStart w:id="484" w:name="Tc_tITN0aBbOUaDbnKBFbigWw_10_0"/>
      <w:bookmarkStart w:id="485" w:name="Tc_wFseYTctSUmMtmMi1W5ydg_9_0"/>
      <w:bookmarkStart w:id="486" w:name="Tc_0qvRWM1KdECdRHPgqj4lBw_8_0"/>
      <w:bookmarkStart w:id="487" w:name="Tc_F5oLA46fVEe7i4hEaaWg7Q_7_0"/>
      <w:bookmarkStart w:id="488" w:name="Tc_0uH0F7O0RUm6gM9fsOO0Gw_6_0"/>
      <w:bookmarkStart w:id="489" w:name="Tc_MxXYrrHuz0yEZf0LgILBjw_5_23"/>
      <w:bookmarkStart w:id="490" w:name="Tc_r8RtxPrE-U-H_4HsbUfmdQ_5_20"/>
      <w:bookmarkStart w:id="491" w:name="Tc_v4NOyXLMGUK71CHgd5KgmQ_5_17"/>
      <w:bookmarkStart w:id="492" w:name="Tc_Rs8HCHOsw0CNynJjjdXbYQ_5_14"/>
      <w:bookmarkStart w:id="493" w:name="Tc_l0KhDwVam0KP0BDLXEWh3g_5_11"/>
      <w:bookmarkStart w:id="494" w:name="Tc_B19_4ymxbE2IjXIZFnrzUQ_5_9"/>
      <w:bookmarkStart w:id="495" w:name="Tc_0R_57KlJ0Ei5zJqXMbKQ6A_5_8"/>
      <w:bookmarkStart w:id="496" w:name="Tc_gM0jtLcX6UypzH8-jG_ANw_5_5"/>
      <w:bookmarkStart w:id="497" w:name="Tc__9CjEtgoikKxk1bMZpSlTQ_5_0"/>
      <w:bookmarkStart w:id="498" w:name="Tc_xR0VcpM__0-K9n23-aSvqw_4_23"/>
      <w:bookmarkStart w:id="499" w:name="Tc_4rm84I6pM0-GKXiKdHkDNg_4_20"/>
      <w:bookmarkStart w:id="500" w:name="Tc_4yu12k4Qtk-6YcF4ykUeZw_4_17"/>
      <w:bookmarkStart w:id="501" w:name="Tc_TBJrRz0SdEGe72AKAyMYSw_4_14"/>
      <w:bookmarkStart w:id="502" w:name="Tc_ky9pMJ6GMUOkdupkAxqTbg_4_11"/>
      <w:bookmarkStart w:id="503" w:name="Tc_sOlpxn-HgEObqZhxGA-oEg_4_8"/>
      <w:bookmarkStart w:id="504" w:name="Tc_jcjk5TQ7c0uCACvH6YW8mA_4_5"/>
      <w:bookmarkStart w:id="505" w:name="Tc_HDEMlSSP-Ee4jMjwPjFzvA_4_2"/>
      <w:bookmarkStart w:id="506" w:name="Tc_jAE_U-0NK0-v8LsV8ZDsPA_3_23"/>
      <w:bookmarkStart w:id="507" w:name="Tc_dJ8ZULbXX0yptoGdgHRf7A_3_20"/>
      <w:bookmarkStart w:id="508" w:name="Tc_XNjIgzuzm0W4DCZgfsJy0Q_3_17"/>
      <w:bookmarkStart w:id="509" w:name="Tc_XguA-6TtwkGeefmFuk6DfA_3_14"/>
      <w:bookmarkStart w:id="510" w:name="Tc_pGP4BqehfkKux5aKRApQuA_3_11"/>
      <w:bookmarkStart w:id="511" w:name="Tc_TJVDTbU8uUC5dSnVJM3v-Q_3_8"/>
      <w:bookmarkStart w:id="512" w:name="Tc_xYLVFsNElUOjj2o8ZJnVCA_3_2"/>
      <w:bookmarkStart w:id="513" w:name="Tc_OXzYQhBZ0kOnDYRKIQMZ-g_2_20"/>
      <w:bookmarkStart w:id="514" w:name="Tc_ElStfjD6mk-_gDjzWpX-cg_2_11"/>
      <w:bookmarkStart w:id="515" w:name="Tc_KbzR1m9FOEeVUBBZsLurKA_2_8"/>
      <w:bookmarkStart w:id="516" w:name="Tc_VySZmcFDOUaMPF6y1_L3wA_2_2"/>
      <w:bookmarkStart w:id="517" w:name="Tc_nKSvQs0Uk0iOueo--ER-sQ_1_11"/>
      <w:bookmarkStart w:id="518" w:name="Tc_VOO0DU4hWkaO8taMRHq6ug_1_2"/>
      <w:bookmarkStart w:id="519" w:name="_5abc9c47_b66c_4000_951e_b413024fdce8"/>
      <w:bookmarkStart w:id="520" w:name="Tc_4XneZdU2Qk-fIobONpypQA_11_23"/>
      <w:bookmarkStart w:id="521" w:name="Tc_XJiG4X1rG0eozY42S2DFPQ_11_20"/>
      <w:bookmarkStart w:id="522" w:name="Tc_7Asg-lqZPE6k9Y6t5BuFeA_11_17"/>
      <w:bookmarkStart w:id="523" w:name="Tc_ivkAvV7V9E26BsjvlyUnKQ_11_14"/>
      <w:bookmarkStart w:id="524" w:name="Tc_EmnUvYed0kqEV9ny6KoWqw_11_11"/>
      <w:bookmarkStart w:id="525" w:name="Tc_RQZZvfXyIkeoGZGx7lTt5w_11_9"/>
      <w:bookmarkStart w:id="526" w:name="Tc_d-HgzTj-3UWygs69LTQ2pQ_11_8"/>
      <w:bookmarkStart w:id="527" w:name="Tc_3AdKft0oiUmLIwH6OG65Hg_11_5"/>
      <w:bookmarkStart w:id="528" w:name="Tc_YazRJnlXPUSKXvLpHiAUlA_11_0"/>
      <w:bookmarkStart w:id="529" w:name="Tc_tITN0aBbOUaDbnKBFbigWw_10_0"/>
      <w:bookmarkStart w:id="530" w:name="Tc_wFseYTctSUmMtmMi1W5ydg_9_0"/>
      <w:bookmarkStart w:id="531" w:name="Tc_0qvRWM1KdECdRHPgqj4lBw_8_0"/>
      <w:bookmarkStart w:id="532" w:name="Tc_F5oLA46fVEe7i4hEaaWg7Q_7_0"/>
      <w:bookmarkStart w:id="533" w:name="Tc_0uH0F7O0RUm6gM9fsOO0Gw_6_0"/>
      <w:bookmarkStart w:id="534" w:name="Tc_MxXYrrHuz0yEZf0LgILBjw_5_23"/>
      <w:bookmarkStart w:id="535" w:name="Tc_r8RtxPrE-U-H_4HsbUfmdQ_5_20"/>
      <w:bookmarkStart w:id="536" w:name="Tc_v4NOyXLMGUK71CHgd5KgmQ_5_17"/>
      <w:bookmarkStart w:id="537" w:name="Tc_Rs8HCHOsw0CNynJjjdXbYQ_5_14"/>
      <w:bookmarkStart w:id="538" w:name="Tc_l0KhDwVam0KP0BDLXEWh3g_5_11"/>
      <w:bookmarkStart w:id="539" w:name="Tc_B19_4ymxbE2IjXIZFnrzUQ_5_9"/>
      <w:bookmarkStart w:id="540" w:name="Tc_0R_57KlJ0Ei5zJqXMbKQ6A_5_8"/>
      <w:bookmarkStart w:id="541" w:name="Tc_gM0jtLcX6UypzH8-jG_ANw_5_5"/>
      <w:bookmarkStart w:id="542" w:name="Tc__9CjEtgoikKxk1bMZpSlTQ_5_0"/>
      <w:bookmarkStart w:id="543" w:name="Tc_xR0VcpM__0-K9n23-aSvqw_4_23"/>
      <w:bookmarkStart w:id="544" w:name="Tc_4rm84I6pM0-GKXiKdHkDNg_4_20"/>
      <w:bookmarkStart w:id="545" w:name="Tc_4yu12k4Qtk-6YcF4ykUeZw_4_17"/>
      <w:bookmarkStart w:id="546" w:name="Tc_TBJrRz0SdEGe72AKAyMYSw_4_14"/>
      <w:bookmarkStart w:id="547" w:name="Tc_ky9pMJ6GMUOkdupkAxqTbg_4_11"/>
      <w:bookmarkStart w:id="548" w:name="Tc_sOlpxn-HgEObqZhxGA-oEg_4_8"/>
      <w:bookmarkStart w:id="549" w:name="Tc_jcjk5TQ7c0uCACvH6YW8mA_4_5"/>
      <w:bookmarkStart w:id="550" w:name="Tc_HDEMlSSP-Ee4jMjwPjFzvA_4_2"/>
      <w:bookmarkStart w:id="551" w:name="Tc_jAE_U-0NK0-v8LsV8ZDsPA_3_23"/>
      <w:bookmarkStart w:id="552" w:name="Tc_dJ8ZULbXX0yptoGdgHRf7A_3_20"/>
      <w:bookmarkStart w:id="553" w:name="Tc_XNjIgzuzm0W4DCZgfsJy0Q_3_17"/>
      <w:bookmarkStart w:id="554" w:name="Tc_XguA-6TtwkGeefmFuk6DfA_3_14"/>
      <w:bookmarkStart w:id="555" w:name="Tc_pGP4BqehfkKux5aKRApQuA_3_11"/>
      <w:bookmarkStart w:id="556" w:name="Tc_TJVDTbU8uUC5dSnVJM3v-Q_3_8"/>
      <w:bookmarkStart w:id="557" w:name="Tc_xYLVFsNElUOjj2o8ZJnVCA_3_2"/>
      <w:bookmarkStart w:id="558" w:name="Tc_OXzYQhBZ0kOnDYRKIQMZ-g_2_20"/>
      <w:bookmarkStart w:id="559" w:name="Tc_ElStfjD6mk-_gDjzWpX-cg_2_11"/>
      <w:bookmarkStart w:id="560" w:name="Tc_KbzR1m9FOEeVUBBZsLurKA_2_8"/>
      <w:bookmarkStart w:id="561" w:name="Tc_VySZmcFDOUaMPF6y1_L3wA_2_2"/>
      <w:bookmarkStart w:id="562" w:name="Tc_nKSvQs0Uk0iOueo--ER-sQ_1_11"/>
      <w:bookmarkStart w:id="563" w:name="Tc_VOO0DU4hWkaO8taMRHq6ug_1_2"/>
      <w:bookmarkStart w:id="564" w:name="_5abc9c47_b66c_4000_951e_b413024fdce8"/>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tbl>
      <w:tblPr>
        <w:tblW w:w="10205" w:type="dxa"/>
        <w:jc w:val="left"/>
        <w:tblInd w:w="0" w:type="dxa"/>
        <w:tblCellMar>
          <w:top w:w="0" w:type="dxa"/>
          <w:left w:w="0" w:type="dxa"/>
          <w:bottom w:w="0" w:type="dxa"/>
          <w:right w:w="0" w:type="dxa"/>
        </w:tblCellMar>
      </w:tblPr>
      <w:tblGrid>
        <w:gridCol w:w="2277"/>
        <w:gridCol w:w="109"/>
        <w:gridCol w:w="112"/>
        <w:gridCol w:w="527"/>
        <w:gridCol w:w="112"/>
        <w:gridCol w:w="202"/>
        <w:gridCol w:w="527"/>
        <w:gridCol w:w="109"/>
        <w:gridCol w:w="325"/>
        <w:gridCol w:w="576"/>
        <w:gridCol w:w="109"/>
        <w:gridCol w:w="310"/>
        <w:gridCol w:w="906"/>
        <w:gridCol w:w="109"/>
        <w:gridCol w:w="332"/>
        <w:gridCol w:w="434"/>
        <w:gridCol w:w="109"/>
        <w:gridCol w:w="325"/>
        <w:gridCol w:w="726"/>
        <w:gridCol w:w="109"/>
        <w:gridCol w:w="384"/>
        <w:gridCol w:w="562"/>
        <w:gridCol w:w="109"/>
        <w:gridCol w:w="196"/>
        <w:gridCol w:w="609"/>
      </w:tblGrid>
      <w:tr>
        <w:trPr/>
        <w:tc>
          <w:tcPr>
            <w:tcW w:w="2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45895" cy="175260"/>
                      <wp:effectExtent l="0" t="0" r="0" b="0"/>
                      <wp:wrapNone/>
                      <wp:docPr id="33" name="Frame33"/>
                      <a:graphic xmlns:a="http://schemas.openxmlformats.org/drawingml/2006/main">
                        <a:graphicData uri="http://schemas.microsoft.com/office/word/2010/wordprocessingShape">
                          <wps:wsp>
                            <wps:cNvSpPr txBox="1"/>
                            <wps:spPr>
                              <a:xfrm>
                                <a:off x="0" y="0"/>
                                <a:ext cx="144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9215" cy="175260"/>
                      <wp:effectExtent l="0" t="0" r="0" b="0"/>
                      <wp:wrapNone/>
                      <wp:docPr id="34" name="Frame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1120" cy="175260"/>
                      <wp:effectExtent l="0" t="0" r="0" b="0"/>
                      <wp:wrapNone/>
                      <wp:docPr id="35" name="Frame35"/>
                      <a:graphic xmlns:a="http://schemas.openxmlformats.org/drawingml/2006/main">
                        <a:graphicData uri="http://schemas.microsoft.com/office/word/2010/wordprocessingShape">
                          <wps:wsp>
                            <wps:cNvSpPr txBox="1"/>
                            <wps:spPr>
                              <a:xfrm>
                                <a:off x="0" y="0"/>
                                <a:ext cx="71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34645" cy="175260"/>
                      <wp:effectExtent l="0" t="0" r="0" b="0"/>
                      <wp:wrapNone/>
                      <wp:docPr id="36" name="Frame36"/>
                      <a:graphic xmlns:a="http://schemas.openxmlformats.org/drawingml/2006/main">
                        <a:graphicData uri="http://schemas.microsoft.com/office/word/2010/wordprocessingShape">
                          <wps:wsp>
                            <wps:cNvSpPr txBox="1"/>
                            <wps:spPr>
                              <a:xfrm>
                                <a:off x="0" y="0"/>
                                <a:ext cx="334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71120" cy="175260"/>
                      <wp:effectExtent l="0" t="0" r="0" b="0"/>
                      <wp:wrapNone/>
                      <wp:docPr id="37" name="Frame37"/>
                      <a:graphic xmlns:a="http://schemas.openxmlformats.org/drawingml/2006/main">
                        <a:graphicData uri="http://schemas.microsoft.com/office/word/2010/wordprocessingShape">
                          <wps:wsp>
                            <wps:cNvSpPr txBox="1"/>
                            <wps:spPr>
                              <a:xfrm>
                                <a:off x="0" y="0"/>
                                <a:ext cx="71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8270" cy="175260"/>
                      <wp:effectExtent l="0" t="0" r="0" b="0"/>
                      <wp:wrapNone/>
                      <wp:docPr id="38" name="Frame38"/>
                      <a:graphic xmlns:a="http://schemas.openxmlformats.org/drawingml/2006/main">
                        <a:graphicData uri="http://schemas.microsoft.com/office/word/2010/wordprocessingShape">
                          <wps:wsp>
                            <wps:cNvSpPr txBox="1"/>
                            <wps:spPr>
                              <a:xfrm>
                                <a:off x="0" y="0"/>
                                <a:ext cx="128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34645" cy="175260"/>
                      <wp:effectExtent l="0" t="0" r="0" b="0"/>
                      <wp:wrapNone/>
                      <wp:docPr id="39" name="Frame39"/>
                      <a:graphic xmlns:a="http://schemas.openxmlformats.org/drawingml/2006/main">
                        <a:graphicData uri="http://schemas.microsoft.com/office/word/2010/wordprocessingShape">
                          <wps:wsp>
                            <wps:cNvSpPr txBox="1"/>
                            <wps:spPr>
                              <a:xfrm>
                                <a:off x="0" y="0"/>
                                <a:ext cx="334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6375" cy="175260"/>
                      <wp:effectExtent l="0" t="0" r="0" b="0"/>
                      <wp:wrapNone/>
                      <wp:docPr id="41" name="Frame41"/>
                      <a:graphic xmlns:a="http://schemas.openxmlformats.org/drawingml/2006/main">
                        <a:graphicData uri="http://schemas.microsoft.com/office/word/2010/wordprocessingShape">
                          <wps:wsp>
                            <wps:cNvSpPr txBox="1"/>
                            <wps:spPr>
                              <a:xfrm>
                                <a:off x="0" y="0"/>
                                <a:ext cx="206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65760" cy="175260"/>
                      <wp:effectExtent l="0" t="0" r="0" b="0"/>
                      <wp:wrapNone/>
                      <wp:docPr id="42" name="Frame42"/>
                      <a:graphic xmlns:a="http://schemas.openxmlformats.org/drawingml/2006/main">
                        <a:graphicData uri="http://schemas.microsoft.com/office/word/2010/wordprocessingShape">
                          <wps:wsp>
                            <wps:cNvSpPr txBox="1"/>
                            <wps:spPr>
                              <a:xfrm>
                                <a:off x="0" y="0"/>
                                <a:ext cx="365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96850" cy="175260"/>
                      <wp:effectExtent l="0" t="0" r="0" b="0"/>
                      <wp:wrapNone/>
                      <wp:docPr id="44" name="Frame44"/>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75310" cy="175260"/>
                      <wp:effectExtent l="0" t="0" r="0" b="0"/>
                      <wp:wrapNone/>
                      <wp:docPr id="45" name="Frame45"/>
                      <a:graphic xmlns:a="http://schemas.openxmlformats.org/drawingml/2006/main">
                        <a:graphicData uri="http://schemas.microsoft.com/office/word/2010/wordprocessingShape">
                          <wps:wsp>
                            <wps:cNvSpPr txBox="1"/>
                            <wps:spPr>
                              <a:xfrm>
                                <a:off x="0" y="0"/>
                                <a:ext cx="575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0820" cy="175260"/>
                      <wp:effectExtent l="0" t="0" r="0" b="0"/>
                      <wp:wrapNone/>
                      <wp:docPr id="47" name="Frame47"/>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75590" cy="175260"/>
                      <wp:effectExtent l="0" t="0" r="0" b="0"/>
                      <wp:wrapNone/>
                      <wp:docPr id="48" name="Frame48"/>
                      <a:graphic xmlns:a="http://schemas.openxmlformats.org/drawingml/2006/main">
                        <a:graphicData uri="http://schemas.microsoft.com/office/word/2010/wordprocessingShape">
                          <wps:wsp>
                            <wps:cNvSpPr txBox="1"/>
                            <wps:spPr>
                              <a:xfrm>
                                <a:off x="0" y="0"/>
                                <a:ext cx="275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6375" cy="175260"/>
                      <wp:effectExtent l="0" t="0" r="0" b="0"/>
                      <wp:wrapNone/>
                      <wp:docPr id="50" name="Frame50"/>
                      <a:graphic xmlns:a="http://schemas.openxmlformats.org/drawingml/2006/main">
                        <a:graphicData uri="http://schemas.microsoft.com/office/word/2010/wordprocessingShape">
                          <wps:wsp>
                            <wps:cNvSpPr txBox="1"/>
                            <wps:spPr>
                              <a:xfrm>
                                <a:off x="0" y="0"/>
                                <a:ext cx="206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61010" cy="175260"/>
                      <wp:effectExtent l="0" t="0" r="0" b="0"/>
                      <wp:wrapNone/>
                      <wp:docPr id="51" name="Frame51"/>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43840" cy="175260"/>
                      <wp:effectExtent l="0" t="0" r="0" b="0"/>
                      <wp:wrapNone/>
                      <wp:docPr id="53" name="Frame53"/>
                      <a:graphic xmlns:a="http://schemas.openxmlformats.org/drawingml/2006/main">
                        <a:graphicData uri="http://schemas.microsoft.com/office/word/2010/wordprocessingShape">
                          <wps:wsp>
                            <wps:cNvSpPr txBox="1"/>
                            <wps:spPr>
                              <a:xfrm>
                                <a:off x="0" y="0"/>
                                <a:ext cx="243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56870" cy="175260"/>
                      <wp:effectExtent l="0" t="0" r="0" b="0"/>
                      <wp:wrapNone/>
                      <wp:docPr id="54" name="Frame54"/>
                      <a:graphic xmlns:a="http://schemas.openxmlformats.org/drawingml/2006/main">
                        <a:graphicData uri="http://schemas.microsoft.com/office/word/2010/wordprocessingShape">
                          <wps:wsp>
                            <wps:cNvSpPr txBox="1"/>
                            <wps:spPr>
                              <a:xfrm>
                                <a:off x="0" y="0"/>
                                <a:ext cx="356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24460" cy="175260"/>
                      <wp:effectExtent l="0" t="0" r="0" b="0"/>
                      <wp:wrapNone/>
                      <wp:docPr id="56" name="Frame5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86715" cy="175260"/>
                      <wp:effectExtent l="0" t="0" r="0" b="0"/>
                      <wp:wrapNone/>
                      <wp:docPr id="57" name="Frame57"/>
                      <a:graphic xmlns:a="http://schemas.openxmlformats.org/drawingml/2006/main">
                        <a:graphicData uri="http://schemas.microsoft.com/office/word/2010/wordprocessingShape">
                          <wps:wsp>
                            <wps:cNvSpPr txBox="1"/>
                            <wps:spPr>
                              <a:xfrm>
                                <a:off x="0" y="0"/>
                                <a:ext cx="386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8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shd w:fill="auto" w:val="clear"/>
            <w:vAlign w:val="center"/>
          </w:tcPr>
          <w:p>
            <w:pPr>
              <w:pStyle w:val="TableContents"/>
              <w:spacing w:before="0" w:after="0"/>
              <w:ind w:left="0" w:right="0" w:hanging="0"/>
              <w:jc w:val="center"/>
              <w:rPr/>
            </w:pPr>
            <w:r>
              <w:rPr/>
              <w:t>​</w:t>
            </w:r>
          </w:p>
        </w:tc>
        <w:tc>
          <w:tcPr>
            <w:tcW w:w="325" w:type="dxa"/>
            <w:tcBorders/>
            <w:shd w:fill="auto" w:val="clear"/>
            <w:vAlign w:val="center"/>
          </w:tcPr>
          <w:p>
            <w:pPr>
              <w:pStyle w:val="TableContents"/>
              <w:spacing w:before="0" w:after="0"/>
              <w:ind w:left="0" w:right="0" w:hanging="0"/>
              <w:jc w:val="center"/>
              <w:rPr/>
            </w:pPr>
            <w:r>
              <w:rPr/>
              <w:t>​</w:t>
            </w:r>
          </w:p>
        </w:tc>
        <w:tc>
          <w:tcPr>
            <w:tcW w:w="57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9" w:type="dxa"/>
            <w:tcBorders/>
            <w:shd w:fill="auto" w:val="clear"/>
            <w:vAlign w:val="center"/>
          </w:tcPr>
          <w:p>
            <w:pPr>
              <w:pStyle w:val="TableContents"/>
              <w:spacing w:before="0" w:after="0"/>
              <w:ind w:left="0" w:right="0" w:hanging="0"/>
              <w:jc w:val="center"/>
              <w:rPr/>
            </w:pPr>
            <w:r>
              <w:rPr/>
              <w:t>​</w:t>
            </w:r>
          </w:p>
        </w:tc>
      </w:tr>
      <w:tr>
        <w:trPr/>
        <w:tc>
          <w:tcPr>
            <w:tcW w:w="2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8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jc w:val="center"/>
              <w:rPr/>
            </w:pPr>
            <w:r>
              <w:rPr/>
              <w:t>​</w:t>
            </w:r>
          </w:p>
        </w:tc>
        <w:tc>
          <w:tcPr>
            <w:tcW w:w="72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09" w:type="dxa"/>
            <w:tcBorders/>
            <w:shd w:fill="auto" w:val="clear"/>
            <w:vAlign w:val="center"/>
          </w:tcPr>
          <w:p>
            <w:pPr>
              <w:pStyle w:val="TableContents"/>
              <w:spacing w:before="0" w:after="0"/>
              <w:ind w:left="0" w:right="0" w:hanging="0"/>
              <w:jc w:val="center"/>
              <w:rPr/>
            </w:pPr>
            <w:r>
              <w:rPr/>
              <w:t>​</w:t>
            </w:r>
          </w:p>
        </w:tc>
      </w:tr>
      <w:tr>
        <w:trPr/>
        <w:tc>
          <w:tcPr>
            <w:tcW w:w="227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Parent </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shd w:fill="auto" w:val="clear"/>
            <w:vAlign w:val="center"/>
          </w:tcPr>
          <w:p>
            <w:pPr>
              <w:pStyle w:val="TableContents"/>
              <w:spacing w:before="0" w:after="0"/>
              <w:ind w:left="0" w:right="0" w:hanging="0"/>
              <w:rPr/>
            </w:pPr>
            <w:r>
              <w:rPr/>
              <w:t>​</w:t>
            </w:r>
          </w:p>
        </w:tc>
        <w:tc>
          <w:tcPr>
            <w:tcW w:w="8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7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6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12" w:type="dxa"/>
            <w:tcBorders/>
            <w:shd w:fill="auto" w:val="clear"/>
            <w:vAlign w:val="center"/>
          </w:tcPr>
          <w:p>
            <w:pPr>
              <w:pStyle w:val="TableContents"/>
              <w:spacing w:before="0" w:after="0"/>
              <w:ind w:left="0" w:right="0" w:hanging="0"/>
              <w:rPr/>
            </w:pPr>
            <w:r>
              <w:rPr/>
              <w:t>​</w:t>
            </w:r>
          </w:p>
        </w:tc>
        <w:tc>
          <w:tcPr>
            <w:tcW w:w="72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0"/>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109" w:type="dxa"/>
            <w:tcBorders/>
            <w:shd w:fill="auto" w:val="clear"/>
            <w:vAlign w:val="center"/>
          </w:tcPr>
          <w:p>
            <w:pPr>
              <w:pStyle w:val="TableContents"/>
              <w:spacing w:before="0" w:after="0"/>
              <w:ind w:left="0" w:right="0" w:hanging="0"/>
              <w:rPr/>
            </w:pPr>
            <w:r>
              <w:rPr/>
              <w:t>​</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shd w:fill="auto" w:val="clear"/>
            <w:vAlign w:val="center"/>
          </w:tcPr>
          <w:p>
            <w:pPr>
              <w:pStyle w:val="TableContents"/>
              <w:spacing w:before="0" w:after="0"/>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0"/>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shd w:fill="auto" w:val="clear"/>
            <w:vAlign w:val="center"/>
          </w:tcPr>
          <w:p>
            <w:pPr>
              <w:pStyle w:val="TableContents"/>
              <w:spacing w:before="0" w:after="0"/>
              <w:ind w:left="0" w:right="0" w:hanging="0"/>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shd w:fill="auto" w:val="clear"/>
            <w:vAlign w:val="center"/>
          </w:tcPr>
          <w:p>
            <w:pPr>
              <w:pStyle w:val="TableContents"/>
              <w:spacing w:before="0" w:after="0"/>
              <w:ind w:left="0" w:right="0" w:hanging="0"/>
              <w:rPr/>
            </w:pPr>
            <w:r>
              <w:rPr/>
              <w:t>​</w:t>
            </w:r>
          </w:p>
        </w:tc>
        <w:tc>
          <w:tcPr>
            <w:tcW w:w="8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277"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Equity - January 1, 2022</w:t>
            </w:r>
          </w:p>
        </w:tc>
        <w:tc>
          <w:tcPr>
            <w:tcW w:w="109" w:type="dxa"/>
            <w:tcBorders/>
            <w:shd w:fill="CCEEFF" w:val="clear"/>
            <w:vAlign w:val="center"/>
          </w:tcPr>
          <w:p>
            <w:pPr>
              <w:pStyle w:val="TableContents"/>
              <w:spacing w:before="0" w:after="0"/>
              <w:ind w:left="0" w:right="0" w:hanging="0"/>
              <w:rPr/>
            </w:pPr>
            <w:r>
              <w:rPr/>
              <w:t>​</w:t>
            </w:r>
          </w:p>
        </w:tc>
        <w:tc>
          <w:tcPr>
            <w:tcW w:w="112" w:type="dxa"/>
            <w:tcBorders/>
            <w:shd w:fill="CCEEFF" w:val="clear"/>
            <w:vAlign w:val="center"/>
          </w:tcPr>
          <w:p>
            <w:pPr>
              <w:pStyle w:val="TableContents"/>
              <w:spacing w:before="0" w:after="0"/>
              <w:ind w:left="0" w:right="0" w:hanging="0"/>
              <w:rPr/>
            </w:pPr>
            <w:r>
              <w:rPr/>
              <w:t>​</w:t>
            </w:r>
          </w:p>
        </w:tc>
        <w:tc>
          <w:tcPr>
            <w:tcW w:w="5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224.2</w:t>
            </w:r>
          </w:p>
        </w:tc>
        <w:tc>
          <w:tcPr>
            <w:tcW w:w="112" w:type="dxa"/>
            <w:tcBorders/>
            <w:shd w:fill="CCEEFF" w:val="clear"/>
            <w:vAlign w:val="center"/>
          </w:tcPr>
          <w:p>
            <w:pPr>
              <w:pStyle w:val="TableContents"/>
              <w:spacing w:before="0" w:after="0"/>
              <w:ind w:left="0" w:right="0" w:hanging="0"/>
              <w:rPr/>
            </w:pPr>
            <w:r>
              <w:rPr/>
              <w:t>​</w:t>
            </w:r>
          </w:p>
        </w:tc>
        <w:tc>
          <w:tcPr>
            <w:tcW w:w="20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4,284</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7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(1,143)</w:t>
            </w:r>
          </w:p>
        </w:tc>
        <w:tc>
          <w:tcPr>
            <w:tcW w:w="109" w:type="dxa"/>
            <w:tcBorders/>
            <w:shd w:fill="CCEEFF" w:val="clear"/>
            <w:vAlign w:val="center"/>
          </w:tcPr>
          <w:p>
            <w:pPr>
              <w:pStyle w:val="TableContents"/>
              <w:spacing w:before="0" w:after="0"/>
              <w:ind w:left="0" w:right="0" w:hanging="0"/>
              <w:rPr/>
            </w:pPr>
            <w:r>
              <w:rPr/>
              <w:t>​</w:t>
            </w:r>
          </w:p>
        </w:tc>
        <w:tc>
          <w:tcPr>
            <w:tcW w:w="332"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(375)</w:t>
            </w:r>
          </w:p>
        </w:tc>
        <w:tc>
          <w:tcPr>
            <w:tcW w:w="109"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2,767</w:t>
            </w:r>
          </w:p>
        </w:tc>
      </w:tr>
      <w:tr>
        <w:trPr/>
        <w:tc>
          <w:tcPr>
            <w:tcW w:w="227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(loss)</w:t>
            </w:r>
          </w:p>
        </w:tc>
        <w:tc>
          <w:tcPr>
            <w:tcW w:w="109" w:type="dxa"/>
            <w:tcBorders/>
            <w:shd w:fill="auto" w:val="clear"/>
            <w:vAlign w:val="center"/>
          </w:tcPr>
          <w:p>
            <w:pPr>
              <w:pStyle w:val="TableContents"/>
              <w:spacing w:before="0" w:after="0"/>
              <w:ind w:left="0" w:right="0" w:hanging="0"/>
              <w:rPr/>
            </w:pPr>
            <w:r>
              <w:rPr/>
              <w:t>​</w:t>
            </w:r>
          </w:p>
        </w:tc>
        <w:tc>
          <w:tcPr>
            <w:tcW w:w="112" w:type="dxa"/>
            <w:tcBorders/>
            <w:shd w:fill="auto" w:val="clear"/>
            <w:vAlign w:val="center"/>
          </w:tcPr>
          <w:p>
            <w:pPr>
              <w:pStyle w:val="TableContents"/>
              <w:spacing w:before="0" w:after="0"/>
              <w:ind w:left="0" w:right="0" w:hanging="0"/>
              <w:rPr/>
            </w:pPr>
            <w:r>
              <w:rPr/>
              <w:t>​</w:t>
            </w:r>
          </w:p>
        </w:tc>
        <w:tc>
          <w:tcPr>
            <w:tcW w:w="527" w:type="dxa"/>
            <w:tcBorders/>
            <w:shd w:fill="auto" w:val="clear"/>
            <w:vAlign w:val="center"/>
          </w:tcPr>
          <w:p>
            <w:pPr>
              <w:pStyle w:val="TableContents"/>
              <w:spacing w:before="0" w:after="0"/>
              <w:ind w:left="0" w:right="0" w:hanging="0"/>
              <w:rPr/>
            </w:pPr>
            <w:r>
              <w:rPr/>
              <w:t>​</w:t>
            </w:r>
          </w:p>
        </w:tc>
        <w:tc>
          <w:tcPr>
            <w:tcW w:w="112" w:type="dxa"/>
            <w:tcBorders/>
            <w:shd w:fill="auto" w:val="clear"/>
            <w:vAlign w:val="center"/>
          </w:tcPr>
          <w:p>
            <w:pPr>
              <w:pStyle w:val="TableContents"/>
              <w:spacing w:before="0" w:after="0"/>
              <w:ind w:left="0" w:right="0" w:hanging="0"/>
              <w:rPr/>
            </w:pPr>
            <w:r>
              <w:rPr/>
              <w:t>​</w:t>
            </w:r>
          </w:p>
        </w:tc>
        <w:tc>
          <w:tcPr>
            <w:tcW w:w="202" w:type="dxa"/>
            <w:tcBorders/>
            <w:shd w:fill="auto" w:val="clear"/>
            <w:vAlign w:val="center"/>
          </w:tcPr>
          <w:p>
            <w:pPr>
              <w:pStyle w:val="TableContents"/>
              <w:spacing w:before="0" w:after="0"/>
              <w:ind w:left="0" w:right="0" w:hanging="0"/>
              <w:rPr/>
            </w:pPr>
            <w:r>
              <w:rPr/>
              <w:t>​</w:t>
            </w:r>
          </w:p>
        </w:tc>
        <w:tc>
          <w:tcPr>
            <w:tcW w:w="527"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5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32" w:type="dxa"/>
            <w:tcBorders/>
            <w:shd w:fill="auto" w:val="clear"/>
            <w:vAlign w:val="center"/>
          </w:tcPr>
          <w:p>
            <w:pPr>
              <w:pStyle w:val="TableContents"/>
              <w:spacing w:before="0" w:after="0"/>
              <w:ind w:left="0" w:right="0" w:hanging="0"/>
              <w:rPr/>
            </w:pPr>
            <w:r>
              <w:rPr/>
              <w:t>​</w:t>
            </w:r>
          </w:p>
        </w:tc>
        <w:tc>
          <w:tcPr>
            <w:tcW w:w="4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109"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r>
      <w:tr>
        <w:trPr/>
        <w:tc>
          <w:tcPr>
            <w:tcW w:w="227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spacing w:before="0" w:after="0"/>
              <w:ind w:left="0" w:right="0" w:hanging="0"/>
              <w:rPr/>
            </w:pPr>
            <w:r>
              <w:rPr/>
              <w:t>​</w:t>
            </w:r>
          </w:p>
        </w:tc>
        <w:tc>
          <w:tcPr>
            <w:tcW w:w="112" w:type="dxa"/>
            <w:tcBorders/>
            <w:shd w:fill="CCEEFF" w:val="clear"/>
            <w:vAlign w:val="center"/>
          </w:tcPr>
          <w:p>
            <w:pPr>
              <w:pStyle w:val="TableContents"/>
              <w:spacing w:before="0" w:after="0"/>
              <w:ind w:left="0" w:right="0" w:hanging="0"/>
              <w:rPr/>
            </w:pPr>
            <w:r>
              <w:rPr/>
              <w:t>​</w:t>
            </w:r>
          </w:p>
        </w:tc>
        <w:tc>
          <w:tcPr>
            <w:tcW w:w="527" w:type="dxa"/>
            <w:tcBorders/>
            <w:shd w:fill="CCEEFF" w:val="clear"/>
            <w:vAlign w:val="center"/>
          </w:tcPr>
          <w:p>
            <w:pPr>
              <w:pStyle w:val="TableContents"/>
              <w:spacing w:before="0" w:after="0"/>
              <w:ind w:left="0" w:right="0" w:hanging="0"/>
              <w:rPr/>
            </w:pPr>
            <w:r>
              <w:rPr/>
              <w:t>​</w:t>
            </w:r>
          </w:p>
        </w:tc>
        <w:tc>
          <w:tcPr>
            <w:tcW w:w="112" w:type="dxa"/>
            <w:tcBorders/>
            <w:shd w:fill="CCEEFF" w:val="clear"/>
            <w:vAlign w:val="center"/>
          </w:tcPr>
          <w:p>
            <w:pPr>
              <w:pStyle w:val="TableContents"/>
              <w:spacing w:before="0" w:after="0"/>
              <w:ind w:left="0" w:right="0" w:hanging="0"/>
              <w:rPr/>
            </w:pPr>
            <w:r>
              <w:rPr/>
              <w:t>​</w:t>
            </w:r>
          </w:p>
        </w:tc>
        <w:tc>
          <w:tcPr>
            <w:tcW w:w="202" w:type="dxa"/>
            <w:tcBorders/>
            <w:shd w:fill="CCEEFF" w:val="clear"/>
            <w:vAlign w:val="center"/>
          </w:tcPr>
          <w:p>
            <w:pPr>
              <w:pStyle w:val="TableContents"/>
              <w:spacing w:before="0" w:after="0"/>
              <w:ind w:left="0" w:right="0" w:hanging="0"/>
              <w:rPr/>
            </w:pPr>
            <w:r>
              <w:rPr/>
              <w:t>​</w:t>
            </w:r>
          </w:p>
        </w:tc>
        <w:tc>
          <w:tcPr>
            <w:tcW w:w="52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pPr>
            <w:r>
              <w:rPr/>
              <w:t>​</w:t>
            </w:r>
          </w:p>
        </w:tc>
        <w:tc>
          <w:tcPr>
            <w:tcW w:w="5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90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109" w:type="dxa"/>
            <w:tcBorders/>
            <w:shd w:fill="CCEEFF" w:val="clear"/>
            <w:vAlign w:val="center"/>
          </w:tcPr>
          <w:p>
            <w:pPr>
              <w:pStyle w:val="TableContents"/>
              <w:spacing w:before="0" w:after="0"/>
              <w:ind w:left="0" w:right="0" w:hanging="0"/>
              <w:rPr/>
            </w:pPr>
            <w:r>
              <w:rPr/>
              <w:t>​</w:t>
            </w:r>
          </w:p>
        </w:tc>
        <w:tc>
          <w:tcPr>
            <w:tcW w:w="332" w:type="dxa"/>
            <w:tcBorders/>
            <w:shd w:fill="CCEEFF" w:val="clear"/>
            <w:vAlign w:val="center"/>
          </w:tcPr>
          <w:p>
            <w:pPr>
              <w:pStyle w:val="TableContents"/>
              <w:spacing w:before="0" w:after="0"/>
              <w:ind w:left="0" w:right="0" w:hanging="0"/>
              <w:rPr/>
            </w:pPr>
            <w:r>
              <w:rPr/>
              <w:t>​</w:t>
            </w:r>
          </w:p>
        </w:tc>
        <w:tc>
          <w:tcPr>
            <w:tcW w:w="434"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pPr>
            <w:r>
              <w:rPr/>
              <w:t>​</w:t>
            </w:r>
          </w:p>
        </w:tc>
        <w:tc>
          <w:tcPr>
            <w:tcW w:w="5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r>
      <w:tr>
        <w:trPr/>
        <w:tc>
          <w:tcPr>
            <w:tcW w:w="227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Common stock issued under employee plans</w:t>
            </w:r>
          </w:p>
        </w:tc>
        <w:tc>
          <w:tcPr>
            <w:tcW w:w="109" w:type="dxa"/>
            <w:tcBorders/>
            <w:shd w:fill="auto" w:val="clear"/>
            <w:vAlign w:val="center"/>
          </w:tcPr>
          <w:p>
            <w:pPr>
              <w:pStyle w:val="TableContents"/>
              <w:spacing w:before="0" w:after="0"/>
              <w:ind w:left="0" w:right="0" w:hanging="0"/>
              <w:rPr/>
            </w:pPr>
            <w:r>
              <w:rPr/>
              <w:t>​</w:t>
            </w:r>
          </w:p>
        </w:tc>
        <w:tc>
          <w:tcPr>
            <w:tcW w:w="112" w:type="dxa"/>
            <w:tcBorders/>
            <w:shd w:fill="auto" w:val="clear"/>
            <w:vAlign w:val="center"/>
          </w:tcPr>
          <w:p>
            <w:pPr>
              <w:pStyle w:val="TableContents"/>
              <w:spacing w:before="0" w:after="0"/>
              <w:ind w:left="0" w:right="0" w:hanging="0"/>
              <w:rPr/>
            </w:pPr>
            <w:r>
              <w:rPr/>
              <w:t>​</w:t>
            </w:r>
          </w:p>
        </w:tc>
        <w:tc>
          <w:tcPr>
            <w:tcW w:w="5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0.5</w:t>
            </w:r>
          </w:p>
        </w:tc>
        <w:tc>
          <w:tcPr>
            <w:tcW w:w="112" w:type="dxa"/>
            <w:tcBorders/>
            <w:shd w:fill="auto" w:val="clear"/>
            <w:vAlign w:val="center"/>
          </w:tcPr>
          <w:p>
            <w:pPr>
              <w:pStyle w:val="TableContents"/>
              <w:spacing w:before="0" w:after="0"/>
              <w:ind w:left="0" w:right="0" w:hanging="0"/>
              <w:rPr/>
            </w:pPr>
            <w:r>
              <w:rPr/>
              <w:t>​</w:t>
            </w:r>
          </w:p>
        </w:tc>
        <w:tc>
          <w:tcPr>
            <w:tcW w:w="202" w:type="dxa"/>
            <w:tcBorders/>
            <w:shd w:fill="auto" w:val="clear"/>
            <w:vAlign w:val="center"/>
          </w:tcPr>
          <w:p>
            <w:pPr>
              <w:pStyle w:val="TableContents"/>
              <w:spacing w:before="0" w:after="0"/>
              <w:ind w:left="0" w:right="0" w:hanging="0"/>
              <w:rPr/>
            </w:pPr>
            <w:r>
              <w:rPr/>
              <w:t>​</w:t>
            </w:r>
          </w:p>
        </w:tc>
        <w:tc>
          <w:tcPr>
            <w:tcW w:w="52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09"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5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0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32" w:type="dxa"/>
            <w:tcBorders/>
            <w:shd w:fill="auto" w:val="clear"/>
            <w:vAlign w:val="center"/>
          </w:tcPr>
          <w:p>
            <w:pPr>
              <w:pStyle w:val="TableContents"/>
              <w:spacing w:before="0" w:after="0"/>
              <w:ind w:left="0" w:right="0" w:hanging="0"/>
              <w:rPr/>
            </w:pPr>
            <w:r>
              <w:rPr/>
              <w:t>​</w:t>
            </w:r>
          </w:p>
        </w:tc>
        <w:tc>
          <w:tcPr>
            <w:tcW w:w="434"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562"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2277"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spacing w:before="0" w:after="0"/>
              <w:ind w:left="0" w:right="0" w:hanging="0"/>
              <w:rPr/>
            </w:pPr>
            <w:r>
              <w:rPr/>
              <w:t>​</w:t>
            </w:r>
          </w:p>
        </w:tc>
        <w:tc>
          <w:tcPr>
            <w:tcW w:w="112" w:type="dxa"/>
            <w:tcBorders/>
            <w:shd w:fill="CCEEFF" w:val="clear"/>
            <w:vAlign w:val="center"/>
          </w:tcPr>
          <w:p>
            <w:pPr>
              <w:pStyle w:val="TableContents"/>
              <w:spacing w:before="0" w:after="0"/>
              <w:ind w:left="0" w:right="0" w:hanging="0"/>
              <w:rPr/>
            </w:pPr>
            <w:r>
              <w:rPr/>
              <w:t>​</w:t>
            </w:r>
          </w:p>
        </w:tc>
        <w:tc>
          <w:tcPr>
            <w:tcW w:w="52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(0.2)</w:t>
            </w:r>
          </w:p>
        </w:tc>
        <w:tc>
          <w:tcPr>
            <w:tcW w:w="112" w:type="dxa"/>
            <w:tcBorders/>
            <w:shd w:fill="CCEEFF" w:val="clear"/>
            <w:vAlign w:val="center"/>
          </w:tcPr>
          <w:p>
            <w:pPr>
              <w:pStyle w:val="TableContents"/>
              <w:spacing w:before="0" w:after="0"/>
              <w:ind w:left="0" w:right="0" w:hanging="0"/>
              <w:rPr/>
            </w:pPr>
            <w:r>
              <w:rPr/>
              <w:t>​</w:t>
            </w:r>
          </w:p>
        </w:tc>
        <w:tc>
          <w:tcPr>
            <w:tcW w:w="202" w:type="dxa"/>
            <w:tcBorders/>
            <w:shd w:fill="CCEEFF" w:val="clear"/>
            <w:vAlign w:val="center"/>
          </w:tcPr>
          <w:p>
            <w:pPr>
              <w:pStyle w:val="TableContents"/>
              <w:spacing w:before="0" w:after="0"/>
              <w:ind w:left="0" w:right="0" w:hanging="0"/>
              <w:rPr/>
            </w:pPr>
            <w:r>
              <w:rPr/>
              <w:t>​</w:t>
            </w:r>
          </w:p>
        </w:tc>
        <w:tc>
          <w:tcPr>
            <w:tcW w:w="52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pPr>
            <w:r>
              <w:rPr/>
              <w:t>​</w:t>
            </w:r>
          </w:p>
        </w:tc>
        <w:tc>
          <w:tcPr>
            <w:tcW w:w="57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90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32" w:type="dxa"/>
            <w:tcBorders/>
            <w:shd w:fill="CCEEFF" w:val="clear"/>
            <w:vAlign w:val="center"/>
          </w:tcPr>
          <w:p>
            <w:pPr>
              <w:pStyle w:val="TableContents"/>
              <w:spacing w:before="0" w:after="0"/>
              <w:ind w:left="0" w:right="0" w:hanging="0"/>
              <w:rPr/>
            </w:pPr>
            <w:r>
              <w:rPr/>
              <w:t>​</w:t>
            </w:r>
          </w:p>
        </w:tc>
        <w:tc>
          <w:tcPr>
            <w:tcW w:w="434"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pPr>
            <w:r>
              <w:rPr/>
              <w:t>​</w:t>
            </w:r>
          </w:p>
        </w:tc>
        <w:tc>
          <w:tcPr>
            <w:tcW w:w="726"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pPr>
            <w:r>
              <w:rPr/>
              <w:t>​</w:t>
            </w:r>
          </w:p>
        </w:tc>
        <w:tc>
          <w:tcPr>
            <w:tcW w:w="562"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2277"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shd w:fill="auto" w:val="clear"/>
            <w:vAlign w:val="center"/>
          </w:tcPr>
          <w:p>
            <w:pPr>
              <w:pStyle w:val="TableContents"/>
              <w:spacing w:before="0" w:after="0"/>
              <w:ind w:left="0" w:right="0" w:hanging="0"/>
              <w:rPr/>
            </w:pPr>
            <w:r>
              <w:rPr/>
              <w:t>​</w:t>
            </w:r>
          </w:p>
        </w:tc>
        <w:tc>
          <w:tcPr>
            <w:tcW w:w="11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2" w:type="dxa"/>
            <w:tcBorders/>
            <w:shd w:fill="auto" w:val="clear"/>
            <w:vAlign w:val="center"/>
          </w:tcPr>
          <w:p>
            <w:pPr>
              <w:pStyle w:val="TableContents"/>
              <w:spacing w:before="0" w:after="0"/>
              <w:ind w:left="0" w:right="0" w:hanging="0"/>
              <w:rPr/>
            </w:pPr>
            <w:r>
              <w:rPr/>
              <w:t>​</w:t>
            </w:r>
          </w:p>
        </w:tc>
        <w:tc>
          <w:tcPr>
            <w:tcW w:w="20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2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2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7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1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3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3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2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38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6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0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91</w:t>
            </w:r>
          </w:p>
        </w:tc>
      </w:tr>
      <w:tr>
        <w:trPr/>
        <w:tc>
          <w:tcPr>
            <w:tcW w:w="2277"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Equity - March 31, 2022</w:t>
            </w:r>
          </w:p>
        </w:tc>
        <w:tc>
          <w:tcPr>
            <w:tcW w:w="109" w:type="dxa"/>
            <w:tcBorders/>
            <w:shd w:fill="CCEEFF" w:val="clear"/>
            <w:vAlign w:val="center"/>
          </w:tcPr>
          <w:p>
            <w:pPr>
              <w:pStyle w:val="TableContents"/>
              <w:spacing w:before="0" w:after="0"/>
              <w:ind w:left="0" w:right="0" w:hanging="0"/>
              <w:rPr/>
            </w:pPr>
            <w:r>
              <w:rPr/>
              <w:t>​</w:t>
            </w:r>
          </w:p>
        </w:tc>
        <w:tc>
          <w:tcPr>
            <w:tcW w:w="112"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5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224.5</w:t>
            </w:r>
          </w:p>
        </w:tc>
        <w:tc>
          <w:tcPr>
            <w:tcW w:w="112" w:type="dxa"/>
            <w:tcBorders/>
            <w:shd w:fill="CCEEFF" w:val="clear"/>
            <w:vAlign w:val="center"/>
          </w:tcPr>
          <w:p>
            <w:pPr>
              <w:pStyle w:val="TableContents"/>
              <w:spacing w:before="0" w:after="0"/>
              <w:ind w:left="0" w:right="0" w:hanging="0"/>
              <w:rPr/>
            </w:pPr>
            <w:r>
              <w:rPr/>
              <w:t>​</w:t>
            </w:r>
          </w:p>
        </w:tc>
        <w:tc>
          <w:tcPr>
            <w:tcW w:w="20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4,315</w:t>
            </w:r>
          </w:p>
        </w:tc>
        <w:tc>
          <w:tcPr>
            <w:tcW w:w="109" w:type="dxa"/>
            <w:tcBorders/>
            <w:shd w:fill="CCEEFF" w:val="clear"/>
            <w:vAlign w:val="center"/>
          </w:tcPr>
          <w:p>
            <w:pPr>
              <w:pStyle w:val="TableContents"/>
              <w:spacing w:before="0" w:after="0"/>
              <w:ind w:left="0" w:right="0" w:hanging="0"/>
              <w:rPr/>
            </w:pPr>
            <w:r>
              <w:rPr/>
              <w:t>​</w:t>
            </w:r>
          </w:p>
        </w:tc>
        <w:tc>
          <w:tcPr>
            <w:tcW w:w="3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1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(1,089)</w:t>
            </w:r>
          </w:p>
        </w:tc>
        <w:tc>
          <w:tcPr>
            <w:tcW w:w="109" w:type="dxa"/>
            <w:tcBorders/>
            <w:shd w:fill="CCEEFF" w:val="clear"/>
            <w:vAlign w:val="center"/>
          </w:tcPr>
          <w:p>
            <w:pPr>
              <w:pStyle w:val="TableContents"/>
              <w:spacing w:before="0" w:after="0"/>
              <w:ind w:left="0" w:right="0" w:hanging="0"/>
              <w:rPr/>
            </w:pPr>
            <w:r>
              <w:rPr/>
              <w:t>​</w:t>
            </w:r>
          </w:p>
        </w:tc>
        <w:tc>
          <w:tcPr>
            <w:tcW w:w="33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109" w:type="dxa"/>
            <w:tcBorders/>
            <w:shd w:fill="CCEEFF" w:val="clear"/>
            <w:vAlign w:val="center"/>
          </w:tcPr>
          <w:p>
            <w:pPr>
              <w:pStyle w:val="TableContents"/>
              <w:spacing w:before="0" w:after="0"/>
              <w:ind w:left="0" w:right="0" w:hanging="0"/>
              <w:rPr/>
            </w:pPr>
            <w:r>
              <w:rPr/>
              <w:t>​</w:t>
            </w:r>
          </w:p>
        </w:tc>
        <w:tc>
          <w:tcPr>
            <w:tcW w:w="3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(605)</w:t>
            </w:r>
          </w:p>
        </w:tc>
        <w:tc>
          <w:tcPr>
            <w:tcW w:w="109" w:type="dxa"/>
            <w:tcBorders/>
            <w:shd w:fill="CCEEFF" w:val="clear"/>
            <w:vAlign w:val="center"/>
          </w:tcPr>
          <w:p>
            <w:pPr>
              <w:pStyle w:val="TableContents"/>
              <w:spacing w:before="0" w:after="0"/>
              <w:ind w:left="0" w:right="0" w:hanging="0"/>
              <w:rPr/>
            </w:pPr>
            <w:r>
              <w:rPr/>
              <w:t>​</w:t>
            </w:r>
          </w:p>
        </w:tc>
        <w:tc>
          <w:tcPr>
            <w:tcW w:w="38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9" w:type="dxa"/>
            <w:tcBorders>
              <w:bottom w:val="double" w:sz="6" w:space="0" w:color="000000"/>
            </w:tcBorders>
            <w:shd w:fill="CCEEFF" w:val="clear"/>
            <w:tcMar>
              <w:bottom w:w="28" w:type="dxa"/>
            </w:tcMar>
            <w:vAlign w:val="center"/>
          </w:tcPr>
          <w:p>
            <w:pPr>
              <w:pStyle w:val="TableContents"/>
              <w:spacing w:before="0" w:after="0"/>
              <w:ind w:left="0" w:right="50" w:hanging="0"/>
              <w:jc w:val="right"/>
              <w:rPr>
                <w:rFonts w:ascii="Times New Roman;Times;serif" w:hAnsi="Times New Roman;Times;serif"/>
                <w:sz w:val="16"/>
              </w:rPr>
            </w:pPr>
            <w:r>
              <w:rPr>
                <w:rFonts w:ascii="Times New Roman;Times;serif" w:hAnsi="Times New Roman;Times;serif"/>
                <w:sz w:val="16"/>
              </w:rPr>
              <w:t>2,711</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565" w:name="Tc_24J-RrvIIU2HUGL9GAT8FA_10_23"/>
      <w:bookmarkStart w:id="566" w:name="Tc_SqLeYhws10-2MEPmgdQlVQ_10_20"/>
      <w:bookmarkStart w:id="567" w:name="Tc_UYhQnPUoqE2o3eDfhzxzZQ_10_18"/>
      <w:bookmarkStart w:id="568" w:name="Tc_EK-vZDvYtEya5TQW_Fnqcg_10_17"/>
      <w:bookmarkStart w:id="569" w:name="Tc_n1FjUe7mskKRZkhmc7jCLA_10_15"/>
      <w:bookmarkStart w:id="570" w:name="Tc_x0As5AgA6EK1jlaPnFwq0w_10_14"/>
      <w:bookmarkStart w:id="571" w:name="Tc_ofUpuWgXR0qObhnsqg9ocQ_10_11"/>
      <w:bookmarkStart w:id="572" w:name="Tc_91kn0nYgt0uBEVXGFVWItQ_10_8"/>
      <w:bookmarkStart w:id="573" w:name="Tc_0OGZZwfQhk2kXF32YewXZA_10_6"/>
      <w:bookmarkStart w:id="574" w:name="Tc_Y6j-UTRkmkyTQVpW2o9hEA_10_5"/>
      <w:bookmarkStart w:id="575" w:name="Tc_Z_pX97bk3kuepOs-wJUThQ_10_3"/>
      <w:bookmarkStart w:id="576" w:name="Tc_GO40VVLJz0C1PtgAy8xPrg_10_0"/>
      <w:bookmarkStart w:id="577" w:name="Tc_JQam5IpgZ0WROm7MTLZr3g_9_0"/>
      <w:bookmarkStart w:id="578" w:name="Tc_Xo1bxyTOfUuJudQsSIZBaw_8_0"/>
      <w:bookmarkStart w:id="579" w:name="Tc_ONMNtTozuUaOsP3FcS7_hw_7_0"/>
      <w:bookmarkStart w:id="580" w:name="Tc_M3YRPdddZE2SyDUU5RBe6A_6_0"/>
      <w:bookmarkStart w:id="581" w:name="Tc_Y6yNWQdUM0KrL7vPVsbQ3Q_5_23"/>
      <w:bookmarkStart w:id="582" w:name="Tc_FDuJroV8kUOE15OCgiKf7g_5_20"/>
      <w:bookmarkStart w:id="583" w:name="Tc_zpv5rexnvUqLub3w_imVuw_5_18"/>
      <w:bookmarkStart w:id="584" w:name="Tc_HKoILvXmS0W0fVP2UVc9vw_5_17"/>
      <w:bookmarkStart w:id="585" w:name="Tc_JeDNUye1j0uGVCKVTUYN9A_5_15"/>
      <w:bookmarkStart w:id="586" w:name="Tc_ah4m795TdE-tjCqXACC6TA_5_14"/>
      <w:bookmarkStart w:id="587" w:name="Tc_72zoeIeetUutZcrnF8hYtQ_5_11"/>
      <w:bookmarkStart w:id="588" w:name="Tc_eTKR70sG20qXKGBb6dOzdw_5_8"/>
      <w:bookmarkStart w:id="589" w:name="Tc_OAQPdFrbd0uRVBKWPaSyKg_5_6"/>
      <w:bookmarkStart w:id="590" w:name="Tc_YMHQsrm3HEmRYzqG5qdkRQ_5_5"/>
      <w:bookmarkStart w:id="591" w:name="Tc_UHZFWTMro0GNXm4jBQ5ZUQ_5_3"/>
      <w:bookmarkStart w:id="592" w:name="Tc_oBCge3VJzUGiBOZwRcHc-w_5_0"/>
      <w:bookmarkStart w:id="593" w:name="Tc_0e1m--PfzU6-C2XiFKQTdw_4_23"/>
      <w:bookmarkStart w:id="594" w:name="Tc_x4mDc5HMWUauF44ewdILDA_4_20"/>
      <w:bookmarkStart w:id="595" w:name="Tc_El-JqVtLT0K202ptygHy0w_4_17"/>
      <w:bookmarkStart w:id="596" w:name="Tc_kPweMLgfwUuAVEUH_lV9Bw_4_14"/>
      <w:bookmarkStart w:id="597" w:name="Tc_fZZkFtZso0SnHym7OZ2vbA_4_11"/>
      <w:bookmarkStart w:id="598" w:name="Tc_A_R2Dq-zU0eHkhJFwdY8mA_4_8"/>
      <w:bookmarkStart w:id="599" w:name="Tc_xrzAA6jUFEmvsfIYKnaZgQ_4_5"/>
      <w:bookmarkStart w:id="600" w:name="Tc_aKCN73lS7E2Q_Wh-hbMKqg_4_2"/>
      <w:bookmarkStart w:id="601" w:name="Tc_G9orDNFV-U6dEvgxkBI0og_3_23"/>
      <w:bookmarkStart w:id="602" w:name="Tc_cq4uXA_uQ06JE9u7awILXA_3_20"/>
      <w:bookmarkStart w:id="603" w:name="Tc_L0YQwW2Piky0MOu_veByAg_3_17"/>
      <w:bookmarkStart w:id="604" w:name="Tc__ha1HyuOWU-_O6ZIJEUSrA_3_14"/>
      <w:bookmarkStart w:id="605" w:name="Tc_H-ojp8nXEkuYgQTXCyK7JQ_3_11"/>
      <w:bookmarkStart w:id="606" w:name="Tc_HppNJHBwIkyLhWIShcL_AQ_3_8"/>
      <w:bookmarkStart w:id="607" w:name="Tc_c-cnRb7kBkq28XechlWz9A_3_2"/>
      <w:bookmarkStart w:id="608" w:name="Tc_lEZMEA9Js0Sw0tdolB78kg_2_20"/>
      <w:bookmarkStart w:id="609" w:name="Tc_XcRr0-SFlEq26884Sr4iHQ_2_11"/>
      <w:bookmarkStart w:id="610" w:name="Tc_A7eJNKIGLk6ndW_lC9vmNg_2_8"/>
      <w:bookmarkStart w:id="611" w:name="Tc_qGMaQQ8C4kqSOM92XEmeXg_2_2"/>
      <w:bookmarkStart w:id="612" w:name="Tc_ua8c5rK-sEqtDegodLp3-A_1_11"/>
      <w:bookmarkStart w:id="613" w:name="Tc_QwECc0ZwpEeSlMLimXIHaw_1_2"/>
      <w:bookmarkStart w:id="614" w:name="_493ccc99_bae8_400c_b2a7_d2d9aad19f49"/>
      <w:bookmarkStart w:id="615" w:name="Tc_24J-RrvIIU2HUGL9GAT8FA_10_23"/>
      <w:bookmarkStart w:id="616" w:name="Tc_SqLeYhws10-2MEPmgdQlVQ_10_20"/>
      <w:bookmarkStart w:id="617" w:name="Tc_UYhQnPUoqE2o3eDfhzxzZQ_10_18"/>
      <w:bookmarkStart w:id="618" w:name="Tc_EK-vZDvYtEya5TQW_Fnqcg_10_17"/>
      <w:bookmarkStart w:id="619" w:name="Tc_n1FjUe7mskKRZkhmc7jCLA_10_15"/>
      <w:bookmarkStart w:id="620" w:name="Tc_x0As5AgA6EK1jlaPnFwq0w_10_14"/>
      <w:bookmarkStart w:id="621" w:name="Tc_ofUpuWgXR0qObhnsqg9ocQ_10_11"/>
      <w:bookmarkStart w:id="622" w:name="Tc_91kn0nYgt0uBEVXGFVWItQ_10_8"/>
      <w:bookmarkStart w:id="623" w:name="Tc_0OGZZwfQhk2kXF32YewXZA_10_6"/>
      <w:bookmarkStart w:id="624" w:name="Tc_Y6j-UTRkmkyTQVpW2o9hEA_10_5"/>
      <w:bookmarkStart w:id="625" w:name="Tc_Z_pX97bk3kuepOs-wJUThQ_10_3"/>
      <w:bookmarkStart w:id="626" w:name="Tc_GO40VVLJz0C1PtgAy8xPrg_10_0"/>
      <w:bookmarkStart w:id="627" w:name="Tc_JQam5IpgZ0WROm7MTLZr3g_9_0"/>
      <w:bookmarkStart w:id="628" w:name="Tc_Xo1bxyTOfUuJudQsSIZBaw_8_0"/>
      <w:bookmarkStart w:id="629" w:name="Tc_ONMNtTozuUaOsP3FcS7_hw_7_0"/>
      <w:bookmarkStart w:id="630" w:name="Tc_M3YRPdddZE2SyDUU5RBe6A_6_0"/>
      <w:bookmarkStart w:id="631" w:name="Tc_Y6yNWQdUM0KrL7vPVsbQ3Q_5_23"/>
      <w:bookmarkStart w:id="632" w:name="Tc_FDuJroV8kUOE15OCgiKf7g_5_20"/>
      <w:bookmarkStart w:id="633" w:name="Tc_zpv5rexnvUqLub3w_imVuw_5_18"/>
      <w:bookmarkStart w:id="634" w:name="Tc_HKoILvXmS0W0fVP2UVc9vw_5_17"/>
      <w:bookmarkStart w:id="635" w:name="Tc_JeDNUye1j0uGVCKVTUYN9A_5_15"/>
      <w:bookmarkStart w:id="636" w:name="Tc_ah4m795TdE-tjCqXACC6TA_5_14"/>
      <w:bookmarkStart w:id="637" w:name="Tc_72zoeIeetUutZcrnF8hYtQ_5_11"/>
      <w:bookmarkStart w:id="638" w:name="Tc_eTKR70sG20qXKGBb6dOzdw_5_8"/>
      <w:bookmarkStart w:id="639" w:name="Tc_OAQPdFrbd0uRVBKWPaSyKg_5_6"/>
      <w:bookmarkStart w:id="640" w:name="Tc_YMHQsrm3HEmRYzqG5qdkRQ_5_5"/>
      <w:bookmarkStart w:id="641" w:name="Tc_UHZFWTMro0GNXm4jBQ5ZUQ_5_3"/>
      <w:bookmarkStart w:id="642" w:name="Tc_oBCge3VJzUGiBOZwRcHc-w_5_0"/>
      <w:bookmarkStart w:id="643" w:name="Tc_0e1m--PfzU6-C2XiFKQTdw_4_23"/>
      <w:bookmarkStart w:id="644" w:name="Tc_x4mDc5HMWUauF44ewdILDA_4_20"/>
      <w:bookmarkStart w:id="645" w:name="Tc_El-JqVtLT0K202ptygHy0w_4_17"/>
      <w:bookmarkStart w:id="646" w:name="Tc_kPweMLgfwUuAVEUH_lV9Bw_4_14"/>
      <w:bookmarkStart w:id="647" w:name="Tc_fZZkFtZso0SnHym7OZ2vbA_4_11"/>
      <w:bookmarkStart w:id="648" w:name="Tc_A_R2Dq-zU0eHkhJFwdY8mA_4_8"/>
      <w:bookmarkStart w:id="649" w:name="Tc_xrzAA6jUFEmvsfIYKnaZgQ_4_5"/>
      <w:bookmarkStart w:id="650" w:name="Tc_aKCN73lS7E2Q_Wh-hbMKqg_4_2"/>
      <w:bookmarkStart w:id="651" w:name="Tc_G9orDNFV-U6dEvgxkBI0og_3_23"/>
      <w:bookmarkStart w:id="652" w:name="Tc_cq4uXA_uQ06JE9u7awILXA_3_20"/>
      <w:bookmarkStart w:id="653" w:name="Tc_L0YQwW2Piky0MOu_veByAg_3_17"/>
      <w:bookmarkStart w:id="654" w:name="Tc__ha1HyuOWU-_O6ZIJEUSrA_3_14"/>
      <w:bookmarkStart w:id="655" w:name="Tc_H-ojp8nXEkuYgQTXCyK7JQ_3_11"/>
      <w:bookmarkStart w:id="656" w:name="Tc_HppNJHBwIkyLhWIShcL_AQ_3_8"/>
      <w:bookmarkStart w:id="657" w:name="Tc_c-cnRb7kBkq28XechlWz9A_3_2"/>
      <w:bookmarkStart w:id="658" w:name="Tc_lEZMEA9Js0Sw0tdolB78kg_2_20"/>
      <w:bookmarkStart w:id="659" w:name="Tc_XcRr0-SFlEq26884Sr4iHQ_2_11"/>
      <w:bookmarkStart w:id="660" w:name="Tc_A7eJNKIGLk6ndW_lC9vmNg_2_8"/>
      <w:bookmarkStart w:id="661" w:name="Tc_qGMaQQ8C4kqSOM92XEmeXg_2_2"/>
      <w:bookmarkStart w:id="662" w:name="Tc_ua8c5rK-sEqtDegodLp3-A_1_11"/>
      <w:bookmarkStart w:id="663" w:name="Tc_QwECc0ZwpEeSlMLimXIHaw_1_2"/>
      <w:bookmarkStart w:id="664" w:name="_493ccc99_bae8_400c_b2a7_d2d9aad19f49"/>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tbl>
      <w:tblPr>
        <w:tblW w:w="10205" w:type="dxa"/>
        <w:jc w:val="left"/>
        <w:tblInd w:w="0" w:type="dxa"/>
        <w:tblCellMar>
          <w:top w:w="0" w:type="dxa"/>
          <w:left w:w="0" w:type="dxa"/>
          <w:bottom w:w="0" w:type="dxa"/>
          <w:right w:w="0" w:type="dxa"/>
        </w:tblCellMar>
      </w:tblPr>
      <w:tblGrid>
        <w:gridCol w:w="2301"/>
        <w:gridCol w:w="109"/>
        <w:gridCol w:w="150"/>
        <w:gridCol w:w="457"/>
        <w:gridCol w:w="130"/>
        <w:gridCol w:w="271"/>
        <w:gridCol w:w="449"/>
        <w:gridCol w:w="109"/>
        <w:gridCol w:w="249"/>
        <w:gridCol w:w="652"/>
        <w:gridCol w:w="109"/>
        <w:gridCol w:w="310"/>
        <w:gridCol w:w="906"/>
        <w:gridCol w:w="109"/>
        <w:gridCol w:w="277"/>
        <w:gridCol w:w="489"/>
        <w:gridCol w:w="109"/>
        <w:gridCol w:w="380"/>
        <w:gridCol w:w="671"/>
        <w:gridCol w:w="109"/>
        <w:gridCol w:w="384"/>
        <w:gridCol w:w="562"/>
        <w:gridCol w:w="109"/>
        <w:gridCol w:w="196"/>
        <w:gridCol w:w="608"/>
      </w:tblGrid>
      <w:tr>
        <w:trPr/>
        <w:tc>
          <w:tcPr>
            <w:tcW w:w="23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50" w:type="dxa"/>
            <w:tcBorders/>
            <w:shd w:fill="auto" w:val="clear"/>
            <w:vAlign w:val="center"/>
          </w:tcPr>
          <w:p>
            <w:pPr>
              <w:pStyle w:val="TableContents"/>
              <w:spacing w:before="0" w:after="1"/>
              <w:ind w:left="0" w:right="0" w:hanging="0"/>
              <w:rPr/>
            </w:pPr>
            <w:r>
              <w:rPr/>
              <w:t>​</w:t>
            </w:r>
          </w:p>
        </w:tc>
        <w:tc>
          <w:tcPr>
            <w:tcW w:w="457" w:type="dxa"/>
            <w:tcBorders/>
            <w:shd w:fill="auto" w:val="clear"/>
            <w:vAlign w:val="center"/>
          </w:tcPr>
          <w:p>
            <w:pPr>
              <w:pStyle w:val="TableContents"/>
              <w:spacing w:before="0" w:after="1"/>
              <w:ind w:left="0" w:right="0" w:hanging="0"/>
              <w:rPr/>
            </w:pPr>
            <w:r>
              <w:rPr/>
              <w:t>​</w:t>
            </w:r>
          </w:p>
        </w:tc>
        <w:tc>
          <w:tcPr>
            <w:tcW w:w="130"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44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65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90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48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80" w:type="dxa"/>
            <w:tcBorders/>
            <w:shd w:fill="auto" w:val="clear"/>
            <w:vAlign w:val="center"/>
          </w:tcPr>
          <w:p>
            <w:pPr>
              <w:pStyle w:val="TableContents"/>
              <w:spacing w:before="0" w:after="1"/>
              <w:ind w:left="0" w:right="0" w:hanging="0"/>
              <w:rPr/>
            </w:pPr>
            <w:r>
              <w:rPr/>
              <w:t>​</w:t>
            </w:r>
          </w:p>
        </w:tc>
        <w:tc>
          <w:tcPr>
            <w:tcW w:w="6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84"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rPr/>
            </w:pPr>
            <w:r>
              <w:rPr/>
              <w:t>​</w:t>
            </w:r>
          </w:p>
        </w:tc>
      </w:tr>
      <w:tr>
        <w:trPr/>
        <w:tc>
          <w:tcPr>
            <w:tcW w:w="23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57"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65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804" w:type="dxa"/>
            <w:gridSpan w:val="2"/>
            <w:tcBorders/>
            <w:shd w:fill="auto" w:val="clear"/>
            <w:vAlign w:val="center"/>
          </w:tcPr>
          <w:p>
            <w:pPr>
              <w:pStyle w:val="TableContents"/>
              <w:spacing w:before="0" w:after="1"/>
              <w:ind w:left="0" w:right="0" w:hanging="0"/>
              <w:jc w:val="center"/>
              <w:rPr/>
            </w:pPr>
            <w:r>
              <w:rPr/>
              <w:t>​</w:t>
            </w:r>
          </w:p>
        </w:tc>
      </w:tr>
      <w:tr>
        <w:trPr/>
        <w:tc>
          <w:tcPr>
            <w:tcW w:w="23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57"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380" w:type="dxa"/>
            <w:tcBorders/>
            <w:shd w:fill="auto" w:val="clear"/>
            <w:vAlign w:val="center"/>
          </w:tcPr>
          <w:p>
            <w:pPr>
              <w:pStyle w:val="TableContents"/>
              <w:spacing w:before="0" w:after="1"/>
              <w:ind w:left="0" w:right="0" w:hanging="0"/>
              <w:jc w:val="center"/>
              <w:rPr/>
            </w:pPr>
            <w:r>
              <w:rPr/>
              <w:t>​</w:t>
            </w:r>
          </w:p>
        </w:tc>
        <w:tc>
          <w:tcPr>
            <w:tcW w:w="67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jc w:val="center"/>
              <w:rPr/>
            </w:pPr>
            <w:r>
              <w:rPr/>
              <w:t>​</w:t>
            </w:r>
          </w:p>
        </w:tc>
        <w:tc>
          <w:tcPr>
            <w:tcW w:w="608" w:type="dxa"/>
            <w:tcBorders/>
            <w:shd w:fill="auto" w:val="clear"/>
            <w:vAlign w:val="center"/>
          </w:tcPr>
          <w:p>
            <w:pPr>
              <w:pStyle w:val="TableContents"/>
              <w:spacing w:before="0" w:after="1"/>
              <w:ind w:left="0" w:right="0" w:hanging="0"/>
              <w:jc w:val="center"/>
              <w:rPr/>
            </w:pPr>
            <w:r>
              <w:rPr/>
              <w:t>​</w:t>
            </w:r>
          </w:p>
        </w:tc>
      </w:tr>
      <w:tr>
        <w:trPr/>
        <w:tc>
          <w:tcPr>
            <w:tcW w:w="23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45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Parent </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shd w:fill="auto" w:val="clear"/>
            <w:vAlign w:val="center"/>
          </w:tcPr>
          <w:p>
            <w:pPr>
              <w:pStyle w:val="TableContents"/>
              <w:spacing w:before="0" w:after="1"/>
              <w:ind w:left="0" w:right="0" w:hanging="0"/>
              <w:rPr/>
            </w:pPr>
            <w:r>
              <w:rPr/>
              <w:t>​</w:t>
            </w:r>
          </w:p>
        </w:tc>
        <w:tc>
          <w:tcPr>
            <w:tcW w:w="804"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0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30" w:type="dxa"/>
            <w:tcBorders/>
            <w:shd w:fill="auto" w:val="clear"/>
            <w:vAlign w:val="center"/>
          </w:tcPr>
          <w:p>
            <w:pPr>
              <w:pStyle w:val="TableContents"/>
              <w:spacing w:before="0" w:after="1"/>
              <w:ind w:left="0" w:right="0" w:hanging="0"/>
              <w:rPr/>
            </w:pPr>
            <w:r>
              <w:rPr/>
              <w:t>​</w:t>
            </w:r>
          </w:p>
        </w:tc>
        <w:tc>
          <w:tcPr>
            <w:tcW w:w="72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shd w:fill="auto" w:val="clear"/>
            <w:vAlign w:val="center"/>
          </w:tcPr>
          <w:p>
            <w:pPr>
              <w:pStyle w:val="TableContents"/>
              <w:spacing w:before="0" w:after="1"/>
              <w:ind w:left="0" w:right="0" w:hanging="0"/>
              <w:rPr/>
            </w:pPr>
            <w:r>
              <w:rPr/>
              <w:t>​</w:t>
            </w:r>
          </w:p>
        </w:tc>
        <w:tc>
          <w:tcPr>
            <w:tcW w:w="9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Investment</w:t>
            </w:r>
          </w:p>
        </w:tc>
        <w:tc>
          <w:tcPr>
            <w:tcW w:w="109" w:type="dxa"/>
            <w:tcBorders/>
            <w:shd w:fill="auto" w:val="clear"/>
            <w:vAlign w:val="center"/>
          </w:tcPr>
          <w:p>
            <w:pPr>
              <w:pStyle w:val="TableContents"/>
              <w:spacing w:before="0" w:after="1"/>
              <w:ind w:left="0" w:right="0" w:hanging="0"/>
              <w:rPr/>
            </w:pPr>
            <w:r>
              <w:rPr/>
              <w:t>​</w:t>
            </w:r>
          </w:p>
        </w:tc>
        <w:tc>
          <w:tcPr>
            <w:tcW w:w="121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shd w:fill="auto" w:val="clear"/>
            <w:vAlign w:val="center"/>
          </w:tcPr>
          <w:p>
            <w:pPr>
              <w:pStyle w:val="TableContents"/>
              <w:spacing w:before="0" w:after="1"/>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shd w:fill="auto" w:val="clear"/>
            <w:vAlign w:val="center"/>
          </w:tcPr>
          <w:p>
            <w:pPr>
              <w:pStyle w:val="TableContents"/>
              <w:spacing w:before="0" w:after="1"/>
              <w:ind w:left="0" w:right="0" w:hanging="0"/>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shd w:fill="auto" w:val="clear"/>
            <w:vAlign w:val="center"/>
          </w:tcPr>
          <w:p>
            <w:pPr>
              <w:pStyle w:val="TableContents"/>
              <w:spacing w:before="0" w:after="1"/>
              <w:ind w:left="0" w:right="0" w:hanging="0"/>
              <w:rPr/>
            </w:pPr>
            <w:r>
              <w:rPr/>
              <w:t>​</w:t>
            </w:r>
          </w:p>
        </w:tc>
        <w:tc>
          <w:tcPr>
            <w:tcW w:w="9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shd w:fill="auto" w:val="clear"/>
            <w:vAlign w:val="center"/>
          </w:tcPr>
          <w:p>
            <w:pPr>
              <w:pStyle w:val="TableContents"/>
              <w:spacing w:before="0" w:after="1"/>
              <w:ind w:left="0" w:right="0" w:hanging="0"/>
              <w:rPr/>
            </w:pPr>
            <w:r>
              <w:rPr/>
              <w:t>​</w:t>
            </w:r>
          </w:p>
        </w:tc>
        <w:tc>
          <w:tcPr>
            <w:tcW w:w="80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301"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 – January 1, 2021</w:t>
            </w:r>
          </w:p>
        </w:tc>
        <w:tc>
          <w:tcPr>
            <w:tcW w:w="109" w:type="dxa"/>
            <w:tcBorders/>
            <w:shd w:fill="CCEEFF" w:val="clear"/>
            <w:vAlign w:val="center"/>
          </w:tcPr>
          <w:p>
            <w:pPr>
              <w:pStyle w:val="TableContents"/>
              <w:spacing w:before="0" w:after="1"/>
              <w:ind w:left="0" w:right="0" w:hanging="0"/>
              <w:rPr/>
            </w:pPr>
            <w:r>
              <w:rPr/>
              <w:t>​</w:t>
            </w:r>
          </w:p>
        </w:tc>
        <w:tc>
          <w:tcPr>
            <w:tcW w:w="150" w:type="dxa"/>
            <w:tcBorders/>
            <w:shd w:fill="CCEEFF" w:val="clear"/>
            <w:vAlign w:val="center"/>
          </w:tcPr>
          <w:p>
            <w:pPr>
              <w:pStyle w:val="TableContents"/>
              <w:spacing w:before="0" w:after="1"/>
              <w:ind w:left="0" w:right="0" w:hanging="0"/>
              <w:rPr/>
            </w:pPr>
            <w:r>
              <w:rPr/>
              <w:t>​</w:t>
            </w:r>
          </w:p>
        </w:tc>
        <w:tc>
          <w:tcPr>
            <w:tcW w:w="457" w:type="dxa"/>
            <w:tcBorders/>
            <w:shd w:fill="CCEEFF" w:val="clear"/>
            <w:vAlign w:val="center"/>
          </w:tcPr>
          <w:p>
            <w:pPr>
              <w:pStyle w:val="TableContents"/>
              <w:spacing w:before="0" w:after="1"/>
              <w:ind w:left="0" w:right="0" w:hanging="0"/>
              <w:jc w:val="right"/>
              <w:rPr/>
            </w:pPr>
            <w:r>
              <w:rPr/>
              <w:t>—</w:t>
            </w:r>
          </w:p>
        </w:tc>
        <w:tc>
          <w:tcPr>
            <w:tcW w:w="130"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4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6,023</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(1,096)</w:t>
            </w:r>
          </w:p>
        </w:tc>
        <w:tc>
          <w:tcPr>
            <w:tcW w:w="109"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89"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8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7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8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0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4,985</w:t>
            </w:r>
          </w:p>
        </w:tc>
      </w:tr>
      <w:tr>
        <w:trPr/>
        <w:tc>
          <w:tcPr>
            <w:tcW w:w="230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 (loss)</w:t>
            </w:r>
          </w:p>
        </w:tc>
        <w:tc>
          <w:tcPr>
            <w:tcW w:w="109" w:type="dxa"/>
            <w:tcBorders/>
            <w:shd w:fill="auto" w:val="clear"/>
            <w:vAlign w:val="center"/>
          </w:tcPr>
          <w:p>
            <w:pPr>
              <w:pStyle w:val="TableContents"/>
              <w:spacing w:before="0" w:after="1"/>
              <w:ind w:left="0" w:right="0" w:hanging="0"/>
              <w:rPr/>
            </w:pPr>
            <w:r>
              <w:rPr/>
              <w:t>​</w:t>
            </w:r>
          </w:p>
        </w:tc>
        <w:tc>
          <w:tcPr>
            <w:tcW w:w="150" w:type="dxa"/>
            <w:tcBorders/>
            <w:shd w:fill="auto" w:val="clear"/>
            <w:vAlign w:val="center"/>
          </w:tcPr>
          <w:p>
            <w:pPr>
              <w:pStyle w:val="TableContents"/>
              <w:spacing w:before="0" w:after="1"/>
              <w:ind w:left="0" w:right="0" w:hanging="0"/>
              <w:rPr/>
            </w:pPr>
            <w:r>
              <w:rPr/>
              <w:t>​</w:t>
            </w:r>
          </w:p>
        </w:tc>
        <w:tc>
          <w:tcPr>
            <w:tcW w:w="457" w:type="dxa"/>
            <w:tcBorders/>
            <w:shd w:fill="auto" w:val="clear"/>
            <w:vAlign w:val="center"/>
          </w:tcPr>
          <w:p>
            <w:pPr>
              <w:pStyle w:val="TableContents"/>
              <w:spacing w:before="0" w:after="1"/>
              <w:ind w:left="0" w:right="0" w:hanging="0"/>
              <w:rPr/>
            </w:pPr>
            <w:r>
              <w:rPr/>
              <w:t>​</w:t>
            </w:r>
          </w:p>
        </w:tc>
        <w:tc>
          <w:tcPr>
            <w:tcW w:w="130"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44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65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(494)</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9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48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80" w:type="dxa"/>
            <w:tcBorders/>
            <w:shd w:fill="auto" w:val="clear"/>
            <w:vAlign w:val="center"/>
          </w:tcPr>
          <w:p>
            <w:pPr>
              <w:pStyle w:val="TableContents"/>
              <w:spacing w:before="0" w:after="1"/>
              <w:ind w:left="0" w:right="0" w:hanging="0"/>
              <w:rPr/>
            </w:pPr>
            <w:r>
              <w:rPr/>
              <w:t>​</w:t>
            </w:r>
          </w:p>
        </w:tc>
        <w:tc>
          <w:tcPr>
            <w:tcW w:w="6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84"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(494)</w:t>
            </w:r>
          </w:p>
        </w:tc>
      </w:tr>
      <w:tr>
        <w:trPr/>
        <w:tc>
          <w:tcPr>
            <w:tcW w:w="230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spacing w:before="0" w:after="1"/>
              <w:ind w:left="0" w:right="0" w:hanging="0"/>
              <w:rPr/>
            </w:pPr>
            <w:r>
              <w:rPr/>
              <w:t>​</w:t>
            </w:r>
          </w:p>
        </w:tc>
        <w:tc>
          <w:tcPr>
            <w:tcW w:w="150" w:type="dxa"/>
            <w:tcBorders/>
            <w:shd w:fill="CCEEFF" w:val="clear"/>
            <w:vAlign w:val="center"/>
          </w:tcPr>
          <w:p>
            <w:pPr>
              <w:pStyle w:val="TableContents"/>
              <w:spacing w:before="0" w:after="1"/>
              <w:ind w:left="0" w:right="0" w:hanging="0"/>
              <w:rPr/>
            </w:pPr>
            <w:r>
              <w:rPr/>
              <w:t>​</w:t>
            </w:r>
          </w:p>
        </w:tc>
        <w:tc>
          <w:tcPr>
            <w:tcW w:w="457" w:type="dxa"/>
            <w:tcBorders/>
            <w:shd w:fill="CCEEFF" w:val="clear"/>
            <w:vAlign w:val="center"/>
          </w:tcPr>
          <w:p>
            <w:pPr>
              <w:pStyle w:val="TableContents"/>
              <w:spacing w:before="0" w:after="1"/>
              <w:ind w:left="0" w:right="0" w:hanging="0"/>
              <w:rPr/>
            </w:pPr>
            <w:r>
              <w:rPr/>
              <w:t>​</w:t>
            </w:r>
          </w:p>
        </w:tc>
        <w:tc>
          <w:tcPr>
            <w:tcW w:w="130"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pPr>
            <w:r>
              <w:rPr/>
              <w:t>​</w:t>
            </w:r>
          </w:p>
        </w:tc>
        <w:tc>
          <w:tcPr>
            <w:tcW w:w="44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w:t>
            </w:r>
          </w:p>
        </w:tc>
        <w:tc>
          <w:tcPr>
            <w:tcW w:w="652"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w:t>
            </w:r>
          </w:p>
        </w:tc>
        <w:tc>
          <w:tcPr>
            <w:tcW w:w="9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c>
          <w:tcPr>
            <w:tcW w:w="109" w:type="dxa"/>
            <w:tcBorders/>
            <w:shd w:fill="CCEEFF" w:val="clear"/>
            <w:vAlign w:val="center"/>
          </w:tcPr>
          <w:p>
            <w:pPr>
              <w:pStyle w:val="TableContents"/>
              <w:spacing w:before="0" w:after="1"/>
              <w:ind w:left="0" w:right="0" w:hanging="0"/>
              <w:rPr/>
            </w:pPr>
            <w:r>
              <w:rPr/>
              <w:t>​</w:t>
            </w:r>
          </w:p>
        </w:tc>
        <w:tc>
          <w:tcPr>
            <w:tcW w:w="277" w:type="dxa"/>
            <w:tcBorders/>
            <w:shd w:fill="CCEEFF" w:val="clear"/>
            <w:vAlign w:val="center"/>
          </w:tcPr>
          <w:p>
            <w:pPr>
              <w:pStyle w:val="TableContents"/>
              <w:spacing w:before="0" w:after="1"/>
              <w:ind w:left="0" w:right="0" w:hanging="0"/>
              <w:rPr/>
            </w:pPr>
            <w:r>
              <w:rPr/>
              <w:t>​</w:t>
            </w:r>
          </w:p>
        </w:tc>
        <w:tc>
          <w:tcPr>
            <w:tcW w:w="48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80" w:type="dxa"/>
            <w:tcBorders/>
            <w:shd w:fill="CCEEFF" w:val="clear"/>
            <w:vAlign w:val="center"/>
          </w:tcPr>
          <w:p>
            <w:pPr>
              <w:pStyle w:val="TableContents"/>
              <w:spacing w:before="0" w:after="1"/>
              <w:ind w:left="0" w:right="0" w:hanging="0"/>
              <w:rPr/>
            </w:pPr>
            <w:r>
              <w:rPr/>
              <w:t>​</w:t>
            </w:r>
          </w:p>
        </w:tc>
        <w:tc>
          <w:tcPr>
            <w:tcW w:w="67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84" w:type="dxa"/>
            <w:tcBorders/>
            <w:shd w:fill="CCEEFF" w:val="clear"/>
            <w:vAlign w:val="center"/>
          </w:tcPr>
          <w:p>
            <w:pPr>
              <w:pStyle w:val="TableContents"/>
              <w:spacing w:before="0" w:after="1"/>
              <w:ind w:left="0" w:right="0" w:hanging="0"/>
              <w:rPr/>
            </w:pPr>
            <w:r>
              <w:rPr/>
              <w:t>​</w:t>
            </w:r>
          </w:p>
        </w:tc>
        <w:tc>
          <w:tcPr>
            <w:tcW w:w="56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0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w:t>
            </w:r>
          </w:p>
        </w:tc>
      </w:tr>
      <w:tr>
        <w:trPr/>
        <w:tc>
          <w:tcPr>
            <w:tcW w:w="2301"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transfers from Parent</w:t>
            </w:r>
          </w:p>
        </w:tc>
        <w:tc>
          <w:tcPr>
            <w:tcW w:w="109" w:type="dxa"/>
            <w:tcBorders/>
            <w:shd w:fill="auto" w:val="clear"/>
            <w:vAlign w:val="center"/>
          </w:tcPr>
          <w:p>
            <w:pPr>
              <w:pStyle w:val="TableContents"/>
              <w:spacing w:before="0" w:after="1"/>
              <w:ind w:left="0" w:right="0" w:hanging="0"/>
              <w:rPr/>
            </w:pPr>
            <w:r>
              <w:rPr/>
              <w:t>​</w:t>
            </w:r>
          </w:p>
        </w:tc>
        <w:tc>
          <w:tcPr>
            <w:tcW w:w="150" w:type="dxa"/>
            <w:tcBorders/>
            <w:shd w:fill="auto" w:val="clear"/>
            <w:vAlign w:val="center"/>
          </w:tcPr>
          <w:p>
            <w:pPr>
              <w:pStyle w:val="TableContents"/>
              <w:spacing w:before="0" w:after="1"/>
              <w:ind w:left="0" w:right="0" w:hanging="0"/>
              <w:rPr/>
            </w:pPr>
            <w:r>
              <w:rPr/>
              <w:t>​</w:t>
            </w:r>
          </w:p>
        </w:tc>
        <w:tc>
          <w:tcPr>
            <w:tcW w:w="457" w:type="dxa"/>
            <w:tcBorders/>
            <w:shd w:fill="auto" w:val="clear"/>
            <w:vAlign w:val="center"/>
          </w:tcPr>
          <w:p>
            <w:pPr>
              <w:pStyle w:val="TableContents"/>
              <w:spacing w:before="0" w:after="1"/>
              <w:ind w:left="0" w:right="0" w:hanging="0"/>
              <w:rPr/>
            </w:pPr>
            <w:r>
              <w:rPr/>
              <w:t>​</w:t>
            </w:r>
          </w:p>
        </w:tc>
        <w:tc>
          <w:tcPr>
            <w:tcW w:w="130"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44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65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498 </w:t>
            </w:r>
          </w:p>
        </w:tc>
        <w:tc>
          <w:tcPr>
            <w:tcW w:w="10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90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77" w:type="dxa"/>
            <w:tcBorders/>
            <w:shd w:fill="auto" w:val="clear"/>
            <w:vAlign w:val="center"/>
          </w:tcPr>
          <w:p>
            <w:pPr>
              <w:pStyle w:val="TableContents"/>
              <w:spacing w:before="0" w:after="1"/>
              <w:ind w:left="0" w:right="0" w:hanging="0"/>
              <w:rPr/>
            </w:pPr>
            <w:r>
              <w:rPr/>
              <w:t>​</w:t>
            </w:r>
          </w:p>
        </w:tc>
        <w:tc>
          <w:tcPr>
            <w:tcW w:w="48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80" w:type="dxa"/>
            <w:tcBorders/>
            <w:shd w:fill="auto" w:val="clear"/>
            <w:vAlign w:val="center"/>
          </w:tcPr>
          <w:p>
            <w:pPr>
              <w:pStyle w:val="TableContents"/>
              <w:spacing w:before="0" w:after="1"/>
              <w:ind w:left="0" w:right="0" w:hanging="0"/>
              <w:rPr/>
            </w:pPr>
            <w:r>
              <w:rPr/>
              <w:t>​</w:t>
            </w:r>
          </w:p>
        </w:tc>
        <w:tc>
          <w:tcPr>
            <w:tcW w:w="6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84" w:type="dxa"/>
            <w:tcBorders/>
            <w:shd w:fill="auto" w:val="clear"/>
            <w:vAlign w:val="center"/>
          </w:tcPr>
          <w:p>
            <w:pPr>
              <w:pStyle w:val="TableContents"/>
              <w:spacing w:before="0" w:after="1"/>
              <w:ind w:left="0" w:right="0" w:hanging="0"/>
              <w:rPr/>
            </w:pPr>
            <w:r>
              <w:rPr/>
              <w:t>​</w:t>
            </w:r>
          </w:p>
        </w:tc>
        <w:tc>
          <w:tcPr>
            <w:tcW w:w="562"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498 </w:t>
            </w:r>
          </w:p>
        </w:tc>
      </w:tr>
      <w:tr>
        <w:trPr/>
        <w:tc>
          <w:tcPr>
            <w:tcW w:w="230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shd w:fill="CCEEFF" w:val="clear"/>
            <w:vAlign w:val="center"/>
          </w:tcPr>
          <w:p>
            <w:pPr>
              <w:pStyle w:val="TableContents"/>
              <w:spacing w:before="0" w:after="1"/>
              <w:ind w:left="0" w:right="0" w:hanging="0"/>
              <w:rPr/>
            </w:pPr>
            <w:r>
              <w:rPr/>
              <w:t>​</w:t>
            </w:r>
          </w:p>
        </w:tc>
        <w:tc>
          <w:tcPr>
            <w:tcW w:w="15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5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30" w:type="dxa"/>
            <w:tcBorders/>
            <w:shd w:fill="CCEEFF" w:val="clear"/>
            <w:vAlign w:val="center"/>
          </w:tcPr>
          <w:p>
            <w:pPr>
              <w:pStyle w:val="TableContents"/>
              <w:spacing w:before="0" w:after="1"/>
              <w:ind w:left="0" w:right="0" w:hanging="0"/>
              <w:rPr/>
            </w:pPr>
            <w:r>
              <w:rPr/>
              <w:t>​</w:t>
            </w:r>
          </w:p>
        </w:tc>
        <w:tc>
          <w:tcPr>
            <w:tcW w:w="27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4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5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89"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8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38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6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0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230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Equity – March 31, 2021</w:t>
            </w:r>
          </w:p>
        </w:tc>
        <w:tc>
          <w:tcPr>
            <w:tcW w:w="109" w:type="dxa"/>
            <w:tcBorders/>
            <w:shd w:fill="auto" w:val="clear"/>
            <w:vAlign w:val="center"/>
          </w:tcPr>
          <w:p>
            <w:pPr>
              <w:pStyle w:val="TableContents"/>
              <w:spacing w:before="0" w:after="1"/>
              <w:ind w:left="0" w:right="0" w:hanging="0"/>
              <w:rPr/>
            </w:pPr>
            <w:r>
              <w:rPr/>
              <w:t>​</w:t>
            </w:r>
          </w:p>
        </w:tc>
        <w:tc>
          <w:tcPr>
            <w:tcW w:w="150"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45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30" w:type="dxa"/>
            <w:tcBorders/>
            <w:shd w:fill="auto" w:val="clear"/>
            <w:vAlign w:val="center"/>
          </w:tcPr>
          <w:p>
            <w:pPr>
              <w:pStyle w:val="TableContents"/>
              <w:spacing w:before="0" w:after="1"/>
              <w:ind w:left="0" w:right="0" w:hanging="0"/>
              <w:rPr/>
            </w:pPr>
            <w:r>
              <w:rPr/>
              <w:t>​</w:t>
            </w:r>
          </w:p>
        </w:tc>
        <w:tc>
          <w:tcPr>
            <w:tcW w:w="27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49"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6,027 </w:t>
            </w:r>
          </w:p>
        </w:tc>
        <w:tc>
          <w:tcPr>
            <w:tcW w:w="109" w:type="dxa"/>
            <w:tcBorders/>
            <w:shd w:fill="auto" w:val="clear"/>
            <w:vAlign w:val="center"/>
          </w:tcPr>
          <w:p>
            <w:pPr>
              <w:pStyle w:val="TableContents"/>
              <w:spacing w:before="0" w:after="1"/>
              <w:ind w:left="0" w:right="0" w:hanging="0"/>
              <w:rPr/>
            </w:pPr>
            <w:r>
              <w:rPr/>
              <w:t>​</w:t>
            </w:r>
          </w:p>
        </w:tc>
        <w:tc>
          <w:tcPr>
            <w:tcW w:w="31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(1,182)</w:t>
            </w:r>
          </w:p>
        </w:tc>
        <w:tc>
          <w:tcPr>
            <w:tcW w:w="109" w:type="dxa"/>
            <w:tcBorders/>
            <w:shd w:fill="auto" w:val="clear"/>
            <w:vAlign w:val="center"/>
          </w:tcPr>
          <w:p>
            <w:pPr>
              <w:pStyle w:val="TableContents"/>
              <w:spacing w:before="0" w:after="1"/>
              <w:ind w:left="0" w:right="0" w:hanging="0"/>
              <w:rPr/>
            </w:pPr>
            <w:r>
              <w:rPr/>
              <w:t>​</w:t>
            </w:r>
          </w:p>
        </w:tc>
        <w:tc>
          <w:tcPr>
            <w:tcW w:w="27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89"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8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7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8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6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08" w:type="dxa"/>
            <w:tcBorders>
              <w:bottom w:val="double" w:sz="6" w:space="0" w:color="000000"/>
            </w:tcBorders>
            <w:shd w:fill="auto" w:val="clear"/>
            <w:tcMar>
              <w:bottom w:w="28" w:type="dxa"/>
            </w:tcMar>
            <w:vAlign w:val="center"/>
          </w:tcPr>
          <w:p>
            <w:pPr>
              <w:pStyle w:val="TableContents"/>
              <w:spacing w:before="0" w:after="1"/>
              <w:ind w:left="0" w:right="50" w:hanging="0"/>
              <w:jc w:val="right"/>
              <w:rPr>
                <w:rFonts w:ascii="Times New Roman;Times;serif" w:hAnsi="Times New Roman;Times;serif"/>
                <w:sz w:val="16"/>
              </w:rPr>
            </w:pPr>
            <w:r>
              <w:rPr>
                <w:rFonts w:ascii="Times New Roman;Times;serif" w:hAnsi="Times New Roman;Times;serif"/>
                <w:sz w:val="16"/>
              </w:rPr>
              <w:t>4,902</w:t>
            </w:r>
          </w:p>
        </w:tc>
      </w:tr>
    </w:tbl>
    <w:p>
      <w:pPr>
        <w:pStyle w:val="TextBody"/>
        <w:spacing w:before="0" w:after="24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spacing w:before="0" w:after="240"/>
        <w:ind w:left="0" w:right="0" w:firstLine="720"/>
        <w:jc w:val="center"/>
        <w:rPr/>
      </w:pPr>
      <w:r>
        <w:rPr/>
        <w:t>​</w:t>
      </w:r>
    </w:p>
    <w:p>
      <w:pPr>
        <w:pStyle w:val="TextBody"/>
        <w:spacing w:before="0" w:after="240"/>
        <w:ind w:left="0" w:right="0" w:firstLine="720"/>
        <w:jc w:val="center"/>
        <w:rPr/>
      </w:pPr>
      <w:r>
        <w:rPr/>
        <w:t>​</w:t>
      </w:r>
    </w:p>
    <w:p>
      <w:pPr>
        <w:pStyle w:val="TextBody"/>
        <w:spacing w:before="0" w:after="240"/>
        <w:ind w:left="0" w:right="0" w:firstLine="72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665" w:name="NOTES"/>
      <w:bookmarkStart w:id="666" w:name="_62a0d250_1180_4e99_be4c_019681f4c108"/>
      <w:bookmarkEnd w:id="665"/>
      <w:bookmarkEnd w:id="666"/>
      <w:r>
        <w:rPr>
          <w:rFonts w:ascii="Times New Roman;Times;serif" w:hAnsi="Times New Roman;Times;serif"/>
          <w:b/>
          <w:sz w:val="20"/>
        </w:rPr>
        <w:t xml:space="preserve">NOTES TO CONSOLIDATED FINANCIAL STATEMENTS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1. SIGNIFICANT ACCOUNTING POLICIES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Description of Business</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Kyndryl Holdings, Inc. (“we”, “the Company” or “Kyndryl”) is a leading technology services company and the largest infrastructure services provider in the world, serving as a partner to more than 4,000 customers whose operations span over 100 countries. Prior to November 3, 2021, the Company was wholly owned by International Business Machines Corporation (“IBM”, “Parent” or “former Parent”).</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In October 2021, the Board of Directors of IBM approved the spin-off (the “Separation” or the “Spin-off”) of the infrastructure services unit (the “Kyndryl Businesses”) of its Global Technology Services (“GTS”) segment through the distribution of shares of Kyndryl’s common stock to IBM stockholders. In conjunction with the Distribution, Kyndryl underwent an internal reorganization following which it became the holder, directly or through its subsidiaries, of the Kyndryl Businesses. On November 3, 2021, the Separation was achieved through the Parent’s pro rata distribution of 80.1% of the shares of common stock of Kyndryl to holders of the Parent’s common stock as of the close of business on the record date of October 25, 2021. The Parent retained 19.9% of the shares of the Company’s common stock. The Parent’s stockholders of record received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share of the Company’s common stock for every five shares of the Parent’s common stock. </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 xml:space="preserve">Prior to the Separation on November 3, 2021 </w:t>
      </w:r>
      <w:r>
        <w:rPr>
          <w:rFonts w:ascii="Times New Roman;Times;serif" w:hAnsi="Times New Roman;Times;serif"/>
          <w:sz w:val="20"/>
          <w:highlight w:val="white"/>
        </w:rPr>
        <w:t>(the “pre-Separation periods”)</w:t>
      </w:r>
      <w:r>
        <w:rPr>
          <w:rFonts w:ascii="Times New Roman;Times;serif" w:hAnsi="Times New Roman;Times;serif"/>
          <w:sz w:val="20"/>
        </w:rPr>
        <w:t xml:space="preserve">, our historical financial statements were prepared on a combined basis and were derived from the consolidated financial statements of IBM. For the period subsequent to November 3, 2021, the financial statements are presented on a consolidated basis as the Company became a standalone public company. Management believes the accompanying financial statements include all adjustments necessary to present fairly the Company’s financial position as of March 31, 2022, and December 31, 2021, and its results of operations for the three months ended March 31, 2022 and 2021. The financial statements for historical periods were derived from the Company’s audited annual consolidated financial statements but do not contain all of the footnote disclosures from the annual financial statements. The financial statements should be read in conjunction with the consolidated financial statements and notes thereto included in our Form 10-K for the fiscal year ended December 31, 2021, filed with the U.S. Securities and Exchange Commission (“SEC”) on March 10, 2022 (our “2021 Annual Report”). </w:t>
      </w:r>
    </w:p>
    <w:p>
      <w:pPr>
        <w:pStyle w:val="TextBody"/>
        <w:spacing w:before="0" w:after="200"/>
        <w:ind w:left="0" w:right="0" w:firstLine="720"/>
        <w:rPr>
          <w:rFonts w:ascii="Times New Roman;Times;serif" w:hAnsi="Times New Roman;Times;serif"/>
          <w:sz w:val="20"/>
        </w:rPr>
      </w:pPr>
      <w:r>
        <w:rPr>
          <w:rFonts w:ascii="Times New Roman;Times;serif" w:hAnsi="Times New Roman;Times;serif"/>
          <w:sz w:val="20"/>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For the pre-Separation periods, the accompanying financial statements were derived from the consolidated financial statements and accounting records of the Parent as if the Company operated on a standalone basis during the periods presented and were prepared in accordance with Generally Accepted Accounting Principles in the United States (“U.S. GAAP”) and pursuant to the rules and regulations of the SEC.</w:t>
      </w:r>
    </w:p>
    <w:p>
      <w:pPr>
        <w:pStyle w:val="TextBody"/>
        <w:pBdr/>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All significant intercompany transactions during the pre-Separation periods between Kyndryl and IBM have been included in the consolidated financial statements. Intercompany transactions between Kyndryl and IBM were considered to be effectively settled in the consolidated financial statements at the time the transaction was recorded. The total net effect of the settlement of these intercompany transactions is reflected as Net transfers from Parent in the financing activities section in the Consolidated Statement of Cash Flows and in the Consolidated Balance Sheet within Net Parent investment.</w:t>
      </w:r>
    </w:p>
    <w:p>
      <w:pPr>
        <w:pStyle w:val="TextBody"/>
        <w:shd w:fill="FFFFFF" w:val="clear"/>
        <w:spacing w:before="0" w:after="200"/>
        <w:ind w:left="0" w:right="0" w:firstLine="720"/>
        <w:rPr>
          <w:rFonts w:ascii="Times New Roman;Times;serif" w:hAnsi="Times New Roman;Times;serif"/>
          <w:sz w:val="20"/>
        </w:rPr>
      </w:pPr>
      <w:r>
        <w:rPr>
          <w:rFonts w:ascii="Times New Roman;Times;serif" w:hAnsi="Times New Roman;Times;serif"/>
          <w:sz w:val="20"/>
        </w:rPr>
        <w:t xml:space="preserve">After the Separation on November 3, 2021, the Company’s consolidated financial statements are based on our reported results as a standalone company. All significant transactions and accounts within Kyndryl were eliminated.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0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Estimates were also used in determining the allocation of costs and expenses from IBM for the pre-Separation periods. These estimates are based on management’s knowledge of current events, historical experience and actions that the Company may undertake in the future and on various other assumptions that are believed to be reasonable under the circumstances. Actual results may be different from these estimates. </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Transition Period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On January 27, 2022, the Board of Directors of Kyndryl approved a change to the fiscal year-end of the Company from December 31 to March 31. This is our transition report for the period from January 1, 2022, to March 31, 2022. The Company’s 2023 fiscal year began on April 1, 2022, and will end on March 31, 2023.</w:t>
      </w:r>
    </w:p>
    <w:p>
      <w:pPr>
        <w:pStyle w:val="TextBody"/>
        <w:pBdr/>
        <w:spacing w:before="0" w:after="240"/>
        <w:ind w:left="0" w:right="0" w:hanging="360"/>
        <w:rPr>
          <w:rFonts w:ascii="Times New Roman;Times;serif" w:hAnsi="Times New Roman;Times;serif"/>
          <w:b/>
          <w:sz w:val="20"/>
        </w:rPr>
      </w:pPr>
      <w:bookmarkStart w:id="667" w:name="_Hlk83896773"/>
      <w:bookmarkEnd w:id="667"/>
      <w:r>
        <w:rPr>
          <w:rFonts w:ascii="Times New Roman;Times;serif" w:hAnsi="Times New Roman;Times;serif"/>
          <w:b/>
          <w:sz w:val="20"/>
        </w:rPr>
        <w:t>NOTE 2. ACCOUNTING CHANGES</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Standards Implemented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October 2021, the Financial Accounting Standards Board (“FASB”) issued guidance (“Revenue Contracts with Customers Acquired in a Business Combination”) which requires that an acquirer recognize and measure contract assets and liabilities acquired in a business combination as if the acquirer had originated the contracts,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Deferred revenue acquired in a business combination is no longer required to be measured at its fair value, which had historically resulted in a deferred revenue impairment at the date of acquisition. The guidance is effective January 1, 2023, and early adoption is permitted. The Company has early adopted the guidance as of January 1, 2022. Our adoption did not materially affect our consolidated financial statements.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 3. REVENUE RECOGNITION</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Disaggregation of Revenue</w:t>
      </w:r>
    </w:p>
    <w:p>
      <w:pPr>
        <w:pStyle w:val="TextBody"/>
        <w:spacing w:before="0" w:after="240"/>
        <w:ind w:left="0" w:right="0" w:firstLine="720"/>
        <w:rPr>
          <w:rFonts w:ascii="Times New Roman;Times;serif" w:hAnsi="Times New Roman;Times;serif"/>
          <w:b w:val="false"/>
          <w:sz w:val="20"/>
        </w:rPr>
      </w:pPr>
      <w:r>
        <w:rPr>
          <w:rFonts w:ascii="Times New Roman;Times;serif" w:hAnsi="Times New Roman;Times;serif"/>
          <w:b w:val="false"/>
          <w:sz w:val="20"/>
        </w:rPr>
        <w:t>The Company views its segment results to be the best view of disaggregated revenue. Refer to Note 4 – Segments.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Remaining Performance Obligations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Additionally, as a practical expedient, the Company does not include contracts that have an original duration of one year or less. RPO estimates are subject to change and are affected by several factors, including terminations, changes in the scope of contracts, periodic revalidations, adjustments for revenue that has not materialized and adjustments for currency.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At March 31, 2022, the aggregate amount of RPO related to customer contracts that are unsatisfied or partially unsatisfied was $47.8 billion. Approximately 55 percent of the amount is expected to be recognized as revenue in the subsequent two years, approximately 36 percent in the subsequent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through five years, and the balance thereafter.</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bookmarkStart w:id="668" w:name="Tc_VRYfC3DK7EWpiECvZsDfZw_7_5"/>
      <w:bookmarkStart w:id="669" w:name="Tc_B23cY4hbpUeOa319pRrNuQ_7_2"/>
      <w:bookmarkStart w:id="670" w:name="Tc_TV3oobNM7kaNDEbxWrJTuw_7_0"/>
      <w:bookmarkStart w:id="671" w:name="Tc_R0vOXnJ-pEqERf5rE5ef5Q_6_0"/>
      <w:bookmarkStart w:id="672" w:name="Tc_GO9ij3QspEGd3WzTcrBa1Q_5_0"/>
      <w:bookmarkStart w:id="673" w:name="Tc_KDw1C9QXXE24ChCxVBK-ug_4_0"/>
      <w:bookmarkStart w:id="674" w:name="Tc_4r8YIAI73E2FIN1-bI8dmQ_3_5"/>
      <w:bookmarkStart w:id="675" w:name="Tc_Cq0yD7_NIk-pBgqRKiQo0g_3_2"/>
      <w:bookmarkStart w:id="676" w:name="Tc_iQcoSiwm4EObOzfa6ZfoGg_3_0"/>
      <w:bookmarkStart w:id="677" w:name="Tc_Y8fxOGWuu0eFu02iCgXpdQ_2_5"/>
      <w:bookmarkStart w:id="678" w:name="Tc_3lpy0dsudU6AtAe_FdGOAA_2_2"/>
      <w:bookmarkStart w:id="679" w:name="Tc_6mqaqqqgfEqP2onFiliOZw_2_0"/>
      <w:bookmarkStart w:id="680" w:name="Tc__9Xyy9GrU0GRLm64qSVQsw_1_5"/>
      <w:bookmarkStart w:id="681" w:name="Tc_tgvvUcRY5Umh6dVDt1cJCw_1_2"/>
      <w:bookmarkStart w:id="682" w:name="_28f9506e_d6c1_47ac_a1f0_ca6078fb5fae"/>
      <w:bookmarkStart w:id="683" w:name="Tc_x8EMm9NbzEKRaFeVXaNTcA_6_0"/>
      <w:bookmarkStart w:id="684" w:name="Tc_GBY_vU3hvEWBmBji-UMWoA_5_0"/>
      <w:bookmarkStart w:id="685" w:name="Tc_dXdCgvM4GUKEJQzxKxy9rw_4_0"/>
      <w:bookmarkStart w:id="686" w:name="Tc_hl0hzMP4VU6ApFt1xkKwgg_3_5"/>
      <w:bookmarkStart w:id="687" w:name="Tc_DO3TOqSqYEeoXHl_oGQi4w_3_2"/>
      <w:bookmarkStart w:id="688" w:name="Tc_3vWAdNRbTEil_d1oxUEunw_3_0"/>
      <w:bookmarkStart w:id="689" w:name="Tc_gquBr-gRMEmdb8FuHG5yEw_2_5"/>
      <w:bookmarkStart w:id="690" w:name="Tc_sZpGSOXO_U2y1EumxuJ9aA_2_2"/>
      <w:bookmarkStart w:id="691" w:name="Tc__zbgCUjkJ0K5LFIcrBxGTQ_2_0"/>
      <w:bookmarkStart w:id="692" w:name="Tc_XyALkd_9BkeEyVT5O7g09w_1_5"/>
      <w:bookmarkStart w:id="693" w:name="Tc_8AL4XnJh9Eq6oxlr68V31g_1_2"/>
      <w:bookmarkStart w:id="694" w:name="_5c0cd96f_8ff4_4e2c_9d81_b33386a756e8"/>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Pr>
          <w:rFonts w:ascii="Times New Roman;Times;serif" w:hAnsi="Times New Roman;Times;serif"/>
          <w:b/>
          <w:sz w:val="20"/>
        </w:rPr>
        <w:t xml:space="preserve">Revenue Recognized for Performance Obligations Satisfied (or Partially Satisfied) in Prior Periods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During the three months ended March 31, 2022, revenue was reduced by $15 million for performance obligations satisfied (or partially satisfied) in previous periods, mainly due to changes in estimates on contracts with cost-to-cost measures of progress.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Contract Balances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information about accounts receivable, contract assets and deferred income balances:</w:t>
      </w:r>
    </w:p>
    <w:p>
      <w:pPr>
        <w:pStyle w:val="TextBody"/>
        <w:spacing w:before="0" w:after="240"/>
        <w:ind w:left="0" w:right="0" w:firstLine="720"/>
        <w:rPr/>
      </w:pPr>
      <w:r>
        <w:rPr/>
        <w:t>​</w:t>
      </w:r>
    </w:p>
    <w:tbl>
      <w:tblPr>
        <w:tblW w:w="8618" w:type="dxa"/>
        <w:jc w:val="left"/>
        <w:tblInd w:w="0" w:type="dxa"/>
        <w:tblCellMar>
          <w:top w:w="0" w:type="dxa"/>
          <w:left w:w="0" w:type="dxa"/>
          <w:bottom w:w="0" w:type="dxa"/>
          <w:right w:w="0" w:type="dxa"/>
        </w:tblCellMar>
      </w:tblPr>
      <w:tblGrid>
        <w:gridCol w:w="5971"/>
        <w:gridCol w:w="326"/>
        <w:gridCol w:w="230"/>
        <w:gridCol w:w="625"/>
        <w:gridCol w:w="326"/>
        <w:gridCol w:w="290"/>
        <w:gridCol w:w="850"/>
      </w:tblGrid>
      <w:tr>
        <w:trPr/>
        <w:tc>
          <w:tcPr>
            <w:tcW w:w="59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62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w:t>
            </w:r>
          </w:p>
        </w:tc>
        <w:tc>
          <w:tcPr>
            <w:tcW w:w="850" w:type="dxa"/>
            <w:tcBorders/>
            <w:shd w:fill="auto" w:val="clear"/>
            <w:vAlign w:val="center"/>
          </w:tcPr>
          <w:p>
            <w:pPr>
              <w:pStyle w:val="TableContents"/>
              <w:spacing w:before="0" w:after="1"/>
              <w:ind w:left="0" w:right="0" w:hanging="0"/>
              <w:rPr/>
            </w:pPr>
            <w:r>
              <w:rPr/>
              <w:t>​</w:t>
            </w:r>
          </w:p>
        </w:tc>
      </w:tr>
      <w:tr>
        <w:trPr/>
        <w:tc>
          <w:tcPr>
            <w:tcW w:w="597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597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8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9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Accounts receivable (net of allowances of $44 in 2022 and $44 in 2021)</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2,271</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2,279</w:t>
            </w:r>
          </w:p>
        </w:tc>
      </w:tr>
      <w:tr>
        <w:trPr/>
        <w:tc>
          <w:tcPr>
            <w:tcW w:w="59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Contract assets *</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62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59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income (current)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62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 </w:t>
            </w:r>
          </w:p>
        </w:tc>
        <w:tc>
          <w:tcPr>
            <w:tcW w:w="85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59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income (noncurrent)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62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 </w:t>
            </w:r>
          </w:p>
        </w:tc>
        <w:tc>
          <w:tcPr>
            <w:tcW w:w="850"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475</w:t>
            </w:r>
          </w:p>
        </w:tc>
      </w:tr>
    </w:tbl>
    <w:tbl>
      <w:tblPr>
        <w:tblW w:w="6782" w:type="dxa"/>
        <w:jc w:val="left"/>
        <w:tblInd w:w="0" w:type="dxa"/>
        <w:tblCellMar>
          <w:top w:w="0" w:type="dxa"/>
          <w:left w:w="0" w:type="dxa"/>
          <w:bottom w:w="0" w:type="dxa"/>
          <w:right w:w="0" w:type="dxa"/>
        </w:tblCellMar>
      </w:tblPr>
      <w:tblGrid>
        <w:gridCol w:w="211"/>
        <w:gridCol w:w="6571"/>
      </w:tblGrid>
      <w:tr>
        <w:trPr/>
        <w:tc>
          <w:tcPr>
            <w:tcW w:w="21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w:t>
            </w:r>
          </w:p>
        </w:tc>
        <w:tc>
          <w:tcPr>
            <w:tcW w:w="657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Included within prepaid expenses and other current assets in the Consolidated Balance Sheet.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amount of revenue recognized during the three months ended March 31, 2022, that was included within the deferred income balance at December 31, 2021, was $225 million.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roll-forwards of the accounts receivable allowance for expected credit losses for the three months ended March 31, 2022, and the year ended December 31, 2021:</w:t>
      </w:r>
    </w:p>
    <w:p>
      <w:pPr>
        <w:pStyle w:val="TextBody"/>
        <w:spacing w:before="0" w:after="0"/>
        <w:ind w:left="0" w:right="0" w:hanging="0"/>
        <w:rPr/>
      </w:pPr>
      <w:r>
        <w:rPr/>
        <w:t>​</w:t>
      </w:r>
    </w:p>
    <w:tbl>
      <w:tblPr>
        <w:tblW w:w="5311" w:type="dxa"/>
        <w:jc w:val="left"/>
        <w:tblInd w:w="0" w:type="dxa"/>
        <w:tblCellMar>
          <w:top w:w="0" w:type="dxa"/>
          <w:left w:w="0" w:type="dxa"/>
          <w:bottom w:w="0" w:type="dxa"/>
          <w:right w:w="0" w:type="dxa"/>
        </w:tblCellMar>
      </w:tblPr>
      <w:tblGrid>
        <w:gridCol w:w="1726"/>
        <w:gridCol w:w="109"/>
        <w:gridCol w:w="641"/>
        <w:gridCol w:w="964"/>
        <w:gridCol w:w="326"/>
        <w:gridCol w:w="471"/>
        <w:gridCol w:w="1074"/>
      </w:tblGrid>
      <w:tr>
        <w:trPr/>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07035" cy="175260"/>
                      <wp:effectExtent l="0" t="0" r="0" b="0"/>
                      <wp:wrapNone/>
                      <wp:docPr id="58" name="Frame58"/>
                      <a:graphic xmlns:a="http://schemas.openxmlformats.org/drawingml/2006/main">
                        <a:graphicData uri="http://schemas.microsoft.com/office/word/2010/wordprocessingShape">
                          <wps:wsp>
                            <wps:cNvSpPr txBox="1"/>
                            <wps:spPr>
                              <a:xfrm>
                                <a:off x="0" y="0"/>
                                <a:ext cx="407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12140" cy="175260"/>
                      <wp:effectExtent l="0" t="0" r="0" b="0"/>
                      <wp:wrapNone/>
                      <wp:docPr id="59" name="Frame59"/>
                      <a:graphic xmlns:a="http://schemas.openxmlformats.org/drawingml/2006/main">
                        <a:graphicData uri="http://schemas.microsoft.com/office/word/2010/wordprocessingShape">
                          <wps:wsp>
                            <wps:cNvSpPr txBox="1"/>
                            <wps:spPr>
                              <a:xfrm>
                                <a:off x="0" y="0"/>
                                <a:ext cx="6121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99085" cy="175260"/>
                      <wp:effectExtent l="0" t="0" r="0" b="0"/>
                      <wp:wrapNone/>
                      <wp:docPr id="61" name="Frame61"/>
                      <a:graphic xmlns:a="http://schemas.openxmlformats.org/drawingml/2006/main">
                        <a:graphicData uri="http://schemas.microsoft.com/office/word/2010/wordprocessingShape">
                          <wps:wsp>
                            <wps:cNvSpPr txBox="1"/>
                            <wps:spPr>
                              <a:xfrm>
                                <a:off x="0" y="0"/>
                                <a:ext cx="299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81990" cy="175260"/>
                      <wp:effectExtent l="0" t="0" r="0" b="0"/>
                      <wp:wrapNone/>
                      <wp:docPr id="62" name="Frame62"/>
                      <a:graphic xmlns:a="http://schemas.openxmlformats.org/drawingml/2006/main">
                        <a:graphicData uri="http://schemas.microsoft.com/office/word/2010/wordprocessingShape">
                          <wps:wsp>
                            <wps:cNvSpPr txBox="1"/>
                            <wps:spPr>
                              <a:xfrm>
                                <a:off x="0" y="0"/>
                                <a:ext cx="6819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7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60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shd w:fill="auto" w:val="clear"/>
            <w:vAlign w:val="center"/>
          </w:tcPr>
          <w:p>
            <w:pPr>
              <w:pStyle w:val="TableContents"/>
              <w:spacing w:before="0" w:after="1"/>
              <w:ind w:left="0" w:right="0" w:hanging="0"/>
              <w:rPr/>
            </w:pPr>
            <w:r>
              <w:rPr/>
              <w:t>​</w:t>
            </w:r>
          </w:p>
        </w:tc>
        <w:tc>
          <w:tcPr>
            <w:tcW w:w="154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r>
      <w:tr>
        <w:trPr/>
        <w:tc>
          <w:tcPr>
            <w:tcW w:w="172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1"/>
              <w:ind w:left="0" w:right="0" w:hanging="0"/>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2022</w:t>
            </w:r>
          </w:p>
        </w:tc>
        <w:tc>
          <w:tcPr>
            <w:tcW w:w="326" w:type="dxa"/>
            <w:tcBorders/>
            <w:shd w:fill="auto" w:val="clear"/>
            <w:vAlign w:val="center"/>
          </w:tcPr>
          <w:p>
            <w:pPr>
              <w:pStyle w:val="TableContents"/>
              <w:spacing w:before="0" w:after="1"/>
              <w:ind w:left="0" w:right="0" w:hanging="0"/>
              <w:rPr/>
            </w:pPr>
            <w:r>
              <w:rPr/>
              <w:t>    </w:t>
            </w:r>
          </w:p>
        </w:tc>
        <w:tc>
          <w:tcPr>
            <w:tcW w:w="15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w:t>
            </w:r>
          </w:p>
        </w:tc>
        <w:tc>
          <w:tcPr>
            <w:tcW w:w="4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Additions (releases)</w:t>
            </w:r>
          </w:p>
        </w:tc>
        <w:tc>
          <w:tcPr>
            <w:tcW w:w="109"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rPr/>
            </w:pPr>
            <w:r>
              <w:rPr/>
              <w:t>​</w:t>
            </w:r>
          </w:p>
        </w:tc>
        <w:tc>
          <w:tcPr>
            <w:tcW w:w="96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1"/>
              <w:ind w:left="0" w:right="0" w:hanging="0"/>
              <w:rPr/>
            </w:pPr>
            <w:r>
              <w:rPr/>
              <w:t>​</w:t>
            </w:r>
          </w:p>
        </w:tc>
        <w:tc>
          <w:tcPr>
            <w:tcW w:w="471" w:type="dxa"/>
            <w:tcBorders/>
            <w:shd w:fill="auto" w:val="clear"/>
            <w:vAlign w:val="center"/>
          </w:tcPr>
          <w:p>
            <w:pPr>
              <w:pStyle w:val="TableContents"/>
              <w:spacing w:before="0" w:after="1"/>
              <w:ind w:left="0" w:right="0" w:hanging="0"/>
              <w:rPr/>
            </w:pPr>
            <w:r>
              <w:rPr/>
              <w:t>​</w:t>
            </w:r>
          </w:p>
        </w:tc>
        <w:tc>
          <w:tcPr>
            <w:tcW w:w="107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Write-offs</w:t>
            </w:r>
          </w:p>
        </w:tc>
        <w:tc>
          <w:tcPr>
            <w:tcW w:w="109"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rPr/>
            </w:pPr>
            <w:r>
              <w:rPr/>
              <w:t>​</w:t>
            </w:r>
          </w:p>
        </w:tc>
        <w:tc>
          <w:tcPr>
            <w:tcW w:w="96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w:t>
            </w:r>
          </w:p>
        </w:tc>
        <w:tc>
          <w:tcPr>
            <w:tcW w:w="471" w:type="dxa"/>
            <w:tcBorders/>
            <w:shd w:fill="CCEEFF" w:val="clear"/>
            <w:vAlign w:val="center"/>
          </w:tcPr>
          <w:p>
            <w:pPr>
              <w:pStyle w:val="TableContents"/>
              <w:spacing w:before="0" w:after="1"/>
              <w:ind w:left="0" w:right="0" w:hanging="0"/>
              <w:rPr/>
            </w:pPr>
            <w:r>
              <w:rPr/>
              <w:t>​</w:t>
            </w:r>
          </w:p>
        </w:tc>
        <w:tc>
          <w:tcPr>
            <w:tcW w:w="107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72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w:t>
            </w:r>
          </w:p>
        </w:tc>
        <w:tc>
          <w:tcPr>
            <w:tcW w:w="109" w:type="dxa"/>
            <w:tcBorders/>
            <w:shd w:fill="auto" w:val="clear"/>
            <w:vAlign w:val="center"/>
          </w:tcPr>
          <w:p>
            <w:pPr>
              <w:pStyle w:val="TableContents"/>
              <w:spacing w:before="0" w:after="1"/>
              <w:ind w:left="0" w:right="0" w:hanging="0"/>
              <w:rPr/>
            </w:pPr>
            <w:r>
              <w:rPr/>
              <w:t>​</w:t>
            </w:r>
          </w:p>
        </w:tc>
        <w:tc>
          <w:tcPr>
            <w:tcW w:w="64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6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47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7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17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spacing w:before="0" w:after="1"/>
              <w:ind w:left="0" w:right="0" w:hanging="0"/>
              <w:rPr/>
            </w:pPr>
            <w:r>
              <w:rPr/>
              <w:t>​</w:t>
            </w:r>
          </w:p>
        </w:tc>
        <w:tc>
          <w:tcPr>
            <w:tcW w:w="64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vAlign w:val="center"/>
          </w:tcPr>
          <w:p>
            <w:pPr>
              <w:pStyle w:val="TableContents"/>
              <w:spacing w:before="0" w:after="1"/>
              <w:ind w:left="0" w:right="0" w:hanging="0"/>
              <w:rPr/>
            </w:pPr>
            <w:r>
              <w:rPr/>
              <w:t>​</w:t>
            </w:r>
          </w:p>
        </w:tc>
        <w:tc>
          <w:tcPr>
            <w:tcW w:w="47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44</w:t>
            </w:r>
          </w:p>
        </w:tc>
      </w:tr>
    </w:tbl>
    <w:tbl>
      <w:tblPr>
        <w:tblW w:w="4817" w:type="dxa"/>
        <w:jc w:val="left"/>
        <w:tblInd w:w="0" w:type="dxa"/>
        <w:tblCellMar>
          <w:top w:w="0" w:type="dxa"/>
          <w:left w:w="0" w:type="dxa"/>
          <w:bottom w:w="0" w:type="dxa"/>
          <w:right w:w="0" w:type="dxa"/>
        </w:tblCellMar>
      </w:tblPr>
      <w:tblGrid>
        <w:gridCol w:w="211"/>
        <w:gridCol w:w="4606"/>
      </w:tblGrid>
      <w:tr>
        <w:trPr/>
        <w:tc>
          <w:tcPr>
            <w:tcW w:w="21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w:t>
            </w:r>
          </w:p>
        </w:tc>
        <w:tc>
          <w:tcPr>
            <w:tcW w:w="460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16"/>
              </w:rPr>
              <w:t>Primarily represents translation adjustments and reclassifications</w:t>
            </w:r>
            <w:r>
              <w:rPr>
                <w:rFonts w:ascii="Times New Roman;Times;serif" w:hAnsi="Times New Roman;Times;serif"/>
                <w:sz w:val="14"/>
              </w:rPr>
              <w:t>.</w:t>
            </w:r>
          </w:p>
        </w:tc>
      </w:tr>
    </w:tbl>
    <w:p>
      <w:pPr>
        <w:pStyle w:val="TextBody"/>
        <w:spacing w:before="0" w:after="240"/>
        <w:ind w:left="187" w:right="0" w:firstLine="533"/>
        <w:rPr>
          <w:rFonts w:ascii="Times New Roman;Times;serif" w:hAnsi="Times New Roman;Times;serif"/>
          <w:sz w:val="20"/>
        </w:rPr>
      </w:pPr>
      <w:r>
        <w:rPr>
          <w:rFonts w:ascii="Times New Roman;Times;serif" w:hAnsi="Times New Roman;Times;serif"/>
          <w:sz w:val="20"/>
        </w:rPr>
        <w:t>The contract assets allowance for expected credit losses was not material in any of the periods presented.</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Major Clients</w:t>
      </w:r>
    </w:p>
    <w:p>
      <w:pPr>
        <w:pStyle w:val="TextBody"/>
        <w:spacing w:before="0" w:after="240"/>
        <w:ind w:left="0" w:right="0" w:hanging="0"/>
        <w:rPr/>
      </w:pPr>
      <w:r>
        <w:rPr/>
        <w:t>​</w:t>
      </w:r>
    </w:p>
    <w:p>
      <w:pPr>
        <w:pStyle w:val="TextBody"/>
        <w:spacing w:before="0" w:after="240"/>
        <w:ind w:left="0" w:right="0" w:firstLine="533"/>
        <w:rPr>
          <w:rFonts w:ascii="Times New Roman;Times;serif" w:hAnsi="Times New Roman;Times;serif"/>
          <w:sz w:val="20"/>
        </w:rPr>
      </w:pPr>
      <w:r>
        <w:rPr>
          <w:rFonts w:ascii="Times New Roman;Times;serif" w:hAnsi="Times New Roman;Times;serif"/>
          <w:sz w:val="20"/>
        </w:rPr>
        <w:t>No single client represented more than 10 percent of the Company’s total revenue during the three months ended March 31, 2022 and 2021. Other than the former Parent (see Note 13 – Related-Party Transactions), no single client represented more than 10 percent of the Company’s total accounts receivable balance as of March 31, 2022, and December 31, 2021.</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Deferred Costs</w:t>
      </w:r>
    </w:p>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six years. For contracts with an estimated amortization period of less than one year, we elected the practical expedient to expense incremental costs immediately.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0"/>
        <w:ind w:left="0" w:right="0" w:firstLine="720"/>
        <w:rPr>
          <w:rFonts w:ascii="Times New Roman;Times;serif" w:hAnsi="Times New Roman;Times;serif"/>
          <w:sz w:val="20"/>
        </w:rPr>
      </w:pPr>
      <w:bookmarkStart w:id="695" w:name="Tc_ywh-910rB0CUV_FYooK58g_7_5"/>
      <w:bookmarkStart w:id="696" w:name="Tc_pLdidtIVikWQ2jWrGXD9Dw_7_2"/>
      <w:bookmarkStart w:id="697" w:name="Tc_AwfAuByEA0CKyJYP2ZphIQ_7_0"/>
      <w:bookmarkStart w:id="698" w:name="Tc_i1eKTq7uJk2e4_0KubDJAw_6_0"/>
      <w:bookmarkStart w:id="699" w:name="Tc_HpuHDPjOP0iF69NZexZ0EQ_5_0"/>
      <w:bookmarkStart w:id="700" w:name="Tc_6rSX7L00M06FNHTV4MN0pA_4_0"/>
      <w:bookmarkStart w:id="701" w:name="Tc_FRBIFJ5C-ku7vB_5bFPrmg_3_5"/>
      <w:bookmarkStart w:id="702" w:name="Tc_MFajEoYzZkGS_RmGiPT9oA_3_2"/>
      <w:bookmarkStart w:id="703" w:name="Tc_88Kf2l0fgE6J3rTG8hRiAQ_3_0"/>
      <w:bookmarkStart w:id="704" w:name="Tc_0-CWHmahGEyu1MTI2B7_pg_2_5"/>
      <w:bookmarkStart w:id="705" w:name="Tc_RO8P5B2SRUaqsJsvP6rcvg_2_2"/>
      <w:bookmarkStart w:id="706" w:name="Tc_X0YI5IEyS0qo_pP8sVBujg_2_0"/>
      <w:bookmarkStart w:id="707" w:name="Tc_jcmtVI2ZikCW9vASaHJVZA_1_5"/>
      <w:bookmarkStart w:id="708" w:name="Tc_VaHG5zL9LkWpXG5hqbLDYw_1_2"/>
      <w:bookmarkStart w:id="709" w:name="_038843f9_8cc6_4be9_aef8_c74b28048e38"/>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r>
        <w:rPr>
          <w:rFonts w:ascii="Times New Roman;Times;serif" w:hAnsi="Times New Roman;Times;serif"/>
          <w:sz w:val="20"/>
        </w:rPr>
        <w:t>The following table provides amounts of capitalized costs to acquire and fulfill customer contracts at March 31, 2022, and December 31, 2021:</w:t>
      </w:r>
    </w:p>
    <w:p>
      <w:pPr>
        <w:pStyle w:val="TextBody"/>
        <w:spacing w:before="0" w:after="0"/>
        <w:ind w:left="0" w:right="0" w:hanging="0"/>
        <w:rPr/>
      </w:pPr>
      <w:r>
        <w:rPr/>
        <w:t>​</w:t>
      </w:r>
    </w:p>
    <w:tbl>
      <w:tblPr>
        <w:tblW w:w="5723" w:type="dxa"/>
        <w:jc w:val="left"/>
        <w:tblInd w:w="0" w:type="dxa"/>
        <w:tblCellMar>
          <w:top w:w="0" w:type="dxa"/>
          <w:left w:w="0" w:type="dxa"/>
          <w:bottom w:w="0" w:type="dxa"/>
          <w:right w:w="0" w:type="dxa"/>
        </w:tblCellMar>
      </w:tblPr>
      <w:tblGrid>
        <w:gridCol w:w="3076"/>
        <w:gridCol w:w="326"/>
        <w:gridCol w:w="230"/>
        <w:gridCol w:w="625"/>
        <w:gridCol w:w="326"/>
        <w:gridCol w:w="271"/>
        <w:gridCol w:w="869"/>
      </w:tblGrid>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62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w:t>
            </w:r>
          </w:p>
        </w:tc>
        <w:tc>
          <w:tcPr>
            <w:tcW w:w="869" w:type="dxa"/>
            <w:tcBorders/>
            <w:shd w:fill="auto" w:val="clear"/>
            <w:vAlign w:val="center"/>
          </w:tcPr>
          <w:p>
            <w:pPr>
              <w:pStyle w:val="TableContents"/>
              <w:spacing w:before="0" w:after="1"/>
              <w:ind w:left="0" w:right="0" w:hanging="0"/>
              <w:rPr/>
            </w:pPr>
            <w:r>
              <w:rPr/>
              <w:t>​</w:t>
            </w:r>
          </w:p>
        </w:tc>
      </w:tr>
      <w:tr>
        <w:trPr/>
        <w:tc>
          <w:tcPr>
            <w:tcW w:w="30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8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07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8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Deferred transition costs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Prepaid software costs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62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806</w:t>
            </w:r>
          </w:p>
        </w:tc>
        <w:tc>
          <w:tcPr>
            <w:tcW w:w="326" w:type="dxa"/>
            <w:tcBorders/>
            <w:shd w:fill="auto" w:val="clear"/>
            <w:vAlign w:val="center"/>
          </w:tcPr>
          <w:p>
            <w:pPr>
              <w:pStyle w:val="TableContents"/>
              <w:spacing w:before="0" w:after="1"/>
              <w:ind w:left="0" w:right="0" w:hanging="0"/>
              <w:rPr/>
            </w:pPr>
            <w:r>
              <w:rPr/>
              <w:t>​</w:t>
            </w:r>
          </w:p>
        </w:tc>
        <w:tc>
          <w:tcPr>
            <w:tcW w:w="271" w:type="dxa"/>
            <w:tcBorders/>
            <w:shd w:fill="auto" w:val="clear"/>
            <w:vAlign w:val="center"/>
          </w:tcPr>
          <w:p>
            <w:pPr>
              <w:pStyle w:val="TableContents"/>
              <w:spacing w:before="0" w:after="1"/>
              <w:ind w:left="0" w:right="0" w:hanging="0"/>
              <w:rPr/>
            </w:pPr>
            <w:r>
              <w:rPr/>
              <w:t> </w:t>
            </w:r>
          </w:p>
        </w:tc>
        <w:tc>
          <w:tcPr>
            <w:tcW w:w="86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costs to fulfill contracts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62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spacing w:before="0" w:after="1"/>
              <w:ind w:left="0" w:right="0" w:hanging="0"/>
              <w:rPr/>
            </w:pPr>
            <w:r>
              <w:rPr/>
              <w:t>​</w:t>
            </w:r>
          </w:p>
        </w:tc>
        <w:tc>
          <w:tcPr>
            <w:tcW w:w="271" w:type="dxa"/>
            <w:tcBorders/>
            <w:shd w:fill="CCEEFF" w:val="clear"/>
            <w:vAlign w:val="center"/>
          </w:tcPr>
          <w:p>
            <w:pPr>
              <w:pStyle w:val="TableContents"/>
              <w:spacing w:before="0" w:after="1"/>
              <w:ind w:left="0" w:right="0" w:hanging="0"/>
              <w:rPr/>
            </w:pPr>
            <w:r>
              <w:rPr/>
              <w:t> </w:t>
            </w:r>
          </w:p>
        </w:tc>
        <w:tc>
          <w:tcPr>
            <w:tcW w:w="86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Capitalized costs to obtain contracts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2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26" w:type="dxa"/>
            <w:tcBorders/>
            <w:shd w:fill="auto" w:val="clear"/>
            <w:vAlign w:val="center"/>
          </w:tcPr>
          <w:p>
            <w:pPr>
              <w:pStyle w:val="TableContents"/>
              <w:spacing w:before="0" w:after="1"/>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6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deferred costs *</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2,387</w:t>
            </w:r>
          </w:p>
        </w:tc>
        <w:tc>
          <w:tcPr>
            <w:tcW w:w="326" w:type="dxa"/>
            <w:tcBorders/>
            <w:shd w:fill="CCEEFF" w:val="clear"/>
            <w:vAlign w:val="center"/>
          </w:tcPr>
          <w:p>
            <w:pPr>
              <w:pStyle w:val="TableContents"/>
              <w:spacing w:before="0" w:after="1"/>
              <w:ind w:left="0" w:right="0" w:hanging="0"/>
              <w:rPr/>
            </w:pPr>
            <w:r>
              <w:rPr/>
              <w:t>​</w:t>
            </w:r>
          </w:p>
        </w:tc>
        <w:tc>
          <w:tcPr>
            <w:tcW w:w="27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2,185</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40"/>
              <w:rPr>
                <w:rFonts w:ascii="Times New Roman;Times;serif" w:hAnsi="Times New Roman;Times;serif"/>
                <w:sz w:val="16"/>
              </w:rPr>
            </w:pPr>
            <w:r>
              <w:rPr>
                <w:rFonts w:ascii="Times New Roman;Times;serif" w:hAnsi="Times New Roman;Times;serif"/>
                <w:sz w:val="16"/>
              </w:rPr>
              <w:t>*</w:t>
            </w:r>
          </w:p>
        </w:tc>
        <w:tc>
          <w:tcPr>
            <w:tcW w:w="9994"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16"/>
              </w:rPr>
              <w:t>Of the total deferred costs, $1,143</w:t>
            </w:r>
            <w:r>
              <w:rPr>
                <w:rFonts w:ascii="Times New Roman;Times;serif" w:hAnsi="Times New Roman;Times;serif"/>
                <w:sz w:val="20"/>
              </w:rPr>
              <w:t xml:space="preserve"> </w:t>
            </w:r>
            <w:r>
              <w:rPr>
                <w:rFonts w:ascii="Times New Roman;Times;serif" w:hAnsi="Times New Roman;Times;serif"/>
                <w:sz w:val="16"/>
              </w:rPr>
              <w:t>million was current and $1,244</w:t>
            </w:r>
            <w:r>
              <w:rPr>
                <w:rFonts w:ascii="Times New Roman;Times;serif" w:hAnsi="Times New Roman;Times;serif"/>
                <w:sz w:val="20"/>
              </w:rPr>
              <w:t xml:space="preserve"> </w:t>
            </w:r>
            <w:r>
              <w:rPr>
                <w:rFonts w:ascii="Times New Roman;Times;serif" w:hAnsi="Times New Roman;Times;serif"/>
                <w:sz w:val="16"/>
              </w:rPr>
              <w:t>million was noncurrent at March 31, 2022, and $920</w:t>
            </w:r>
            <w:r>
              <w:rPr>
                <w:rFonts w:ascii="Times New Roman;Times;serif" w:hAnsi="Times New Roman;Times;serif"/>
                <w:sz w:val="20"/>
              </w:rPr>
              <w:t xml:space="preserve"> </w:t>
            </w:r>
            <w:r>
              <w:rPr>
                <w:rFonts w:ascii="Times New Roman;Times;serif" w:hAnsi="Times New Roman;Times;serif"/>
                <w:sz w:val="16"/>
              </w:rPr>
              <w:t>million was current and $1,265</w:t>
            </w:r>
            <w:r>
              <w:rPr>
                <w:rFonts w:ascii="Times New Roman;Times;serif" w:hAnsi="Times New Roman;Times;serif"/>
                <w:sz w:val="20"/>
              </w:rPr>
              <w:t xml:space="preserve"> </w:t>
            </w:r>
            <w:r>
              <w:rPr>
                <w:rFonts w:ascii="Times New Roman;Times;serif" w:hAnsi="Times New Roman;Times;serif"/>
                <w:sz w:val="16"/>
              </w:rPr>
              <w:t>million was noncurrent at December 31, 2021.</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highlight w:val="white"/>
        </w:rPr>
        <w:t>The amount of total deferred costs amortized for the three months ended March 31, 2022, was $455 million, composed of $112 million of amortization of deferred transition costs, $207 million of amortization of prepaid software and $136 million of amortization of capitalized contract costs.</w:t>
      </w:r>
      <w:r>
        <w:rPr>
          <w:rFonts w:ascii="Times New Roman;Times;serif" w:hAnsi="Times New Roman;Times;serif"/>
          <w:sz w:val="20"/>
        </w:rPr>
        <w:t xml:space="preserve"> </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NOTE 4. SEGMENTS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reportable segments correspond to how the chief operating decision maker (“CODM”) reviews performance and allocates resources. Our four reportable segments consist of the following:</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This reportable segment is comprised of Kyndryl’s operations in the United States. </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Japan:</w:t>
      </w:r>
      <w:r>
        <w:rPr>
          <w:rFonts w:ascii="Times New Roman;Times;serif" w:hAnsi="Times New Roman;Times;serif"/>
          <w:sz w:val="20"/>
        </w:rPr>
        <w:t xml:space="preserve"> This reportable segment is comprised of Kyndryl’s operations in Japan.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 xml:space="preserve">Principal Markets: </w:t>
      </w:r>
      <w:r>
        <w:rPr>
          <w:rFonts w:ascii="Times New Roman;Times;serif" w:hAnsi="Times New Roman;Times;serif"/>
          <w:sz w:val="20"/>
        </w:rPr>
        <w:t>This reportable segment represents the aggregation of our operations in Australia / New Zealand, Canada, France, Germany, India, Italy, Spain / Portugal, and the United Kingdom / Ireland.</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b/>
          <w:sz w:val="20"/>
        </w:rPr>
        <w:t>Strategic Markets:</w:t>
      </w:r>
      <w:r>
        <w:rPr>
          <w:rFonts w:ascii="Times New Roman;Times;serif" w:hAnsi="Times New Roman;Times;serif"/>
          <w:sz w:val="20"/>
        </w:rPr>
        <w:t xml:space="preserve"> This reportable segment is comprised of our operations in all other countries in which we operate.</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measure of segment operating performance used by Kyndryl’s CODM is adjusted EBITDA. Adjusted EBITDA is defined as net income (loss) excluding net interest expense, depreciation and amortization (excluding depreciation of right-of-use assets and amortization of capitalized contract costs), transaction-related costs, pension costs other than pension servicing costs and multi-employer plan costs, stock-based compensation expense, workforce rebalancing charges, impairment expense, significant litigation costs, and foreign currency impacts of highly inflationary countries. The use of revenue and adjusted EBITDA aligns with how the CODM assesses performance and allocates resources for the Company’s segments. The Company has recast the prior-period results to reflect the change in segment structure that became effective in the fourth quarter of 2021. In addition, during the three months ended March 31, 2022, the Company updated certain allocation methodologies related to its measure of segment adjusted EBITDA and has accordingly recast the prior-period information to reflect these updates, which did not change the aggregate amount of segment adjusted EBITDA.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geographic markets frequently work together to sell and implement certain contracts.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00"/>
        <w:ind w:left="0" w:right="0" w:firstLine="720"/>
        <w:rPr>
          <w:rFonts w:ascii="Times New Roman;Times;serif" w:hAnsi="Times New Roman;Times;serif"/>
          <w:sz w:val="20"/>
        </w:rPr>
      </w:pPr>
      <w:bookmarkStart w:id="710" w:name="_a8e2bde4_e303_4af9_af34_846ec12107d3"/>
      <w:bookmarkStart w:id="711" w:name="Tc_Nm5V_U1zY0ekpBP59s2zww_12_5"/>
      <w:bookmarkStart w:id="712" w:name="Tc_xWmsbnEVAEmSoNUpz5mKYg_12_2"/>
      <w:bookmarkStart w:id="713" w:name="Tc_bf4l6AgLvkS6TJGxmyp_ng_12_0"/>
      <w:bookmarkStart w:id="714" w:name="Tc_gdCMOWhnqUmdGfx9PcJLQg_11_0"/>
      <w:bookmarkStart w:id="715" w:name="Tc_qJE4rMb7BkGRi5f6naC49A_10_0"/>
      <w:bookmarkStart w:id="716" w:name="Tc_Zaxs8nPaJU2b6jFzYlDG9A_9_0"/>
      <w:bookmarkStart w:id="717" w:name="Tc_mFVFemzhGUSrJ4q82ljqNA_8_0"/>
      <w:bookmarkStart w:id="718" w:name="Tc_-wrCw36OYEGq5MG1pX1IOw_7_0"/>
      <w:bookmarkStart w:id="719" w:name="Tc_NN7UjVEdH0Gg0MKdaTIxtQ_6_0"/>
      <w:bookmarkStart w:id="720" w:name="Tc_bmHRmEUG4Eu8aeiK1Ft9cQ_5_0"/>
      <w:bookmarkStart w:id="721" w:name="Tc_QPwxaIsHG0GYjChc3GGIOg_4_3"/>
      <w:bookmarkStart w:id="722" w:name="Tc_rOhpQXgnA02ZR_UnfMZMKQ_4_0"/>
      <w:bookmarkStart w:id="723" w:name="Tc_8ff_e3Jvc0SCSi8AKXxUPg_3_5"/>
      <w:bookmarkStart w:id="724" w:name="Tc_9_ukjr7ktECwllTDpgs3cg_3_2"/>
      <w:bookmarkStart w:id="725" w:name="Tc_I6bzViHQ7UWTnpMpAP19XA_3_0"/>
      <w:bookmarkStart w:id="726" w:name="Tc_hjncPZIY7EGkQuYqFg16lw_2_5"/>
      <w:bookmarkStart w:id="727" w:name="Tc_LyrpqtdkKUiQF05-XcRU7Q_2_2"/>
      <w:bookmarkStart w:id="728" w:name="Tc_XOyT2ygonEmz4Z-hCg24aA_2_0"/>
      <w:bookmarkStart w:id="729" w:name="Tc_Yxnk3ZtJ40e5sqUqw8zJbA_1_2"/>
      <w:bookmarkStart w:id="730" w:name="_98f27db0_e841_4820_bb4e_986e78addaab"/>
      <w:bookmarkStart w:id="731" w:name="Tc_qOw2o2ptIUyIAH08coEtRQ_14_5"/>
      <w:bookmarkStart w:id="732" w:name="Tc_Y51EOJM_ZkmZCdMd_WeXqw_14_2"/>
      <w:bookmarkStart w:id="733" w:name="Tc_lA5A4HqKC0eZPl2Vee4-Rg_14_0"/>
      <w:bookmarkStart w:id="734" w:name="Tc_J5j329agh0Sk-C-roU04MQ_13_0"/>
      <w:bookmarkStart w:id="735" w:name="Tc_TYJyQXBouke7yY2nwOqUuQ_12_0"/>
      <w:bookmarkStart w:id="736" w:name="Tc_xYGmhSaBVEmCj3Dd8ALptg_11_0"/>
      <w:bookmarkStart w:id="737" w:name="Tc_7xz0-8dPdk2NEjCb671GBA_10_5"/>
      <w:bookmarkStart w:id="738" w:name="Tc_JNLuFKpWoE69Itvidbv8ow_10_2"/>
      <w:bookmarkStart w:id="739" w:name="Tc_tBYi8f1B8kWobwMA0FBupg_10_0"/>
      <w:bookmarkStart w:id="740" w:name="Tc_twnzvMU_bUaydFfFR1QjGQ_9_0"/>
      <w:bookmarkStart w:id="741" w:name="Tc_NDdahKwTt0KM1p7X5EbBzw_8_5"/>
      <w:bookmarkStart w:id="742" w:name="Tc_kMMxB97j-0-zOleLqvjgrQ_8_2"/>
      <w:bookmarkStart w:id="743" w:name="Tc_jQjlzDrj00-IUDaOMLx_hg_8_0"/>
      <w:bookmarkStart w:id="744" w:name="Tc_mz3GgpkQx0udn0GT2fC29A_7_0"/>
      <w:bookmarkStart w:id="745" w:name="Tc_efjm-nXxnUC1DxrO6QNPHw_6_0"/>
      <w:bookmarkStart w:id="746" w:name="Tc_1OBC-ClGf0G2uNAbPP0JSA_5_0"/>
      <w:bookmarkStart w:id="747" w:name="Tc_I6Fwq567eEaL77nzQk_g1A_4_5"/>
      <w:bookmarkStart w:id="748" w:name="Tc_NuyBgkaU20qcLKIHB7GOmw_4_2"/>
      <w:bookmarkStart w:id="749" w:name="Tc_a-_OPRRE70-4IEV1LDN6Kg_4_0"/>
      <w:bookmarkStart w:id="750" w:name="Tc_oyxVP4iUfUm_SFBeX5hlRA_3_0"/>
      <w:bookmarkStart w:id="751" w:name="Tc_Fpr2pytUAU6_bik3lPTwAQ_2_5"/>
      <w:bookmarkStart w:id="752" w:name="Tc_-Up88PRFI0KoBrKhR8wTIw_2_2"/>
      <w:bookmarkStart w:id="753" w:name="Tc_NEwtOO8enU-8lY-8bbEAhw_2_0"/>
      <w:bookmarkStart w:id="754" w:name="Tc_q99LKY5TDUOALwg8vMtFyw_1_2"/>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r>
        <w:rPr>
          <w:rFonts w:ascii="Times New Roman;Times;serif" w:hAnsi="Times New Roman;Times;serif"/>
          <w:sz w:val="20"/>
        </w:rPr>
        <w:t>The following table reflects the results of the Company’s segments:</w:t>
      </w:r>
    </w:p>
    <w:p>
      <w:pPr>
        <w:pStyle w:val="TextBody"/>
        <w:spacing w:before="0" w:after="0"/>
        <w:ind w:left="0" w:right="0" w:hanging="0"/>
        <w:rPr/>
      </w:pPr>
      <w:r>
        <w:rPr/>
        <w:t>​</w:t>
      </w:r>
    </w:p>
    <w:tbl>
      <w:tblPr>
        <w:tblW w:w="5530" w:type="dxa"/>
        <w:jc w:val="left"/>
        <w:tblInd w:w="0" w:type="dxa"/>
        <w:tblCellMar>
          <w:top w:w="0" w:type="dxa"/>
          <w:left w:w="0" w:type="dxa"/>
          <w:bottom w:w="0" w:type="dxa"/>
          <w:right w:w="0" w:type="dxa"/>
        </w:tblCellMar>
      </w:tblPr>
      <w:tblGrid>
        <w:gridCol w:w="2761"/>
        <w:gridCol w:w="326"/>
        <w:gridCol w:w="266"/>
        <w:gridCol w:w="721"/>
        <w:gridCol w:w="412"/>
        <w:gridCol w:w="266"/>
        <w:gridCol w:w="778"/>
      </w:tblGrid>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68910" cy="175260"/>
                      <wp:effectExtent l="0" t="0" r="0" b="0"/>
                      <wp:wrapNone/>
                      <wp:docPr id="64" name="Frame64"/>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57835" cy="175260"/>
                      <wp:effectExtent l="0" t="0" r="0" b="0"/>
                      <wp:wrapNone/>
                      <wp:docPr id="65" name="Frame65"/>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61620" cy="175260"/>
                      <wp:effectExtent l="0" t="0" r="0" b="0"/>
                      <wp:wrapNone/>
                      <wp:docPr id="66" name="Frame66"/>
                      <a:graphic xmlns:a="http://schemas.openxmlformats.org/drawingml/2006/main">
                        <a:graphicData uri="http://schemas.microsoft.com/office/word/2010/wordprocessingShape">
                          <wps:wsp>
                            <wps:cNvSpPr txBox="1"/>
                            <wps:spPr>
                              <a:xfrm>
                                <a:off x="0" y="0"/>
                                <a:ext cx="2616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68910" cy="175260"/>
                      <wp:effectExtent l="0" t="0" r="0" b="0"/>
                      <wp:wrapNone/>
                      <wp:docPr id="67" name="Frame67"/>
                      <a:graphic xmlns:a="http://schemas.openxmlformats.org/drawingml/2006/main">
                        <a:graphicData uri="http://schemas.microsoft.com/office/word/2010/wordprocessingShape">
                          <wps:wsp>
                            <wps:cNvSpPr txBox="1"/>
                            <wps:spPr>
                              <a:xfrm>
                                <a:off x="0" y="0"/>
                                <a:ext cx="168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4030" cy="175260"/>
                      <wp:effectExtent l="0" t="0" r="0" b="0"/>
                      <wp:wrapNone/>
                      <wp:docPr id="68" name="Frame68"/>
                      <a:graphic xmlns:a="http://schemas.openxmlformats.org/drawingml/2006/main">
                        <a:graphicData uri="http://schemas.microsoft.com/office/word/2010/wordprocessingShape">
                          <wps:wsp>
                            <wps:cNvSpPr txBox="1"/>
                            <wps:spPr>
                              <a:xfrm>
                                <a:off x="0" y="0"/>
                                <a:ext cx="4940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27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jc w:val="center"/>
              <w:rPr/>
            </w:pPr>
            <w:r>
              <w:rPr/>
              <w:t>    </w:t>
            </w:r>
          </w:p>
        </w:tc>
        <w:tc>
          <w:tcPr>
            <w:tcW w:w="9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12" w:type="dxa"/>
            <w:tcBorders/>
            <w:shd w:fill="auto" w:val="clear"/>
            <w:vAlign w:val="center"/>
          </w:tcPr>
          <w:p>
            <w:pPr>
              <w:pStyle w:val="TableContents"/>
              <w:spacing w:before="0" w:after="1"/>
              <w:ind w:left="0" w:right="0" w:hanging="0"/>
              <w:rPr/>
            </w:pPr>
            <w:r>
              <w:rPr/>
              <w:t>    </w:t>
            </w:r>
          </w:p>
        </w:tc>
        <w:tc>
          <w:tcPr>
            <w:tcW w:w="104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rPr/>
            </w:pPr>
            <w:r>
              <w:rPr/>
              <w:t>​</w:t>
            </w:r>
          </w:p>
        </w:tc>
        <w:tc>
          <w:tcPr>
            <w:tcW w:w="412"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rPr/>
            </w:pPr>
            <w:r>
              <w:rPr/>
              <w:t>​</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412"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412"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1,579</w:t>
            </w:r>
          </w:p>
        </w:tc>
        <w:tc>
          <w:tcPr>
            <w:tcW w:w="412"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1,825</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spacing w:before="0" w:after="1"/>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978</w:t>
            </w:r>
          </w:p>
        </w:tc>
        <w:tc>
          <w:tcPr>
            <w:tcW w:w="412" w:type="dxa"/>
            <w:tcBorders/>
            <w:shd w:fill="CCEEFF" w:val="clear"/>
            <w:vAlign w:val="center"/>
          </w:tcPr>
          <w:p>
            <w:pPr>
              <w:pStyle w:val="TableContents"/>
              <w:spacing w:before="0" w:after="1"/>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955</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revenue</w:t>
            </w:r>
          </w:p>
        </w:tc>
        <w:tc>
          <w:tcPr>
            <w:tcW w:w="326" w:type="dxa"/>
            <w:tcBorders/>
            <w:shd w:fill="auto" w:val="clear"/>
            <w:vAlign w:val="center"/>
          </w:tcPr>
          <w:p>
            <w:pPr>
              <w:pStyle w:val="TableContents"/>
              <w:spacing w:before="0" w:after="1"/>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4,431</w:t>
            </w:r>
          </w:p>
        </w:tc>
        <w:tc>
          <w:tcPr>
            <w:tcW w:w="412" w:type="dxa"/>
            <w:tcBorders/>
            <w:shd w:fill="auto" w:val="clear"/>
            <w:vAlign w:val="center"/>
          </w:tcPr>
          <w:p>
            <w:pPr>
              <w:pStyle w:val="TableContents"/>
              <w:spacing w:before="0" w:after="1"/>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4,771</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rPr/>
            </w:pPr>
            <w:r>
              <w:rPr/>
              <w:t>​</w:t>
            </w:r>
          </w:p>
        </w:tc>
        <w:tc>
          <w:tcPr>
            <w:tcW w:w="412"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rPr/>
            </w:pPr>
            <w:r>
              <w:rPr/>
              <w:t>​</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412"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72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412" w:type="dxa"/>
            <w:tcBorders/>
            <w:shd w:fill="CCEEFF" w:val="clear"/>
            <w:vAlign w:val="center"/>
          </w:tcPr>
          <w:p>
            <w:pPr>
              <w:pStyle w:val="TableContents"/>
              <w:spacing w:before="0" w:after="1"/>
              <w:ind w:left="0" w:right="0" w:hanging="0"/>
              <w:rPr/>
            </w:pPr>
            <w:r>
              <w:rPr/>
              <w:t>​</w:t>
            </w:r>
          </w:p>
        </w:tc>
        <w:tc>
          <w:tcPr>
            <w:tcW w:w="266" w:type="dxa"/>
            <w:tcBorders/>
            <w:shd w:fill="CCEEFF" w:val="clear"/>
            <w:vAlign w:val="center"/>
          </w:tcPr>
          <w:p>
            <w:pPr>
              <w:pStyle w:val="TableContents"/>
              <w:spacing w:before="0" w:after="1"/>
              <w:ind w:left="0" w:right="0" w:hanging="0"/>
              <w:rPr/>
            </w:pPr>
            <w:r>
              <w:rPr/>
              <w:t>​</w:t>
            </w:r>
          </w:p>
        </w:tc>
        <w:tc>
          <w:tcPr>
            <w:tcW w:w="77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7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412" w:type="dxa"/>
            <w:tcBorders/>
            <w:shd w:fill="auto" w:val="clear"/>
            <w:vAlign w:val="center"/>
          </w:tcPr>
          <w:p>
            <w:pPr>
              <w:pStyle w:val="TableContents"/>
              <w:spacing w:before="0" w:after="1"/>
              <w:ind w:left="0" w:right="0" w:hanging="0"/>
              <w:rPr/>
            </w:pPr>
            <w:r>
              <w:rPr/>
              <w:t>​</w:t>
            </w:r>
          </w:p>
        </w:tc>
        <w:tc>
          <w:tcPr>
            <w:tcW w:w="266" w:type="dxa"/>
            <w:tcBorders/>
            <w:shd w:fill="auto" w:val="clear"/>
            <w:vAlign w:val="center"/>
          </w:tcPr>
          <w:p>
            <w:pPr>
              <w:pStyle w:val="TableContents"/>
              <w:spacing w:before="0" w:after="1"/>
              <w:ind w:left="0" w:right="0" w:hanging="0"/>
              <w:rPr/>
            </w:pPr>
            <w:r>
              <w:rPr/>
              <w:t>​</w:t>
            </w:r>
          </w:p>
        </w:tc>
        <w:tc>
          <w:tcPr>
            <w:tcW w:w="77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27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spacing w:before="0" w:after="1"/>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412" w:type="dxa"/>
            <w:tcBorders/>
            <w:shd w:fill="CCEEFF" w:val="clear"/>
            <w:vAlign w:val="center"/>
          </w:tcPr>
          <w:p>
            <w:pPr>
              <w:pStyle w:val="TableContents"/>
              <w:spacing w:before="0" w:after="1"/>
              <w:ind w:left="0" w:right="0" w:hanging="0"/>
              <w:rPr/>
            </w:pPr>
            <w:r>
              <w:rPr/>
              <w:t>​</w:t>
            </w:r>
          </w:p>
        </w:tc>
        <w:tc>
          <w:tcPr>
            <w:tcW w:w="26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27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segment adjusted EBITDA</w:t>
            </w:r>
          </w:p>
        </w:tc>
        <w:tc>
          <w:tcPr>
            <w:tcW w:w="326" w:type="dxa"/>
            <w:tcBorders/>
            <w:shd w:fill="auto" w:val="clear"/>
            <w:vAlign w:val="center"/>
          </w:tcPr>
          <w:p>
            <w:pPr>
              <w:pStyle w:val="TableContents"/>
              <w:spacing w:before="0" w:after="1"/>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c>
          <w:tcPr>
            <w:tcW w:w="412" w:type="dxa"/>
            <w:tcBorders/>
            <w:shd w:fill="auto" w:val="clear"/>
            <w:vAlign w:val="center"/>
          </w:tcPr>
          <w:p>
            <w:pPr>
              <w:pStyle w:val="TableContents"/>
              <w:spacing w:before="0" w:after="1"/>
              <w:ind w:left="0" w:right="0" w:hanging="0"/>
              <w:rPr/>
            </w:pPr>
            <w:r>
              <w:rPr/>
              <w:t>​</w:t>
            </w:r>
          </w:p>
        </w:tc>
        <w:tc>
          <w:tcPr>
            <w:tcW w:w="26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78"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450</w:t>
            </w:r>
          </w:p>
        </w:tc>
      </w:tr>
    </w:tbl>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following table reconciles consolidated pretax income to segment adjusted EBITDA: </w:t>
      </w:r>
    </w:p>
    <w:p>
      <w:pPr>
        <w:pStyle w:val="TextBody"/>
        <w:spacing w:before="0" w:after="240"/>
        <w:ind w:left="0" w:right="0" w:hanging="0"/>
        <w:rPr/>
      </w:pPr>
      <w:r>
        <w:rPr/>
        <w:t>​</w:t>
      </w:r>
    </w:p>
    <w:tbl>
      <w:tblPr>
        <w:tblW w:w="6821" w:type="dxa"/>
        <w:jc w:val="left"/>
        <w:tblInd w:w="0" w:type="dxa"/>
        <w:tblCellMar>
          <w:top w:w="0" w:type="dxa"/>
          <w:left w:w="0" w:type="dxa"/>
          <w:bottom w:w="0" w:type="dxa"/>
          <w:right w:w="0" w:type="dxa"/>
        </w:tblCellMar>
      </w:tblPr>
      <w:tblGrid>
        <w:gridCol w:w="4051"/>
        <w:gridCol w:w="326"/>
        <w:gridCol w:w="275"/>
        <w:gridCol w:w="705"/>
        <w:gridCol w:w="425"/>
        <w:gridCol w:w="275"/>
        <w:gridCol w:w="764"/>
      </w:tblGrid>
      <w:tr>
        <w:trPr/>
        <w:tc>
          <w:tcPr>
            <w:tcW w:w="4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572385" cy="175260"/>
                      <wp:effectExtent l="0" t="0" r="0" b="0"/>
                      <wp:wrapNone/>
                      <wp:docPr id="69" name="Frame69"/>
                      <a:graphic xmlns:a="http://schemas.openxmlformats.org/drawingml/2006/main">
                        <a:graphicData uri="http://schemas.microsoft.com/office/word/2010/wordprocessingShape">
                          <wps:wsp>
                            <wps:cNvSpPr txBox="1"/>
                            <wps:spPr>
                              <a:xfrm>
                                <a:off x="0" y="0"/>
                                <a:ext cx="2572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74625" cy="175260"/>
                      <wp:effectExtent l="0" t="0" r="0" b="0"/>
                      <wp:wrapNone/>
                      <wp:docPr id="71" name="Frame71"/>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47675" cy="175260"/>
                      <wp:effectExtent l="0" t="0" r="0" b="0"/>
                      <wp:wrapNone/>
                      <wp:docPr id="72" name="Frame72"/>
                      <a:graphic xmlns:a="http://schemas.openxmlformats.org/drawingml/2006/main">
                        <a:graphicData uri="http://schemas.microsoft.com/office/word/2010/wordprocessingShape">
                          <wps:wsp>
                            <wps:cNvSpPr txBox="1"/>
                            <wps:spPr>
                              <a:xfrm>
                                <a:off x="0" y="0"/>
                                <a:ext cx="447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69875" cy="175260"/>
                      <wp:effectExtent l="0" t="0" r="0" b="0"/>
                      <wp:wrapNone/>
                      <wp:docPr id="73" name="Frame73"/>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74625" cy="175260"/>
                      <wp:effectExtent l="0" t="0" r="0" b="0"/>
                      <wp:wrapNone/>
                      <wp:docPr id="74" name="Frame74"/>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85140" cy="175260"/>
                      <wp:effectExtent l="0" t="0" r="0" b="0"/>
                      <wp:wrapNone/>
                      <wp:docPr id="75" name="Frame75"/>
                      <a:graphic xmlns:a="http://schemas.openxmlformats.org/drawingml/2006/main">
                        <a:graphicData uri="http://schemas.microsoft.com/office/word/2010/wordprocessingShape">
                          <wps:wsp>
                            <wps:cNvSpPr txBox="1"/>
                            <wps:spPr>
                              <a:xfrm>
                                <a:off x="0" y="0"/>
                                <a:ext cx="485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40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jc w:val="center"/>
              <w:rPr/>
            </w:pPr>
            <w:r>
              <w:rPr/>
              <w:t>    </w:t>
            </w:r>
          </w:p>
        </w:tc>
        <w:tc>
          <w:tcPr>
            <w:tcW w:w="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25" w:type="dxa"/>
            <w:tcBorders/>
            <w:shd w:fill="auto" w:val="clear"/>
            <w:vAlign w:val="center"/>
          </w:tcPr>
          <w:p>
            <w:pPr>
              <w:pStyle w:val="TableContents"/>
              <w:spacing w:before="0" w:after="0"/>
              <w:ind w:left="0" w:right="0" w:hanging="0"/>
              <w:rPr/>
            </w:pPr>
            <w:r>
              <w:rPr/>
              <w:t>    </w:t>
            </w:r>
          </w:p>
        </w:tc>
        <w:tc>
          <w:tcPr>
            <w:tcW w:w="10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Pretax income (loss) </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425"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40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pPr>
            <w:r>
              <w:rPr/>
              <w:t>—</w:t>
            </w:r>
          </w:p>
        </w:tc>
        <w:tc>
          <w:tcPr>
            <w:tcW w:w="425"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25"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0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25"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jc w:val="center"/>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25" w:type="dxa"/>
            <w:tcBorders/>
            <w:shd w:fill="CCEEFF" w:val="clear"/>
            <w:vAlign w:val="center"/>
          </w:tcPr>
          <w:p>
            <w:pPr>
              <w:pStyle w:val="TableContents"/>
              <w:spacing w:before="0" w:after="0"/>
              <w:ind w:left="0" w:right="0" w:hanging="0"/>
              <w:jc w:val="center"/>
              <w:rPr/>
            </w:pPr>
            <w:r>
              <w:rPr/>
              <w:t>​</w:t>
            </w:r>
          </w:p>
        </w:tc>
        <w:tc>
          <w:tcPr>
            <w:tcW w:w="275" w:type="dxa"/>
            <w:tcBorders/>
            <w:shd w:fill="CCEEFF" w:val="clear"/>
            <w:vAlign w:val="center"/>
          </w:tcPr>
          <w:p>
            <w:pPr>
              <w:pStyle w:val="TableContents"/>
              <w:spacing w:before="0" w:after="0"/>
              <w:ind w:left="0" w:right="0" w:hanging="0"/>
              <w:jc w:val="center"/>
              <w:rPr/>
            </w:pPr>
            <w:r>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40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expense</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jc w:val="center"/>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425"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jc w:val="center"/>
              <w:rPr/>
            </w:pPr>
            <w:r>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jc w:val="center"/>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425" w:type="dxa"/>
            <w:tcBorders/>
            <w:shd w:fill="CCEEFF" w:val="clear"/>
            <w:vAlign w:val="center"/>
          </w:tcPr>
          <w:p>
            <w:pPr>
              <w:pStyle w:val="TableContents"/>
              <w:spacing w:before="0" w:after="0"/>
              <w:ind w:left="0" w:right="0" w:hanging="0"/>
              <w:jc w:val="center"/>
              <w:rPr/>
            </w:pPr>
            <w:r>
              <w:rPr/>
              <w:t>​</w:t>
            </w:r>
          </w:p>
        </w:tc>
        <w:tc>
          <w:tcPr>
            <w:tcW w:w="275" w:type="dxa"/>
            <w:tcBorders/>
            <w:shd w:fill="CCEEFF" w:val="clear"/>
            <w:vAlign w:val="center"/>
          </w:tcPr>
          <w:p>
            <w:pPr>
              <w:pStyle w:val="TableContents"/>
              <w:spacing w:before="0" w:after="0"/>
              <w:ind w:left="0" w:right="0" w:hanging="0"/>
              <w:jc w:val="center"/>
              <w:rPr/>
            </w:pPr>
            <w:r>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40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expense not allocated to the segments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jc w:val="center"/>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425" w:type="dxa"/>
            <w:tcBorders/>
            <w:shd w:fill="auto" w:val="clear"/>
            <w:vAlign w:val="center"/>
          </w:tcPr>
          <w:p>
            <w:pPr>
              <w:pStyle w:val="TableContents"/>
              <w:spacing w:before="0" w:after="0"/>
              <w:ind w:left="0" w:right="0" w:hanging="0"/>
              <w:jc w:val="center"/>
              <w:rPr/>
            </w:pPr>
            <w:r>
              <w:rPr/>
              <w:t>​</w:t>
            </w:r>
          </w:p>
        </w:tc>
        <w:tc>
          <w:tcPr>
            <w:tcW w:w="275" w:type="dxa"/>
            <w:tcBorders/>
            <w:shd w:fill="auto" w:val="clear"/>
            <w:vAlign w:val="center"/>
          </w:tcPr>
          <w:p>
            <w:pPr>
              <w:pStyle w:val="TableContents"/>
              <w:spacing w:before="0" w:after="0"/>
              <w:ind w:left="0" w:right="0" w:hanging="0"/>
              <w:jc w:val="center"/>
              <w:rPr/>
            </w:pPr>
            <w:r>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40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adjustments *</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25" w:type="dxa"/>
            <w:tcBorders/>
            <w:shd w:fill="CCEEFF" w:val="clear"/>
            <w:vAlign w:val="center"/>
          </w:tcPr>
          <w:p>
            <w:pPr>
              <w:pStyle w:val="TableContents"/>
              <w:spacing w:before="0" w:after="0"/>
              <w:ind w:left="0" w:right="0" w:hanging="0"/>
              <w:jc w:val="center"/>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0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Segment adjusted EBITDA</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425"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450</w:t>
            </w:r>
          </w:p>
        </w:tc>
      </w:tr>
    </w:tbl>
    <w:p>
      <w:pPr>
        <w:pStyle w:val="TextBody"/>
        <w:spacing w:before="0" w:after="240"/>
        <w:ind w:left="43" w:right="0" w:hanging="0"/>
        <w:rPr>
          <w:rFonts w:ascii="Times New Roman;Times;serif" w:hAnsi="Times New Roman;Times;serif"/>
          <w:sz w:val="16"/>
        </w:rPr>
      </w:pPr>
      <w:r>
        <w:rPr>
          <w:rFonts w:ascii="Times New Roman;Times;serif" w:hAnsi="Times New Roman;Times;serif"/>
          <w:sz w:val="16"/>
        </w:rPr>
        <w:t>* Other adjustments represents significant litigation costs and pension costs other than pension servicing costs and multi-employer plan costs.</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0" w:after="240"/>
        <w:ind w:left="0" w:right="0" w:firstLine="720"/>
        <w:rPr/>
      </w:pPr>
      <w:r>
        <w:rPr/>
        <w:t>​</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NOTE 5. TAXES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Due to the change in fiscal year-end discussed in Note 1 – Significant Accounting Policies, income taxes for the three months ended March 31, 2022, are computed using the actual tax rate for the period. For the period prior to the Separation, income taxes have been calculated as if Kyndryl had filed income tax returns on a standalone basis, as our operations were historically included in certain tax returns filed by IBM.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2022, the Company’s effective tax rate was (21.0%), compared to (22.6%) for the three months ended March 31, 2021. The Company’s negative effective tax rates in 2022 and 2021 reflect a tax expense on a pretax book loss in both periods. The Company’s effective tax rate for the three months ended March 31, 2022, was lower than the Company’s statutory tax rate primarily due to undistributed foreign earnings, taxes on foreign operations and the establishment of valuation allowances in certain jurisdictions against deferred tax assets that are not more likely than not to be realized. For the period ended March 31, 2022, the additions to valuation allowance of $60 million relate to a full valuation allowance established against the net deferred tax assets in certain jurisdictions and a partial valuation allowance established against certain deferred tax assets in the United States.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Company’s effective tax rate for the three months ended March 31, 2021, was lower than the Company’s statutory tax rate primarily due to the geographic mix of pretax income and changes in valuation allowances.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spacing w:before="0" w:after="240"/>
        <w:ind w:left="0" w:right="0" w:hanging="360"/>
        <w:rPr>
          <w:rFonts w:ascii="Times New Roman;Times;serif" w:hAnsi="Times New Roman;Times;serif"/>
          <w:b/>
          <w:sz w:val="20"/>
        </w:rPr>
      </w:pPr>
      <w:bookmarkStart w:id="755" w:name="Tc_lLH1BVicMEaU17nSYh2i6g_6_0"/>
      <w:bookmarkStart w:id="756" w:name="Tc_53woYousmEqiJQigSu_GFQ_5_0"/>
      <w:bookmarkStart w:id="757" w:name="Tc_YCjzpw990kKH__FT7KnvhA_4_0"/>
      <w:bookmarkStart w:id="758" w:name="Tc_fmqvSW0EDUysV3oPkEICmw_3_0"/>
      <w:bookmarkStart w:id="759" w:name="Tc_O4ODnfkySUyg2dFZfQsKWA_2_0"/>
      <w:bookmarkStart w:id="760" w:name="Tc_37JeHojMZUmPK6oi1Ar-Gw_8_0"/>
      <w:bookmarkStart w:id="761" w:name="Tc_4XEmnJOab0yJPy7abiJ0iA_7_5"/>
      <w:bookmarkStart w:id="762" w:name="Tc_Ye5p1kyPsU62Wi2l2ZH9pg_7_2"/>
      <w:bookmarkStart w:id="763" w:name="Tc_dB5y5v7CPUKMzI92aCVjoA_7_0"/>
      <w:bookmarkStart w:id="764" w:name="Tc_kosvd9qlP0KzGB_VP20IZQ_5_0"/>
      <w:bookmarkStart w:id="765" w:name="Tc_B_JhCDrgA0KckAhOBpJJAA_3_5"/>
      <w:bookmarkStart w:id="766" w:name="Tc_zUgrD4z_iEGL-Yf0ym6Y1w_3_2"/>
      <w:bookmarkStart w:id="767" w:name="Tc_WZ8CdjPMPUmbps1J2H__MA_3_0"/>
      <w:bookmarkStart w:id="768" w:name="Tc_PPcYadsmjkyGIWu58gvpFQ_2_5"/>
      <w:bookmarkStart w:id="769" w:name="Tc__d_gKlyVlkyXxh_diwfUKw_2_2"/>
      <w:bookmarkStart w:id="770" w:name="Tc_foLRkrX7aEuz1fU81eiDKA_2_0"/>
      <w:bookmarkStart w:id="771" w:name="Tc_kN_VAikoQES-cm83r092sg_1_2"/>
      <w:bookmarkStart w:id="772" w:name="_Hlk9410433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r>
        <w:rPr>
          <w:rFonts w:ascii="Times New Roman;Times;serif" w:hAnsi="Times New Roman;Times;serif"/>
          <w:b/>
          <w:sz w:val="20"/>
        </w:rPr>
        <w:t xml:space="preserve">NOTE 6. NET LOSS PER SHARE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did not declare any stock dividends in the periods presented. The following tables provide the computation of basic and diluted earnings per share of common stock for the three months ended March 31, 2022 and 2021. </w:t>
      </w:r>
    </w:p>
    <w:p>
      <w:pPr>
        <w:pStyle w:val="TextBody"/>
        <w:spacing w:before="0" w:after="0"/>
        <w:ind w:left="0" w:right="0" w:hanging="0"/>
        <w:rPr/>
      </w:pPr>
      <w:r>
        <w:rPr/>
        <w:t>​</w:t>
      </w:r>
    </w:p>
    <w:tbl>
      <w:tblPr>
        <w:tblW w:w="8928" w:type="dxa"/>
        <w:jc w:val="left"/>
        <w:tblInd w:w="0" w:type="dxa"/>
        <w:tblCellMar>
          <w:top w:w="0" w:type="dxa"/>
          <w:left w:w="0" w:type="dxa"/>
          <w:bottom w:w="0" w:type="dxa"/>
          <w:right w:w="0" w:type="dxa"/>
        </w:tblCellMar>
      </w:tblPr>
      <w:tblGrid>
        <w:gridCol w:w="6376"/>
        <w:gridCol w:w="109"/>
        <w:gridCol w:w="295"/>
        <w:gridCol w:w="819"/>
        <w:gridCol w:w="152"/>
        <w:gridCol w:w="295"/>
        <w:gridCol w:w="882"/>
      </w:tblGrid>
      <w:tr>
        <w:trPr/>
        <w:tc>
          <w:tcPr>
            <w:tcW w:w="637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819" w:type="dxa"/>
            <w:tcBorders/>
            <w:shd w:fill="auto" w:val="clear"/>
            <w:vAlign w:val="center"/>
          </w:tcPr>
          <w:p>
            <w:pPr>
              <w:pStyle w:val="TableContents"/>
              <w:spacing w:before="0" w:after="1"/>
              <w:ind w:left="0" w:right="0" w:hanging="0"/>
              <w:rPr/>
            </w:pPr>
            <w:r>
              <w:rPr/>
              <w:t>​</w:t>
            </w:r>
          </w:p>
        </w:tc>
        <w:tc>
          <w:tcPr>
            <w:tcW w:w="152"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882" w:type="dxa"/>
            <w:tcBorders/>
            <w:shd w:fill="auto" w:val="clear"/>
            <w:vAlign w:val="center"/>
          </w:tcPr>
          <w:p>
            <w:pPr>
              <w:pStyle w:val="TableContents"/>
              <w:spacing w:before="0" w:after="1"/>
              <w:ind w:left="0" w:right="0" w:hanging="0"/>
              <w:rPr/>
            </w:pPr>
            <w:r>
              <w:rPr/>
              <w:t>​</w:t>
            </w:r>
          </w:p>
        </w:tc>
      </w:tr>
      <w:tr>
        <w:trPr/>
        <w:tc>
          <w:tcPr>
            <w:tcW w:w="637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44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637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(In millions, except per share amounts)</w:t>
            </w:r>
          </w:p>
        </w:tc>
        <w:tc>
          <w:tcPr>
            <w:tcW w:w="109" w:type="dxa"/>
            <w:tcBorders/>
            <w:shd w:fill="auto" w:val="clear"/>
            <w:vAlign w:val="center"/>
          </w:tcPr>
          <w:p>
            <w:pPr>
              <w:pStyle w:val="TableContents"/>
              <w:spacing w:before="0" w:after="1"/>
              <w:ind w:left="0" w:right="0" w:hanging="0"/>
              <w:rPr/>
            </w:pPr>
            <w:r>
              <w:rPr/>
              <w:t>​</w:t>
            </w:r>
          </w:p>
        </w:tc>
        <w:tc>
          <w:tcPr>
            <w:tcW w:w="1114"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2" w:type="dxa"/>
            <w:tcBorders/>
            <w:shd w:fill="auto" w:val="clear"/>
            <w:vAlign w:val="center"/>
          </w:tcPr>
          <w:p>
            <w:pPr>
              <w:pStyle w:val="TableContents"/>
              <w:spacing w:before="0" w:after="1"/>
              <w:ind w:left="0" w:right="0" w:hanging="0"/>
              <w:jc w:val="center"/>
              <w:rPr/>
            </w:pPr>
            <w:r>
              <w:rPr/>
              <w:t>​</w:t>
            </w:r>
          </w:p>
        </w:tc>
        <w:tc>
          <w:tcPr>
            <w:tcW w:w="117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63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Net income (loss) on which basic and diluted earnings per share is calculated </w:t>
            </w:r>
          </w:p>
        </w:tc>
        <w:tc>
          <w:tcPr>
            <w:tcW w:w="109"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152"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637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819" w:type="dxa"/>
            <w:tcBorders/>
            <w:shd w:fill="auto" w:val="clear"/>
            <w:vAlign w:val="center"/>
          </w:tcPr>
          <w:p>
            <w:pPr>
              <w:pStyle w:val="TableContents"/>
              <w:spacing w:before="0" w:after="1"/>
              <w:ind w:left="0" w:right="0" w:hanging="0"/>
              <w:jc w:val="right"/>
              <w:rPr/>
            </w:pPr>
            <w:r>
              <w:rPr/>
              <w:t>​</w:t>
            </w:r>
          </w:p>
        </w:tc>
        <w:tc>
          <w:tcPr>
            <w:tcW w:w="152"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882" w:type="dxa"/>
            <w:tcBorders/>
            <w:shd w:fill="auto" w:val="clear"/>
            <w:vAlign w:val="center"/>
          </w:tcPr>
          <w:p>
            <w:pPr>
              <w:pStyle w:val="TableContents"/>
              <w:spacing w:before="0" w:after="1"/>
              <w:ind w:left="0" w:right="0" w:hanging="0"/>
              <w:rPr/>
            </w:pPr>
            <w:r>
              <w:rPr/>
              <w:t>​</w:t>
            </w:r>
          </w:p>
        </w:tc>
      </w:tr>
      <w:tr>
        <w:trPr/>
        <w:tc>
          <w:tcPr>
            <w:tcW w:w="63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Number of shares on which basic and diluted earnings per share is calculated</w:t>
            </w:r>
          </w:p>
        </w:tc>
        <w:tc>
          <w:tcPr>
            <w:tcW w:w="109" w:type="dxa"/>
            <w:tcBorders/>
            <w:shd w:fill="CCEEFF" w:val="clear"/>
            <w:vAlign w:val="center"/>
          </w:tcPr>
          <w:p>
            <w:pPr>
              <w:pStyle w:val="TableContents"/>
              <w:spacing w:before="0" w:after="1"/>
              <w:ind w:left="0" w:right="0" w:hanging="0"/>
              <w:rPr/>
            </w:pPr>
            <w:r>
              <w:rPr/>
              <w:t>​</w:t>
            </w:r>
          </w:p>
        </w:tc>
        <w:tc>
          <w:tcPr>
            <w:tcW w:w="295"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819"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224.4</w:t>
            </w:r>
          </w:p>
        </w:tc>
        <w:tc>
          <w:tcPr>
            <w:tcW w:w="152" w:type="dxa"/>
            <w:tcBorders/>
            <w:shd w:fill="CCEEFF" w:val="clear"/>
            <w:vAlign w:val="center"/>
          </w:tcPr>
          <w:p>
            <w:pPr>
              <w:pStyle w:val="TableContents"/>
              <w:spacing w:before="0" w:after="1"/>
              <w:ind w:left="0" w:right="0" w:hanging="0"/>
              <w:rPr/>
            </w:pPr>
            <w:r>
              <w:rPr/>
              <w:t>​</w:t>
            </w:r>
          </w:p>
        </w:tc>
        <w:tc>
          <w:tcPr>
            <w:tcW w:w="295"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88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224.1</w:t>
            </w:r>
          </w:p>
        </w:tc>
      </w:tr>
      <w:tr>
        <w:trPr/>
        <w:tc>
          <w:tcPr>
            <w:tcW w:w="637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819" w:type="dxa"/>
            <w:tcBorders/>
            <w:shd w:fill="auto" w:val="clear"/>
            <w:vAlign w:val="center"/>
          </w:tcPr>
          <w:p>
            <w:pPr>
              <w:pStyle w:val="TableContents"/>
              <w:spacing w:before="0" w:after="1"/>
              <w:ind w:left="0" w:right="0" w:hanging="0"/>
              <w:jc w:val="right"/>
              <w:rPr/>
            </w:pPr>
            <w:r>
              <w:rPr/>
              <w:t>​</w:t>
            </w:r>
          </w:p>
        </w:tc>
        <w:tc>
          <w:tcPr>
            <w:tcW w:w="152"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882" w:type="dxa"/>
            <w:tcBorders/>
            <w:shd w:fill="auto" w:val="clear"/>
            <w:vAlign w:val="center"/>
          </w:tcPr>
          <w:p>
            <w:pPr>
              <w:pStyle w:val="TableContents"/>
              <w:spacing w:before="0" w:after="1"/>
              <w:ind w:left="0" w:right="0" w:hanging="0"/>
              <w:rPr/>
            </w:pPr>
            <w:r>
              <w:rPr/>
              <w:t>​</w:t>
            </w:r>
          </w:p>
        </w:tc>
      </w:tr>
      <w:tr>
        <w:trPr/>
        <w:tc>
          <w:tcPr>
            <w:tcW w:w="63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Basic earnings (loss) per share </w:t>
            </w:r>
          </w:p>
        </w:tc>
        <w:tc>
          <w:tcPr>
            <w:tcW w:w="109"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52" w:type="dxa"/>
            <w:tcBorders/>
            <w:shd w:fill="CCEEFF" w:val="clear"/>
            <w:vAlign w:val="center"/>
          </w:tcPr>
          <w:p>
            <w:pPr>
              <w:pStyle w:val="TableContents"/>
              <w:spacing w:before="0" w:after="1"/>
              <w:ind w:left="0" w:right="0" w:hanging="0"/>
              <w:rPr/>
            </w:pPr>
            <w:r>
              <w:rPr/>
              <w:t>​</w:t>
            </w:r>
          </w:p>
        </w:tc>
        <w:tc>
          <w:tcPr>
            <w:tcW w:w="2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63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Diluted earnings (loss) per share</w:t>
            </w:r>
          </w:p>
        </w:tc>
        <w:tc>
          <w:tcPr>
            <w:tcW w:w="109"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 </w:t>
            </w:r>
          </w:p>
        </w:tc>
        <w:tc>
          <w:tcPr>
            <w:tcW w:w="8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52" w:type="dxa"/>
            <w:tcBorders/>
            <w:shd w:fill="auto" w:val="clear"/>
            <w:vAlign w:val="center"/>
          </w:tcPr>
          <w:p>
            <w:pPr>
              <w:pStyle w:val="TableContents"/>
              <w:spacing w:before="0" w:after="1"/>
              <w:ind w:left="0" w:right="0" w:hanging="0"/>
              <w:rPr/>
            </w:pPr>
            <w:r>
              <w:rPr/>
              <w:t>​</w:t>
            </w:r>
          </w:p>
        </w:tc>
        <w:tc>
          <w:tcPr>
            <w:tcW w:w="295" w:type="dxa"/>
            <w:tcBorders/>
            <w:shd w:fill="auto" w:val="clear"/>
            <w:vAlign w:val="center"/>
          </w:tcPr>
          <w:p>
            <w:pPr>
              <w:pStyle w:val="TableContents"/>
              <w:spacing w:before="0" w:after="1"/>
              <w:ind w:left="0" w:right="0" w:hanging="0"/>
              <w:rPr/>
            </w:pPr>
            <w:r>
              <w:rPr/>
              <w:t>​</w:t>
            </w:r>
          </w:p>
        </w:tc>
        <w:tc>
          <w:tcPr>
            <w:tcW w:w="8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r>
    </w:tbl>
    <w:p>
      <w:pPr>
        <w:pStyle w:val="TextBody"/>
        <w:spacing w:before="0" w:after="0"/>
        <w:ind w:left="0" w:right="0" w:hanging="0"/>
        <w:rPr/>
      </w:pPr>
      <w:r>
        <w:rPr/>
        <w:t>​</w:t>
      </w:r>
    </w:p>
    <w:p>
      <w:pPr>
        <w:pStyle w:val="TextBody"/>
        <w:spacing w:before="240" w:after="240"/>
        <w:ind w:left="0" w:right="0" w:firstLine="720"/>
        <w:rPr>
          <w:rFonts w:ascii="Times New Roman;Times;serif" w:hAnsi="Times New Roman;Times;serif"/>
          <w:sz w:val="20"/>
        </w:rPr>
      </w:pPr>
      <w:r>
        <w:rPr>
          <w:rFonts w:ascii="Times New Roman;Times;serif" w:hAnsi="Times New Roman;Times;serif"/>
          <w:sz w:val="20"/>
        </w:rPr>
        <w:t xml:space="preserve">Prior to the Separation, the Company did not have any publicly-traded issued and outstanding common stock or equivalents. Accordingly, the net loss per share for the three months ended March 31, 2021, is calculated based on the 224.1 million shares distributed on the Separation Date. </w:t>
      </w:r>
    </w:p>
    <w:p>
      <w:pPr>
        <w:pStyle w:val="TextBody"/>
        <w:spacing w:before="240" w:after="0"/>
        <w:ind w:left="0" w:right="0" w:firstLine="720"/>
        <w:rPr>
          <w:rFonts w:ascii="Times New Roman;Times;serif" w:hAnsi="Times New Roman;Times;serif"/>
          <w:sz w:val="20"/>
        </w:rPr>
      </w:pPr>
      <w:r>
        <w:rPr>
          <w:rFonts w:ascii="Times New Roman;Times;serif" w:hAnsi="Times New Roman;Times;serif"/>
          <w:sz w:val="20"/>
        </w:rPr>
        <w:t xml:space="preserve">For the three months ended March 31, 2022, basic and weighted-average shares outstanding were the same because the effect of the below securities would have been anti-dilutive. </w:t>
      </w:r>
    </w:p>
    <w:p>
      <w:pPr>
        <w:pStyle w:val="TextBody"/>
        <w:spacing w:before="0" w:after="240"/>
        <w:ind w:left="0" w:right="0" w:firstLine="720"/>
        <w:rPr/>
      </w:pPr>
      <w:r>
        <w:rPr/>
        <w:t>​</w:t>
      </w:r>
    </w:p>
    <w:tbl>
      <w:tblPr>
        <w:tblW w:w="5326" w:type="dxa"/>
        <w:jc w:val="left"/>
        <w:tblInd w:w="0" w:type="dxa"/>
        <w:tblCellMar>
          <w:top w:w="0" w:type="dxa"/>
          <w:left w:w="0" w:type="dxa"/>
          <w:bottom w:w="0" w:type="dxa"/>
          <w:right w:w="0" w:type="dxa"/>
        </w:tblCellMar>
      </w:tblPr>
      <w:tblGrid>
        <w:gridCol w:w="4636"/>
        <w:gridCol w:w="109"/>
        <w:gridCol w:w="581"/>
      </w:tblGrid>
      <w:tr>
        <w:trPr/>
        <w:tc>
          <w:tcPr>
            <w:tcW w:w="46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943860" cy="175260"/>
                      <wp:effectExtent l="0" t="0" r="0" b="0"/>
                      <wp:wrapNone/>
                      <wp:docPr id="76" name="Frame76"/>
                      <a:graphic xmlns:a="http://schemas.openxmlformats.org/drawingml/2006/main">
                        <a:graphicData uri="http://schemas.microsoft.com/office/word/2010/wordprocessingShape">
                          <wps:wsp>
                            <wps:cNvSpPr txBox="1"/>
                            <wps:spPr>
                              <a:xfrm>
                                <a:off x="0" y="0"/>
                                <a:ext cx="2943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8935" cy="175260"/>
                      <wp:effectExtent l="0" t="0" r="0" b="0"/>
                      <wp:wrapNone/>
                      <wp:docPr id="78" name="Frame78"/>
                      <a:graphic xmlns:a="http://schemas.openxmlformats.org/drawingml/2006/main">
                        <a:graphicData uri="http://schemas.microsoft.com/office/word/2010/wordprocessingShape">
                          <wps:wsp>
                            <wps:cNvSpPr txBox="1"/>
                            <wps:spPr>
                              <a:xfrm>
                                <a:off x="0" y="0"/>
                                <a:ext cx="36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3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r>
      <w:tr>
        <w:trPr/>
        <w:tc>
          <w:tcPr>
            <w:tcW w:w="46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millions)</w:t>
            </w:r>
          </w:p>
        </w:tc>
        <w:tc>
          <w:tcPr>
            <w:tcW w:w="109" w:type="dxa"/>
            <w:tcBorders/>
            <w:shd w:fill="auto" w:val="clear"/>
            <w:vAlign w:val="center"/>
          </w:tcPr>
          <w:p>
            <w:pPr>
              <w:pStyle w:val="TableContents"/>
              <w:spacing w:before="0" w:after="0"/>
              <w:ind w:left="0" w:right="0" w:hanging="0"/>
              <w:rPr/>
            </w:pPr>
            <w:r>
              <w:rPr/>
              <w:t>​</w:t>
            </w:r>
          </w:p>
        </w:tc>
        <w:tc>
          <w:tcPr>
            <w:tcW w:w="58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restricted stock units issued and outstanding</w:t>
            </w:r>
          </w:p>
        </w:tc>
        <w:tc>
          <w:tcPr>
            <w:tcW w:w="109" w:type="dxa"/>
            <w:tcBorders/>
            <w:shd w:fill="CCEEFF" w:val="clear"/>
            <w:vAlign w:val="center"/>
          </w:tcPr>
          <w:p>
            <w:pPr>
              <w:pStyle w:val="TableContents"/>
              <w:spacing w:before="0" w:after="0"/>
              <w:ind w:left="0" w:right="0" w:hanging="0"/>
              <w:rPr/>
            </w:pPr>
            <w:r>
              <w:rPr/>
              <w:t>​</w:t>
            </w:r>
          </w:p>
        </w:tc>
        <w:tc>
          <w:tcPr>
            <w:tcW w:w="5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4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Market-conditioned performance awards</w:t>
            </w:r>
          </w:p>
        </w:tc>
        <w:tc>
          <w:tcPr>
            <w:tcW w:w="109"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6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 issued and outstanding</w:t>
            </w:r>
          </w:p>
        </w:tc>
        <w:tc>
          <w:tcPr>
            <w:tcW w:w="109" w:type="dxa"/>
            <w:tcBorders/>
            <w:shd w:fill="CCEEFF" w:val="clear"/>
            <w:vAlign w:val="center"/>
          </w:tcPr>
          <w:p>
            <w:pPr>
              <w:pStyle w:val="TableContents"/>
              <w:spacing w:before="0" w:after="0"/>
              <w:ind w:left="0" w:right="0" w:hanging="0"/>
              <w:rPr/>
            </w:pPr>
            <w:r>
              <w:rPr/>
              <w:t>​</w:t>
            </w:r>
          </w:p>
        </w:tc>
        <w:tc>
          <w:tcPr>
            <w:tcW w:w="5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63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w:t>
            </w:r>
          </w:p>
        </w:tc>
        <w:tc>
          <w:tcPr>
            <w:tcW w:w="109" w:type="dxa"/>
            <w:tcBorders/>
            <w:shd w:fill="auto" w:val="clear"/>
            <w:vAlign w:val="center"/>
          </w:tcPr>
          <w:p>
            <w:pPr>
              <w:pStyle w:val="TableContents"/>
              <w:spacing w:before="0" w:after="0"/>
              <w:ind w:left="0" w:right="0" w:hanging="0"/>
              <w:rPr/>
            </w:pPr>
            <w:r>
              <w:rPr/>
              <w:t>​</w:t>
            </w:r>
          </w:p>
        </w:tc>
        <w:tc>
          <w:tcPr>
            <w:tcW w:w="581"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15.5</w:t>
            </w:r>
          </w:p>
        </w:tc>
      </w:tr>
    </w:tbl>
    <w:p>
      <w:pPr>
        <w:pStyle w:val="TextBody"/>
        <w:pBdr/>
        <w:spacing w:before="0" w:after="0"/>
        <w:ind w:left="0" w:right="0" w:hanging="360"/>
        <w:rPr/>
      </w:pPr>
      <w:r>
        <w:rPr/>
        <w:t>​</w:t>
      </w:r>
    </w:p>
    <w:p>
      <w:pPr>
        <w:pStyle w:val="TextBody"/>
        <w:pBdr/>
        <w:spacing w:before="0" w:after="240"/>
        <w:ind w:left="0" w:right="0" w:hanging="360"/>
        <w:rPr/>
      </w:pPr>
      <w:r>
        <w:rPr/>
        <w:t>​</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 xml:space="preserve">NOTE 7. FINANCIAL ASSETS AND LIABILITIES </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Fair Value Measurements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Level 1 </w:t>
            </w:r>
            <w:r>
              <w:rPr>
                <w:caps w:val="false"/>
                <w:smallCaps w:val="false"/>
              </w:rPr>
              <w:t xml:space="preserve">– </w:t>
            </w:r>
            <w:r>
              <w:rPr>
                <w:rFonts w:ascii="Times New Roman;Times;serif" w:hAnsi="Times New Roman;Times;serif"/>
                <w:b w:val="false"/>
                <w:i w:val="false"/>
                <w:caps w:val="false"/>
                <w:smallCaps w:val="false"/>
                <w:sz w:val="20"/>
              </w:rPr>
              <w:t>Quoted prices (unadjusted) in active markets for identical assets or liabilities that can be accessed at the measurement date.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Level 2 </w:t>
            </w:r>
            <w:r>
              <w:rPr>
                <w:caps w:val="false"/>
                <w:smallCaps w:val="false"/>
              </w:rPr>
              <w:t xml:space="preserve">– </w:t>
            </w:r>
            <w:r>
              <w:rPr>
                <w:rFonts w:ascii="Times New Roman;Times;serif" w:hAnsi="Times New Roman;Times;serif"/>
                <w:b w:val="false"/>
                <w:i w:val="false"/>
                <w:caps w:val="false"/>
                <w:smallCaps w:val="false"/>
                <w:sz w:val="20"/>
              </w:rPr>
              <w:t>Inputs other than quoted prices included within Level 1 that are observable for the asset or liability, either directly or indirectly.</w:t>
            </w:r>
          </w:p>
        </w:tc>
      </w:tr>
    </w:tbl>
    <w:tbl>
      <w:tblPr>
        <w:tblW w:w="5016" w:type="dxa"/>
        <w:jc w:val="left"/>
        <w:tblInd w:w="0" w:type="dxa"/>
        <w:tblCellMar>
          <w:top w:w="28" w:type="dxa"/>
          <w:left w:w="28" w:type="dxa"/>
          <w:bottom w:w="28" w:type="dxa"/>
          <w:right w:w="28" w:type="dxa"/>
        </w:tblCellMar>
      </w:tblPr>
      <w:tblGrid>
        <w:gridCol w:w="124"/>
        <w:gridCol w:w="256"/>
        <w:gridCol w:w="46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3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rPr>
              <w:t xml:space="preserve">Level 3 </w:t>
            </w:r>
            <w:r>
              <w:rPr>
                <w:caps w:val="false"/>
                <w:smallCaps w:val="false"/>
              </w:rPr>
              <w:t xml:space="preserve">– </w:t>
            </w:r>
            <w:r>
              <w:rPr>
                <w:rFonts w:ascii="Times New Roman;Times;serif" w:hAnsi="Times New Roman;Times;serif"/>
                <w:b w:val="false"/>
                <w:i w:val="false"/>
                <w:caps w:val="false"/>
                <w:smallCaps w:val="false"/>
                <w:sz w:val="20"/>
              </w:rPr>
              <w:t>Unobservable inputs for the asset or liability.</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level of an asset or liability within the fair value hierarchy is determined based on the lowest level of any input that is significant to the fair value measurement.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determining the fair value of certain financial instruments, the Company considers certain market valuation adjustments to the “base valuations” using the methodologies described below for several parameters that market participants would consider in determining fair value: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spacing w:before="0" w:after="0"/>
        <w:rPr>
          <w:sz w:val="4"/>
          <w:szCs w:val="4"/>
        </w:rPr>
      </w:pPr>
      <w:r>
        <w:rPr>
          <w:sz w:val="4"/>
          <w:szCs w:val="4"/>
        </w:rPr>
      </w:r>
      <w:bookmarkStart w:id="773" w:name="_Hlk102406713"/>
      <w:bookmarkStart w:id="774" w:name="_Hlk102591082"/>
      <w:bookmarkStart w:id="775" w:name="_Hlk102406713"/>
      <w:bookmarkStart w:id="776" w:name="_Hlk102591082"/>
      <w:bookmarkEnd w:id="775"/>
      <w:bookmarkEnd w:id="776"/>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credit risk adjustments are applied to certain financial instruments, taking into account the actual credit risk of a counterparty as observed in the credit default swap market to determine the true fair value of such an instrument.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adjustments are applied to reflect the Company’s own credit risk when valuing certain liabilities measured at fair value. The methodology is consistent with that applied in developing counterparty credit risk adjustments, but incorporates the Company’s credit risk as observed in the credit default swap market.</w:t>
            </w:r>
          </w:p>
        </w:tc>
      </w:tr>
    </w:tbl>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Certain non-financial assets such as property, plant and equipment, operating right-of-use assets, land, goodwill and intangible assets are recorded at fair value or at cost, as appropriate, in the period they are initially recognized, and such fair value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perform a qualitative assessment of assets on a periodic basis and recognize an impairment if there are sufficient indicators that the fair value is less than carrying value. There were no impairments of non-financial assets recognized for the three months ended March 31, 2022 and 2021,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Assets and Liabilities Measured at Fair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gross balances of derivative assets contained within prepaid expenses and other current assets in the Consolidated Balance Sheet was $9 million at both March 31, 2022, and December 31, 2021. The gross balances of derivative liabilities contained within other accrued expenses and liabilities, and other liabilities in the Consolidated Balance Sheet at March 31, 2022, and December 31, 2021, were $2 million and $1 million, respectively. The fair value of derivatives is the difference between the contractual forward price and the current available forward price for the residual maturity of the contract using observable market rates and is categorized as Level 2 in the fair value hierarchy.</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may enter into master netting agreements with certain counterparties that allow for netting of exposures in the event of default or breach. However, in the Consolidated Balance Sheet, the Company does not offset derivative assets against liabilities with counterparties in master netting arrangements by counterparty, and there was no derivative instruments activity impacted by master netting agreements at March 31, 2022, and December 31, 2021.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Assets and Liabilities Not Measured at Fair Value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 of these time deposits with maturities of 90 days or less contained within cash and cash equivalents in the Consolidated Balance Sheet at March 31, 2022, and December 31, 2021, was $972 million and $609 million, respectively. If measured at fair value in the consolidated financial statements, time deposits with maturities of 90 days or less would be categorized as Level 2 in the fair value hierarchy.</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fair value of our outstanding debt (excluding finance lease obligations) is based on various methodologies, including quoted prices in active markets for identical debt instruments, which is a Level 1 measurement, and calculated fair value using an expected present value technique that uses rates currently available to the Company for debt in active markets with similar terms and remaining maturities, which is a Level 2 measurement.</w:t>
      </w:r>
      <w:r>
        <w:rPr>
          <w:rFonts w:ascii="Times New Roman;Times;serif" w:hAnsi="Times New Roman;Times;serif"/>
          <w:sz w:val="20"/>
          <w:highlight w:val="white"/>
        </w:rPr>
        <w:t xml:space="preserve"> As of March 31, 2022, our outstanding debt </w:t>
      </w:r>
      <w:r>
        <w:rPr>
          <w:rFonts w:ascii="Times New Roman;Times;serif" w:hAnsi="Times New Roman;Times;serif"/>
          <w:sz w:val="20"/>
        </w:rPr>
        <w:t>(excluding finance lease obligations)</w:t>
      </w:r>
      <w:r>
        <w:rPr>
          <w:rFonts w:ascii="Times New Roman;Times;serif" w:hAnsi="Times New Roman;Times;serif"/>
          <w:sz w:val="20"/>
          <w:highlight w:val="white"/>
        </w:rPr>
        <w:t xml:space="preserve"> had a carrying value of $3.0 billion and an estimated fair value of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sz w:val="20"/>
        </w:rPr>
      </w:pPr>
      <w:bookmarkStart w:id="777" w:name="XBRL_TS_cabbc6dba85b46748bb77233fe829b2f"/>
      <w:bookmarkEnd w:id="777"/>
      <w:r>
        <w:rPr>
          <w:rFonts w:ascii="Times New Roman;Times;serif" w:hAnsi="Times New Roman;Times;serif"/>
          <w:sz w:val="20"/>
          <w:highlight w:val="white"/>
        </w:rPr>
        <w:t xml:space="preserve">$2.7 billon, consisting of quoted prices for identical debt instruments (Level 1) and </w:t>
      </w:r>
      <w:r>
        <w:rPr>
          <w:rFonts w:ascii="Times New Roman;Times;serif" w:hAnsi="Times New Roman;Times;serif"/>
          <w:sz w:val="20"/>
        </w:rPr>
        <w:t>expected present value calculated off observable inputs (Level 2)</w:t>
      </w:r>
      <w:r>
        <w:rPr>
          <w:rFonts w:ascii="Times New Roman;Times;serif" w:hAnsi="Times New Roman;Times;serif"/>
          <w:sz w:val="20"/>
          <w:highlight w:val="white"/>
        </w:rPr>
        <w:t xml:space="preserve">. As of December 31, 2021, our outstanding debt </w:t>
      </w:r>
      <w:r>
        <w:rPr>
          <w:rFonts w:ascii="Times New Roman;Times;serif" w:hAnsi="Times New Roman;Times;serif"/>
          <w:sz w:val="20"/>
        </w:rPr>
        <w:t xml:space="preserve">(excluding finance lease obligations) </w:t>
      </w:r>
      <w:r>
        <w:rPr>
          <w:rFonts w:ascii="Times New Roman;Times;serif" w:hAnsi="Times New Roman;Times;serif"/>
          <w:sz w:val="20"/>
          <w:highlight w:val="white"/>
        </w:rPr>
        <w:t xml:space="preserve">had a carrying value of $3.0 billion, which approximated fair value.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Derivative Financial Instruments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Foreign Exchange Risk</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Anticipated Cost Transactions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Company has foreign exchange derivative financial instruments designated as cash flow hedges to manage foreign currency risk that was deemed to be associated with the Company’s operations and has been allocated to the Company’s Consolidated Income Statement through the pre-Separation periods, based on its pro rata share of the underlying items hedged, where applicable, with the remainder allocated on a pro rata basis of revenue. Changes in fair value of derivatives designated as a cash flow hedge are recorded, net of applicable taxes, in other comprehensive income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At March 31, 2022, and December 31, 2021, the total notional amount of forward contracts designated as cash flow hedges of forecasted foreign currency cost transactions was $216 million and $213 million, respectively.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March 31, 2022, and December 31, 2021, the weighted-average remaining maturity of these instruments was approximately 0.5 years.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At March 31, 2022, in connection with cash flow hedges of foreign currency cost transactions, the Company recorded net deferred gains of $3 million (before taxes) in AOCI. At December 31, 2021, in connection with cash flow hedges of foreign currency cost transactions, the Company recorded net deferred gains of $4 million (before taxes) in AOCI. The Company estimates that $3 million (before taxes) of deferred net gains on derivatives in AOCI at March 31, 2022, will be reclassified to net income within the next twelve months, providing an offsetting economic impact against the underlying anticipated transactions.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 xml:space="preserve">Subsidiary Cash and Foreign Currency Asset / Liability Management </w:t>
      </w:r>
    </w:p>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uses global treasury centers to manage the cash of its subsidiaries. These centers principally use currency swaps to convert cash flows in a cost-effective manner. Changes in fair value of derivatives not designated as hedges are reported in earnings in other (income) and expense. Cash flows from derivatives not designated as hedges are reported in cash flows from investing activities in the Consolidated Statement of Cash Flows. The terms of these swap contracts are generally less than one year. The changes in the fair values of these contracts and of the underlying hedged exposures are generally offsetting and are recorded in other (income) and expense in the Consolidated Income Statement. At March 31, 2022, and December 31, 2021, the total notional amount of derivative instruments in economic hedges of foreign currency exposure was $945 million and $581 million,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bookmarkStart w:id="778" w:name="Tc_BST2JZ_d7UGsWHYoI_xgiw_9_14"/>
      <w:bookmarkStart w:id="779" w:name="Tc_yYGYwP-LVUuiSQJoY0qzVw_9_13"/>
      <w:bookmarkStart w:id="780" w:name="Tc_aOI_pcUFGky-VQutrdtfcQ_9_10"/>
      <w:bookmarkStart w:id="781" w:name="Tc_yIGQnSDTbkKlVisk-uJwcw_9_6"/>
      <w:bookmarkStart w:id="782" w:name="Tc_z0FthJKjxkyVuXc_MAukNQ_9_5"/>
      <w:bookmarkStart w:id="783" w:name="Tc__w255w2wgUqIq5Wq75WlpQ_9_2"/>
      <w:bookmarkStart w:id="784" w:name="Tc_j7x2UIKJt0exlG-17uf1Ig_9_0"/>
      <w:bookmarkStart w:id="785" w:name="Tc_ts3bVZqzL0OC1sAl9iFPxQ_8_14"/>
      <w:bookmarkStart w:id="786" w:name="Tc_wyD2d9o9ikOTnlexqGLtsg_8_11"/>
      <w:bookmarkStart w:id="787" w:name="Tc_X_DwgPHFcE2UBme18RYrOg_8_8"/>
      <w:bookmarkStart w:id="788" w:name="Tc_mgLKnvsnmU6eGP77P8nTgQ_7_14"/>
      <w:bookmarkStart w:id="789" w:name="Tc_B6TtCk5jvkyYR9uqglpysQ_7_11"/>
      <w:bookmarkStart w:id="790" w:name="Tc_xkh-UtH9qkmo8YzWV77fmg_7_8"/>
      <w:bookmarkStart w:id="791" w:name="Tc_kNjmzvTxOE2NiijFw3ffPw_6_14"/>
      <w:bookmarkStart w:id="792" w:name="Tc_b456z5QguE6S3QvhNI9k-A_6_13"/>
      <w:bookmarkStart w:id="793" w:name="Tc_WX69ZfcswUKGOt1P-q1KdQ_6_10"/>
      <w:bookmarkStart w:id="794" w:name="Tc_38RCjvjV_0K-4Ej5HldwEg_6_8"/>
      <w:bookmarkStart w:id="795" w:name="Tc_Lkv9SqV5iE6g5XwmpRK5tg_6_6"/>
      <w:bookmarkStart w:id="796" w:name="Tc_0UydN_Sve063-2_8RrtrAQ_6_5"/>
      <w:bookmarkStart w:id="797" w:name="Tc_GsmXwPRc90Ojz7_8Ok4NIw_6_2"/>
      <w:bookmarkStart w:id="798" w:name="Tc_vRXtgX0gO0Orp-0Xk0ga8w_6_0"/>
      <w:bookmarkStart w:id="799" w:name="Tc_g5kSFU1V9kiYScm2Feq_MA_5_0"/>
      <w:bookmarkStart w:id="800" w:name="Tc_pHbWqhSt9EGTql1hDvLiSg_4_13"/>
      <w:bookmarkStart w:id="801" w:name="Tc_tRLiz_PO20eXLJ8sipgdPw_4_10"/>
      <w:bookmarkStart w:id="802" w:name="Tc_O9rHf6lPmU6juoGLzUV1Aw_4_8"/>
      <w:bookmarkStart w:id="803" w:name="Tc_2bL1PkrU_EugFUXP9PHLNQ_4_5"/>
      <w:bookmarkStart w:id="804" w:name="Tc_EOtgFo8ys0OfDIT-Gqdnxw_4_2"/>
      <w:bookmarkStart w:id="805" w:name="Tc_M8EHbDmdHECpf2RczVgLCA_4_0"/>
      <w:bookmarkStart w:id="806" w:name="Tc_W4OOi_KQf0G2QVDvJYm-ug_3_10"/>
      <w:bookmarkStart w:id="807" w:name="Tc_i7lu9E4b202PYE-op-uMtg_3_8"/>
      <w:bookmarkStart w:id="808" w:name="Tc_hUwzE7y3CUKFvIA0djLtwQ_3_2"/>
      <w:bookmarkStart w:id="809" w:name="Tc_PPz4AUIz4EKkWG8G5a8GJg_3_0"/>
      <w:bookmarkStart w:id="810" w:name="Tc_-jRTubGQ00mdXlIlAlb8rQ_2_10"/>
      <w:bookmarkStart w:id="811" w:name="Tc_Wvmpxv58jUuspxm0GoH3uw_2_8"/>
      <w:bookmarkStart w:id="812" w:name="Tc_Vw6WgPo-U06kKbS9RjQUPQ_2_2"/>
      <w:bookmarkStart w:id="813" w:name="Tc_0kDS4xDzV0mRPSfadgZgJQ_2_0"/>
      <w:bookmarkStart w:id="814" w:name="Tc_6Kj1UUryZ0eRjiXyWFQUPQ_1_2"/>
      <w:bookmarkStart w:id="815" w:name="_825e1438_ab03_4ce9_ae8c_85919d93e0c6"/>
      <w:bookmarkStart w:id="816" w:name="Tc_bwsnjLk26UqU8ZYxWxeQDA_7_14"/>
      <w:bookmarkStart w:id="817" w:name="Tc_vqIId41j_E-9pXsPhUAZ5A_7_13"/>
      <w:bookmarkStart w:id="818" w:name="Tc_DgcEafPb_0CV0J5mbEYnDg_7_11"/>
      <w:bookmarkStart w:id="819" w:name="Tc_Z2Lc4F6JYEGn2FDZMxvewA_7_10"/>
      <w:bookmarkStart w:id="820" w:name="Tc_Uo8nzWTv70a-xhsi0-cZaA_7_8"/>
      <w:bookmarkStart w:id="821" w:name="Tc_p5zqNvn16UKtGF-233uByw_7_7"/>
      <w:bookmarkStart w:id="822" w:name="Tc_HhGarRzyuEm9cJ7gqgOfqg_7_4"/>
      <w:bookmarkStart w:id="823" w:name="Tc_RKDRRK7wKUab-vtofFjD4w_7_0"/>
      <w:bookmarkStart w:id="824" w:name="Tc_ZqesXIWTLkSnR5b13XgWnQ_6_14"/>
      <w:bookmarkStart w:id="825" w:name="Tc_3whkHRAxwEW50JuQ0kW5pg_6_11"/>
      <w:bookmarkStart w:id="826" w:name="Tc_FEQ_Bq_pEUGLDes4rDonnw_6_8"/>
      <w:bookmarkStart w:id="827" w:name="Tc_5kRvBr8rjEqJGBU4wXRbkg_6_7"/>
      <w:bookmarkStart w:id="828" w:name="Tc_YZrAUpldN0ecBPcN0A_gBQ_6_4"/>
      <w:bookmarkStart w:id="829" w:name="Tc_dUv_zq-VTkaso7FEMewVRw_6_2"/>
      <w:bookmarkStart w:id="830" w:name="Tc_0BrHvFSA-06zSIsbJHGEOw_6_0"/>
      <w:bookmarkStart w:id="831" w:name="Tc_mixr1aI5pkKjisdiQZpANA_5_0"/>
      <w:bookmarkStart w:id="832" w:name="Tc_Z9SzUO8CuUGLs2d3bFYQ3w_4_13"/>
      <w:bookmarkStart w:id="833" w:name="Tc_lfWOAh8LkUSUJgeozYyvoQ_4_10"/>
      <w:bookmarkStart w:id="834" w:name="Tc_9ERI84Df8Eeve8u5420xZw_4_7"/>
      <w:bookmarkStart w:id="835" w:name="Tc_-0HfBbTsBU6wRwDUH7zj7w_4_4"/>
      <w:bookmarkStart w:id="836" w:name="Tc_FMn4ez15AUGVDSUIYp4f-A_4_2"/>
      <w:bookmarkStart w:id="837" w:name="Tc_nzS3BlvznE69Hq3HViO3kg_4_0"/>
      <w:bookmarkStart w:id="838" w:name="Tc_4FNfwAlFQUy7KLfgv6GSGA_3_10"/>
      <w:bookmarkStart w:id="839" w:name="Tc_TfeCGRMhdEqwQ78AP9iCBA_3_4"/>
      <w:bookmarkStart w:id="840" w:name="Tc_tyFB8WpDfk-rI4Rc8VWabg_3_2"/>
      <w:bookmarkStart w:id="841" w:name="Tc_gRohC3sZP0KNISlEiDV9QQ_3_0"/>
      <w:bookmarkStart w:id="842" w:name="Tc_BwX1KH3q8Ue6coz2L2ZqIQ_2_10"/>
      <w:bookmarkStart w:id="843" w:name="Tc_TkDm0JgQ3ki2Bx61p9OszQ_2_4"/>
      <w:bookmarkStart w:id="844" w:name="Tc_C6Co-3YpGEynZiNIdsK8qA_2_2"/>
      <w:bookmarkStart w:id="845" w:name="Tc_AYpRl-W0S0S_4GQx-AbpAQ_2_0"/>
      <w:bookmarkStart w:id="846" w:name="Tc_tEFAYCvy_Uqz16wOI7Dl6w_1_2"/>
      <w:bookmarkStart w:id="847" w:name="_9b3d7475_a5c3_4036_81b8_0a4713cd0ee8"/>
      <w:bookmarkStart w:id="848" w:name="Tc_OdISgBpHJ0yVAHGwnHjJZQ_6_12"/>
      <w:bookmarkStart w:id="849" w:name="Tc_PfFIowg8NkSEPgjeHNvjNw_6_0"/>
      <w:bookmarkStart w:id="850" w:name="Tc_TUtYx9tmo0a8gBnWVjT7aA_5_12"/>
      <w:bookmarkStart w:id="851" w:name="Tc_HkJ4mjWbsU-EEpNNKORhwA_5_9"/>
      <w:bookmarkStart w:id="852" w:name="Tc_r2sWDFTn90yZ5_AR92pBhg_5_0"/>
      <w:bookmarkStart w:id="853" w:name="Tc_y6xJTE-9W0eUy3Uu1N_QIQ_4_12"/>
      <w:bookmarkStart w:id="854" w:name="Tc_Xz5pn67QEUC2STWztD07Dw_4_11"/>
      <w:bookmarkStart w:id="855" w:name="Tc_Ude0DQP8g0WwDQl4MejDmA_4_8"/>
      <w:bookmarkStart w:id="856" w:name="Tc_0rsURxPi2UmUlIZk3pnqQA_4_5"/>
      <w:bookmarkStart w:id="857" w:name="Tc_f77qRnM_QkqnBnOjAVV77w_4_2"/>
      <w:bookmarkStart w:id="858" w:name="Tc_tKvQ_0OtbkSeKXpYd8kRGw_4_0"/>
      <w:bookmarkStart w:id="859" w:name="Tc_xF3Oo7m-eUGxR6hHXWcCrQ_3_11"/>
      <w:bookmarkStart w:id="860" w:name="Tc_QTyoqkvKD0WyEwXEyz2ChA_3_8"/>
      <w:bookmarkStart w:id="861" w:name="Tc_lLZWsSXvp0ahD3nHT2sHcg_3_5"/>
      <w:bookmarkStart w:id="862" w:name="Tc_ez4IUwRgLE-YhGHb4LF29Q_3_2"/>
      <w:bookmarkStart w:id="863" w:name="Tc_Ts3OfMq6OkKgiW8C7x7NPQ_3_0"/>
      <w:bookmarkStart w:id="864" w:name="Tc_9KpCha4gBUq9J25-Nu701g_2_8"/>
      <w:bookmarkStart w:id="865" w:name="Tc_3EH7eJ7M5kOBYzFkeZK6KA_2_2"/>
      <w:bookmarkStart w:id="866" w:name="Tc_kvbH73nEQU-zBI-rcpreKw_2_0"/>
      <w:bookmarkStart w:id="867" w:name="Tc_tEshVX9ji0Cbba6ALdBe1g_1_8"/>
      <w:bookmarkStart w:id="868" w:name="_95807e92_c806_40fc_abdf_ad724a0e372d"/>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Pr>
          <w:rFonts w:ascii="Times New Roman;Times;serif" w:hAnsi="Times New Roman;Times;serif"/>
          <w:b/>
          <w:sz w:val="20"/>
        </w:rPr>
        <w:t>The Effect of Derivative Instruments in the Consolidated Income Statement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total amounts of income and expense line items presented in the Consolidated Income Statement in which the effects of cash flow hedges and derivatives not designated as hedging instruments are recorded, and the total effect of hedge activity on these income and expense line items are as follows:</w:t>
      </w:r>
    </w:p>
    <w:p>
      <w:pPr>
        <w:pStyle w:val="TextBody"/>
        <w:spacing w:before="0" w:after="0"/>
        <w:ind w:left="0" w:right="0" w:hanging="0"/>
        <w:rPr/>
      </w:pPr>
      <w:r>
        <w:rPr/>
        <w:t>​</w:t>
      </w:r>
    </w:p>
    <w:tbl>
      <w:tblPr>
        <w:tblW w:w="7866" w:type="dxa"/>
        <w:jc w:val="left"/>
        <w:tblInd w:w="0" w:type="dxa"/>
        <w:tblCellMar>
          <w:top w:w="0" w:type="dxa"/>
          <w:left w:w="0" w:type="dxa"/>
          <w:bottom w:w="0" w:type="dxa"/>
          <w:right w:w="0" w:type="dxa"/>
        </w:tblCellMar>
      </w:tblPr>
      <w:tblGrid>
        <w:gridCol w:w="3736"/>
        <w:gridCol w:w="326"/>
        <w:gridCol w:w="211"/>
        <w:gridCol w:w="571"/>
        <w:gridCol w:w="326"/>
        <w:gridCol w:w="211"/>
        <w:gridCol w:w="571"/>
        <w:gridCol w:w="326"/>
        <w:gridCol w:w="215"/>
        <w:gridCol w:w="354"/>
        <w:gridCol w:w="333"/>
        <w:gridCol w:w="215"/>
        <w:gridCol w:w="471"/>
      </w:tblGrid>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2585" cy="175260"/>
                      <wp:effectExtent l="0" t="0" r="0" b="0"/>
                      <wp:wrapNone/>
                      <wp:docPr id="80" name="Frame8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62585" cy="175260"/>
                      <wp:effectExtent l="0" t="0" r="0" b="0"/>
                      <wp:wrapNone/>
                      <wp:docPr id="82" name="Frame8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24790" cy="175260"/>
                      <wp:effectExtent l="0" t="0" r="0" b="0"/>
                      <wp:wrapNone/>
                      <wp:docPr id="84" name="Frame84"/>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1455" cy="175260"/>
                      <wp:effectExtent l="0" t="0" r="0" b="0"/>
                      <wp:wrapNone/>
                      <wp:docPr id="85" name="Frame85"/>
                      <a:graphic xmlns:a="http://schemas.openxmlformats.org/drawingml/2006/main">
                        <a:graphicData uri="http://schemas.microsoft.com/office/word/2010/wordprocessingShape">
                          <wps:wsp>
                            <wps:cNvSpPr txBox="1"/>
                            <wps:spPr>
                              <a:xfrm>
                                <a:off x="0" y="0"/>
                                <a:ext cx="211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5" w:type="dxa"/>
            <w:tcBorders/>
            <w:shd w:fill="auto" w:val="clear"/>
            <w:vAlign w:val="center"/>
          </w:tcPr>
          <w:p>
            <w:pPr>
              <w:pStyle w:val="TableContents"/>
              <w:spacing w:before="0" w:after="0"/>
              <w:ind w:left="0" w:right="0" w:hanging="0"/>
              <w:rPr/>
            </w:pPr>
            <w:r>
              <w:rPr/>
              <w:t>​</w:t>
            </w:r>
          </w:p>
        </w:tc>
        <w:tc>
          <w:tcPr>
            <w:tcW w:w="4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99085" cy="175260"/>
                      <wp:effectExtent l="0" t="0" r="0" b="0"/>
                      <wp:wrapNone/>
                      <wp:docPr id="86" name="Frame86"/>
                      <a:graphic xmlns:a="http://schemas.openxmlformats.org/drawingml/2006/main">
                        <a:graphicData uri="http://schemas.microsoft.com/office/word/2010/wordprocessingShape">
                          <wps:wsp>
                            <wps:cNvSpPr txBox="1"/>
                            <wps:spPr>
                              <a:xfrm>
                                <a:off x="0" y="0"/>
                                <a:ext cx="299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88"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Gains (Losses) from</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rPr/>
            </w:pPr>
            <w:r>
              <w:rPr/>
              <w:t>​</w:t>
            </w:r>
          </w:p>
        </w:tc>
        <w:tc>
          <w:tcPr>
            <w:tcW w:w="158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Hedge Activity</w:t>
            </w:r>
          </w:p>
        </w:tc>
      </w:tr>
      <w:tr>
        <w:trPr/>
        <w:tc>
          <w:tcPr>
            <w:tcW w:w="37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For the three months ended March 31:</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5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33" w:type="dxa"/>
            <w:tcBorders/>
            <w:shd w:fill="auto" w:val="clear"/>
            <w:vAlign w:val="center"/>
          </w:tcPr>
          <w:p>
            <w:pPr>
              <w:pStyle w:val="TableContents"/>
              <w:spacing w:before="0" w:after="0"/>
              <w:ind w:left="0" w:right="0" w:hanging="0"/>
              <w:jc w:val="center"/>
              <w:rPr/>
            </w:pPr>
            <w:r>
              <w:rPr/>
              <w:t>    </w:t>
            </w:r>
          </w:p>
        </w:tc>
        <w:tc>
          <w:tcPr>
            <w:tcW w:w="6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33"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71" w:type="dxa"/>
            <w:tcBorders/>
            <w:shd w:fill="CCEEFF" w:val="clear"/>
            <w:vAlign w:val="center"/>
          </w:tcPr>
          <w:p>
            <w:pPr>
              <w:pStyle w:val="TableContents"/>
              <w:spacing w:before="0" w:after="0"/>
              <w:ind w:left="0" w:right="0" w:hanging="0"/>
              <w:jc w:val="right"/>
              <w:rPr/>
            </w:pPr>
            <w:r>
              <w:rPr/>
              <w:t>—</w:t>
            </w:r>
          </w:p>
        </w:tc>
      </w:tr>
      <w:tr>
        <w:trPr/>
        <w:tc>
          <w:tcPr>
            <w:tcW w:w="37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354" w:type="dxa"/>
            <w:tcBorders/>
            <w:shd w:fill="auto" w:val="clear"/>
            <w:vAlign w:val="center"/>
          </w:tcPr>
          <w:p>
            <w:pPr>
              <w:pStyle w:val="TableContents"/>
              <w:spacing w:before="0" w:after="0"/>
              <w:ind w:left="0" w:right="0" w:hanging="0"/>
              <w:jc w:val="right"/>
              <w:rPr/>
            </w:pPr>
            <w:r>
              <w:rPr/>
              <w:t>—</w:t>
            </w:r>
          </w:p>
        </w:tc>
        <w:tc>
          <w:tcPr>
            <w:tcW w:w="333" w:type="dxa"/>
            <w:tcBorders/>
            <w:shd w:fill="auto" w:val="clear"/>
            <w:vAlign w:val="center"/>
          </w:tcPr>
          <w:p>
            <w:pPr>
              <w:pStyle w:val="TableContents"/>
              <w:spacing w:before="0" w:after="0"/>
              <w:ind w:left="0" w:right="0" w:hanging="0"/>
              <w:rPr/>
            </w:pPr>
            <w:r>
              <w:rPr/>
              <w:t>​</w:t>
            </w:r>
          </w:p>
        </w:tc>
        <w:tc>
          <w:tcPr>
            <w:tcW w:w="215" w:type="dxa"/>
            <w:tcBorders/>
            <w:shd w:fill="auto" w:val="clear"/>
            <w:vAlign w:val="center"/>
          </w:tcPr>
          <w:p>
            <w:pPr>
              <w:pStyle w:val="TableContents"/>
              <w:spacing w:before="0" w:after="0"/>
              <w:ind w:left="0" w:right="0" w:hanging="0"/>
              <w:rPr/>
            </w:pPr>
            <w:r>
              <w:rPr/>
              <w:t>​</w:t>
            </w:r>
          </w:p>
        </w:tc>
        <w:tc>
          <w:tcPr>
            <w:tcW w:w="471" w:type="dxa"/>
            <w:tcBorders/>
            <w:shd w:fill="auto" w:val="clear"/>
            <w:vAlign w:val="center"/>
          </w:tcPr>
          <w:p>
            <w:pPr>
              <w:pStyle w:val="TableContents"/>
              <w:spacing w:before="0" w:after="0"/>
              <w:ind w:left="0" w:right="0" w:hanging="0"/>
              <w:jc w:val="right"/>
              <w:rPr/>
            </w:pPr>
            <w:r>
              <w:rPr/>
              <w:t>—</w:t>
            </w:r>
          </w:p>
        </w:tc>
      </w:tr>
      <w:tr>
        <w:trPr/>
        <w:tc>
          <w:tcPr>
            <w:tcW w:w="37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33" w:type="dxa"/>
            <w:tcBorders/>
            <w:shd w:fill="CCEEFF" w:val="clear"/>
            <w:vAlign w:val="center"/>
          </w:tcPr>
          <w:p>
            <w:pPr>
              <w:pStyle w:val="TableContents"/>
              <w:spacing w:before="0" w:after="0"/>
              <w:ind w:left="0" w:right="0" w:hanging="0"/>
              <w:rPr/>
            </w:pPr>
            <w:r>
              <w:rPr/>
              <w:t>​</w:t>
            </w:r>
          </w:p>
        </w:tc>
        <w:tc>
          <w:tcPr>
            <w:tcW w:w="215" w:type="dxa"/>
            <w:tcBorders/>
            <w:shd w:fill="CCEEFF" w:val="clear"/>
            <w:vAlign w:val="center"/>
          </w:tcPr>
          <w:p>
            <w:pPr>
              <w:pStyle w:val="TableContents"/>
              <w:spacing w:before="0" w:after="0"/>
              <w:ind w:left="0" w:right="0" w:hanging="0"/>
              <w:rPr/>
            </w:pPr>
            <w:r>
              <w:rPr/>
              <w:t>​</w:t>
            </w:r>
          </w:p>
        </w:tc>
        <w:tc>
          <w:tcPr>
            <w:tcW w:w="471" w:type="dxa"/>
            <w:tcBorders/>
            <w:shd w:fill="CCEEFF" w:val="clear"/>
            <w:vAlign w:val="center"/>
          </w:tcPr>
          <w:p>
            <w:pPr>
              <w:pStyle w:val="TableContents"/>
              <w:spacing w:before="0" w:after="0"/>
              <w:ind w:left="0" w:right="70" w:hanging="0"/>
              <w:jc w:val="right"/>
              <w:rPr/>
            </w:pPr>
            <w:r>
              <w:rPr/>
              <w:t>—</w:t>
            </w:r>
          </w:p>
        </w:tc>
      </w:tr>
    </w:tbl>
    <w:p>
      <w:pPr>
        <w:pStyle w:val="TextBody"/>
        <w:spacing w:before="0" w:after="0"/>
        <w:ind w:left="0" w:right="0" w:hanging="0"/>
        <w:rPr/>
      </w:pPr>
      <w:r>
        <w:rPr/>
        <w:t>​</w:t>
      </w:r>
    </w:p>
    <w:tbl>
      <w:tblPr>
        <w:tblW w:w="8213" w:type="dxa"/>
        <w:jc w:val="left"/>
        <w:tblInd w:w="0" w:type="dxa"/>
        <w:tblCellMar>
          <w:top w:w="0" w:type="dxa"/>
          <w:left w:w="0" w:type="dxa"/>
          <w:bottom w:w="0" w:type="dxa"/>
          <w:right w:w="0" w:type="dxa"/>
        </w:tblCellMar>
      </w:tblPr>
      <w:tblGrid>
        <w:gridCol w:w="2634"/>
        <w:gridCol w:w="364"/>
        <w:gridCol w:w="1578"/>
        <w:gridCol w:w="121"/>
        <w:gridCol w:w="286"/>
        <w:gridCol w:w="370"/>
        <w:gridCol w:w="326"/>
        <w:gridCol w:w="256"/>
        <w:gridCol w:w="346"/>
        <w:gridCol w:w="326"/>
        <w:gridCol w:w="213"/>
        <w:gridCol w:w="380"/>
        <w:gridCol w:w="330"/>
        <w:gridCol w:w="213"/>
        <w:gridCol w:w="470"/>
      </w:tblGrid>
      <w:tr>
        <w:trPr/>
        <w:tc>
          <w:tcPr>
            <w:tcW w:w="2634" w:type="dxa"/>
            <w:tcBorders/>
            <w:shd w:fill="auto" w:val="clear"/>
            <w:vAlign w:val="center"/>
          </w:tcPr>
          <w:p>
            <w:pPr>
              <w:pStyle w:val="TableContents"/>
              <w:spacing w:before="0" w:after="0"/>
              <w:ind w:left="0" w:right="0" w:hanging="0"/>
              <w:rPr/>
            </w:pPr>
            <w:r>
              <w:rPr/>
              <w:t>​</w:t>
            </w:r>
          </w:p>
        </w:tc>
        <w:tc>
          <w:tcPr>
            <w:tcW w:w="364" w:type="dxa"/>
            <w:tcBorders/>
            <w:shd w:fill="auto" w:val="clear"/>
            <w:vAlign w:val="center"/>
          </w:tcPr>
          <w:p>
            <w:pPr>
              <w:pStyle w:val="TableContents"/>
              <w:spacing w:before="0" w:after="0"/>
              <w:ind w:left="0" w:right="0" w:hanging="0"/>
              <w:rPr/>
            </w:pPr>
            <w:r>
              <w:rPr/>
              <w:t>​</w:t>
            </w:r>
          </w:p>
        </w:tc>
        <w:tc>
          <w:tcPr>
            <w:tcW w:w="1578" w:type="dxa"/>
            <w:tcBorders/>
            <w:shd w:fill="auto" w:val="clear"/>
            <w:vAlign w:val="center"/>
          </w:tcPr>
          <w:p>
            <w:pPr>
              <w:pStyle w:val="TableContents"/>
              <w:spacing w:before="0" w:after="0"/>
              <w:ind w:left="0" w:right="0" w:hanging="0"/>
              <w:rPr/>
            </w:pPr>
            <w:r>
              <w:rPr/>
              <w:t>​</w:t>
            </w:r>
          </w:p>
        </w:tc>
        <w:tc>
          <w:tcPr>
            <w:tcW w:w="1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6835" cy="175260"/>
                      <wp:effectExtent l="0" t="0" r="0" b="0"/>
                      <wp:wrapNone/>
                      <wp:docPr id="87" name="Frame87"/>
                      <a:graphic xmlns:a="http://schemas.openxmlformats.org/drawingml/2006/main">
                        <a:graphicData uri="http://schemas.microsoft.com/office/word/2010/wordprocessingShape">
                          <wps:wsp>
                            <wps:cNvSpPr txBox="1"/>
                            <wps:spPr>
                              <a:xfrm>
                                <a:off x="0" y="0"/>
                                <a:ext cx="76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34950" cy="175260"/>
                      <wp:effectExtent l="0" t="0" r="0" b="0"/>
                      <wp:wrapNone/>
                      <wp:docPr id="88" name="Frame88"/>
                      <a:graphic xmlns:a="http://schemas.openxmlformats.org/drawingml/2006/main">
                        <a:graphicData uri="http://schemas.microsoft.com/office/word/2010/wordprocessingShape">
                          <wps:wsp>
                            <wps:cNvSpPr txBox="1"/>
                            <wps:spPr>
                              <a:xfrm>
                                <a:off x="0" y="0"/>
                                <a:ext cx="234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9550" cy="175260"/>
                      <wp:effectExtent l="0" t="0" r="0" b="0"/>
                      <wp:wrapNone/>
                      <wp:docPr id="92" name="Frame92"/>
                      <a:graphic xmlns:a="http://schemas.openxmlformats.org/drawingml/2006/main">
                        <a:graphicData uri="http://schemas.microsoft.com/office/word/2010/wordprocessingShape">
                          <wps:wsp>
                            <wps:cNvSpPr txBox="1"/>
                            <wps:spPr>
                              <a:xfrm>
                                <a:off x="0" y="0"/>
                                <a:ext cx="20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0"/>
              <w:ind w:left="0" w:right="0" w:hanging="0"/>
              <w:rPr/>
            </w:pPr>
            <w:r>
              <w:rPr/>
              <w:t>​</w:t>
            </w:r>
          </w:p>
        </w:tc>
        <w:tc>
          <w:tcPr>
            <w:tcW w:w="470" w:type="dxa"/>
            <w:tcBorders/>
            <w:shd w:fill="auto" w:val="clear"/>
            <w:vAlign w:val="center"/>
          </w:tcPr>
          <w:p>
            <w:pPr>
              <w:pStyle w:val="TableContents"/>
              <w:spacing w:before="0" w:after="0"/>
              <w:ind w:left="0" w:right="0" w:hanging="0"/>
              <w:rPr/>
            </w:pPr>
            <w:r>
              <w:rPr/>
              <w:t>​</w:t>
            </w:r>
          </w:p>
        </w:tc>
      </w:tr>
      <w:tr>
        <w:trPr/>
        <w:tc>
          <w:tcPr>
            <w:tcW w:w="2634" w:type="dxa"/>
            <w:tcBorders/>
            <w:shd w:fill="auto" w:val="clear"/>
            <w:vAlign w:val="center"/>
          </w:tcPr>
          <w:p>
            <w:pPr>
              <w:pStyle w:val="TableContents"/>
              <w:spacing w:before="0" w:after="0"/>
              <w:ind w:left="0" w:right="0" w:hanging="0"/>
              <w:rPr/>
            </w:pPr>
            <w:r>
              <w:rPr/>
              <w:t>​</w:t>
            </w:r>
          </w:p>
        </w:tc>
        <w:tc>
          <w:tcPr>
            <w:tcW w:w="364" w:type="dxa"/>
            <w:tcBorders/>
            <w:shd w:fill="auto" w:val="clear"/>
            <w:vAlign w:val="center"/>
          </w:tcPr>
          <w:p>
            <w:pPr>
              <w:pStyle w:val="TableContents"/>
              <w:spacing w:before="0" w:after="0"/>
              <w:ind w:left="0" w:right="0" w:hanging="0"/>
              <w:rPr/>
            </w:pPr>
            <w:r>
              <w:rPr/>
              <w:t>​</w:t>
            </w:r>
          </w:p>
        </w:tc>
        <w:tc>
          <w:tcPr>
            <w:tcW w:w="5215"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Recognized in Consolidated Income Statement</w:t>
            </w:r>
          </w:p>
        </w:tc>
      </w:tr>
      <w:tr>
        <w:trPr/>
        <w:tc>
          <w:tcPr>
            <w:tcW w:w="2634"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64" w:type="dxa"/>
            <w:tcBorders/>
            <w:shd w:fill="auto" w:val="clear"/>
            <w:vAlign w:val="center"/>
          </w:tcPr>
          <w:p>
            <w:pPr>
              <w:pStyle w:val="TableContents"/>
              <w:spacing w:before="0" w:after="0"/>
              <w:ind w:left="0" w:right="0" w:hanging="0"/>
              <w:rPr/>
            </w:pPr>
            <w:r>
              <w:rPr/>
              <w:t>​</w:t>
            </w:r>
          </w:p>
        </w:tc>
        <w:tc>
          <w:tcPr>
            <w:tcW w:w="157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21" w:type="dxa"/>
            <w:tcBorders/>
            <w:shd w:fill="auto" w:val="clear"/>
            <w:vAlign w:val="center"/>
          </w:tcPr>
          <w:p>
            <w:pPr>
              <w:pStyle w:val="TableContents"/>
              <w:spacing w:before="0" w:after="0"/>
              <w:ind w:left="0" w:right="0" w:hanging="0"/>
              <w:rPr/>
            </w:pPr>
            <w:r>
              <w:rPr/>
              <w:t>​</w:t>
            </w:r>
          </w:p>
        </w:tc>
        <w:tc>
          <w:tcPr>
            <w:tcW w:w="158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w:t>
            </w:r>
          </w:p>
        </w:tc>
        <w:tc>
          <w:tcPr>
            <w:tcW w:w="326" w:type="dxa"/>
            <w:tcBorders/>
            <w:shd w:fill="auto" w:val="clear"/>
            <w:vAlign w:val="center"/>
          </w:tcPr>
          <w:p>
            <w:pPr>
              <w:pStyle w:val="TableContents"/>
              <w:spacing w:before="0" w:after="0"/>
              <w:ind w:left="0" w:right="0" w:hanging="0"/>
              <w:rPr/>
            </w:pPr>
            <w:r>
              <w:rPr/>
              <w:t>​</w:t>
            </w:r>
          </w:p>
        </w:tc>
        <w:tc>
          <w:tcPr>
            <w:tcW w:w="1606"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Attributable to Risk</w:t>
            </w:r>
          </w:p>
        </w:tc>
      </w:tr>
      <w:tr>
        <w:trPr/>
        <w:tc>
          <w:tcPr>
            <w:tcW w:w="2634"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For the three months</w:t>
            </w:r>
          </w:p>
        </w:tc>
        <w:tc>
          <w:tcPr>
            <w:tcW w:w="364" w:type="dxa"/>
            <w:tcBorders/>
            <w:shd w:fill="auto" w:val="clear"/>
            <w:vAlign w:val="center"/>
          </w:tcPr>
          <w:p>
            <w:pPr>
              <w:pStyle w:val="TableContents"/>
              <w:spacing w:before="0" w:after="0"/>
              <w:ind w:left="0" w:right="0" w:hanging="0"/>
              <w:rPr/>
            </w:pPr>
            <w:r>
              <w:rPr/>
              <w:t>​</w:t>
            </w:r>
          </w:p>
        </w:tc>
        <w:tc>
          <w:tcPr>
            <w:tcW w:w="1578"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21" w:type="dxa"/>
            <w:tcBorders/>
            <w:shd w:fill="auto" w:val="clear"/>
            <w:vAlign w:val="center"/>
          </w:tcPr>
          <w:p>
            <w:pPr>
              <w:pStyle w:val="TableContents"/>
              <w:spacing w:before="0" w:after="0"/>
              <w:ind w:left="0" w:right="0" w:hanging="0"/>
              <w:rPr/>
            </w:pPr>
            <w:r>
              <w:rPr/>
              <w:t>​</w:t>
            </w:r>
          </w:p>
        </w:tc>
        <w:tc>
          <w:tcPr>
            <w:tcW w:w="158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Derivatives</w:t>
            </w:r>
          </w:p>
        </w:tc>
        <w:tc>
          <w:tcPr>
            <w:tcW w:w="326" w:type="dxa"/>
            <w:tcBorders/>
            <w:shd w:fill="auto" w:val="clear"/>
            <w:vAlign w:val="center"/>
          </w:tcPr>
          <w:p>
            <w:pPr>
              <w:pStyle w:val="TableContents"/>
              <w:spacing w:before="0" w:after="0"/>
              <w:ind w:left="0" w:right="0" w:hanging="0"/>
              <w:rPr/>
            </w:pPr>
            <w:r>
              <w:rPr/>
              <w:t>​</w:t>
            </w:r>
          </w:p>
        </w:tc>
        <w:tc>
          <w:tcPr>
            <w:tcW w:w="160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Being Hedged </w:t>
            </w:r>
          </w:p>
        </w:tc>
      </w:tr>
      <w:tr>
        <w:trPr/>
        <w:tc>
          <w:tcPr>
            <w:tcW w:w="2634"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ended March 31:</w:t>
            </w:r>
          </w:p>
        </w:tc>
        <w:tc>
          <w:tcPr>
            <w:tcW w:w="364" w:type="dxa"/>
            <w:tcBorders/>
            <w:shd w:fill="auto" w:val="clear"/>
            <w:vAlign w:val="center"/>
          </w:tcPr>
          <w:p>
            <w:pPr>
              <w:pStyle w:val="TableContents"/>
              <w:spacing w:before="0" w:after="0"/>
              <w:ind w:left="0" w:right="0" w:hanging="0"/>
              <w:jc w:val="center"/>
              <w:rPr/>
            </w:pPr>
            <w:r>
              <w:rPr/>
              <w:t>    </w:t>
            </w:r>
          </w:p>
        </w:tc>
        <w:tc>
          <w:tcPr>
            <w:tcW w:w="157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21" w:type="dxa"/>
            <w:tcBorders/>
            <w:shd w:fill="auto" w:val="clear"/>
            <w:vAlign w:val="center"/>
          </w:tcPr>
          <w:p>
            <w:pPr>
              <w:pStyle w:val="TableContents"/>
              <w:spacing w:before="0" w:after="0"/>
              <w:ind w:left="0" w:right="0" w:hanging="0"/>
              <w:jc w:val="center"/>
              <w:rPr/>
            </w:pPr>
            <w:r>
              <w:rPr/>
              <w:t>​</w:t>
            </w:r>
          </w:p>
        </w:tc>
        <w:tc>
          <w:tcPr>
            <w:tcW w:w="6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6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5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30" w:type="dxa"/>
            <w:tcBorders/>
            <w:shd w:fill="auto" w:val="clear"/>
            <w:vAlign w:val="center"/>
          </w:tcPr>
          <w:p>
            <w:pPr>
              <w:pStyle w:val="TableContents"/>
              <w:spacing w:before="0" w:after="0"/>
              <w:ind w:left="0" w:right="0" w:hanging="0"/>
              <w:jc w:val="center"/>
              <w:rPr/>
            </w:pPr>
            <w:r>
              <w:rPr/>
              <w:t>    </w:t>
            </w:r>
          </w:p>
        </w:tc>
        <w:tc>
          <w:tcPr>
            <w:tcW w:w="68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5353" w:type="dxa"/>
            <w:gridSpan w:val="6"/>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Derivative instruments not designated as hedging instruments:</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380" w:type="dxa"/>
            <w:tcBorders/>
            <w:shd w:fill="CCEEFF" w:val="clear"/>
            <w:vAlign w:val="center"/>
          </w:tcPr>
          <w:p>
            <w:pPr>
              <w:pStyle w:val="TableContents"/>
              <w:spacing w:before="0" w:after="0"/>
              <w:ind w:left="0" w:right="0" w:hanging="0"/>
              <w:jc w:val="right"/>
              <w:rPr/>
            </w:pPr>
            <w:r>
              <w:rPr/>
              <w:t>​</w:t>
            </w:r>
          </w:p>
        </w:tc>
        <w:tc>
          <w:tcPr>
            <w:tcW w:w="330"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470" w:type="dxa"/>
            <w:tcBorders/>
            <w:shd w:fill="CCEEFF" w:val="clear"/>
            <w:vAlign w:val="center"/>
          </w:tcPr>
          <w:p>
            <w:pPr>
              <w:pStyle w:val="TableContents"/>
              <w:spacing w:before="0" w:after="0"/>
              <w:ind w:left="0" w:right="0" w:hanging="0"/>
              <w:jc w:val="right"/>
              <w:rPr/>
            </w:pPr>
            <w:r>
              <w:rPr/>
              <w:t>​</w:t>
            </w:r>
          </w:p>
        </w:tc>
      </w:tr>
      <w:tr>
        <w:trPr/>
        <w:tc>
          <w:tcPr>
            <w:tcW w:w="263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exchange contracts</w:t>
            </w:r>
          </w:p>
        </w:tc>
        <w:tc>
          <w:tcPr>
            <w:tcW w:w="364" w:type="dxa"/>
            <w:tcBorders/>
            <w:shd w:fill="auto" w:val="clear"/>
            <w:vAlign w:val="center"/>
          </w:tcPr>
          <w:p>
            <w:pPr>
              <w:pStyle w:val="TableContents"/>
              <w:spacing w:before="0" w:after="0"/>
              <w:ind w:left="0" w:right="0" w:hanging="0"/>
              <w:rPr/>
            </w:pPr>
            <w:r>
              <w:rPr/>
              <w:t>​</w:t>
            </w:r>
          </w:p>
        </w:tc>
        <w:tc>
          <w:tcPr>
            <w:tcW w:w="157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expenses</w:t>
            </w:r>
          </w:p>
        </w:tc>
        <w:tc>
          <w:tcPr>
            <w:tcW w:w="121" w:type="dxa"/>
            <w:tcBorders/>
            <w:shd w:fill="auto" w:val="clear"/>
            <w:vAlign w:val="center"/>
          </w:tcPr>
          <w:p>
            <w:pPr>
              <w:pStyle w:val="TableContents"/>
              <w:spacing w:before="0" w:after="0"/>
              <w:ind w:left="0" w:right="0" w:hanging="0"/>
              <w:rPr/>
            </w:pPr>
            <w:r>
              <w:rPr/>
              <w:t>​</w:t>
            </w:r>
          </w:p>
        </w:tc>
        <w:tc>
          <w:tcPr>
            <w:tcW w:w="2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3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8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30"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7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r>
      <w:tr>
        <w:trPr/>
        <w:tc>
          <w:tcPr>
            <w:tcW w:w="26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64" w:type="dxa"/>
            <w:tcBorders/>
            <w:shd w:fill="CCEEFF" w:val="clear"/>
            <w:vAlign w:val="center"/>
          </w:tcPr>
          <w:p>
            <w:pPr>
              <w:pStyle w:val="TableContents"/>
              <w:spacing w:before="0" w:after="0"/>
              <w:ind w:left="0" w:right="0" w:hanging="0"/>
              <w:rPr/>
            </w:pPr>
            <w:r>
              <w:rPr/>
              <w:t>​</w:t>
            </w:r>
          </w:p>
        </w:tc>
        <w:tc>
          <w:tcPr>
            <w:tcW w:w="1578" w:type="dxa"/>
            <w:tcBorders/>
            <w:shd w:fill="CCEEFF" w:val="clear"/>
            <w:vAlign w:val="center"/>
          </w:tcPr>
          <w:p>
            <w:pPr>
              <w:pStyle w:val="TableContents"/>
              <w:spacing w:before="0" w:after="0"/>
              <w:ind w:left="0" w:right="0" w:hanging="0"/>
              <w:jc w:val="right"/>
              <w:rPr/>
            </w:pPr>
            <w:r>
              <w:rPr/>
              <w:t>  </w:t>
            </w:r>
          </w:p>
        </w:tc>
        <w:tc>
          <w:tcPr>
            <w:tcW w:w="121" w:type="dxa"/>
            <w:tcBorders/>
            <w:shd w:fill="CCEEFF" w:val="clear"/>
            <w:vAlign w:val="center"/>
          </w:tcPr>
          <w:p>
            <w:pPr>
              <w:pStyle w:val="TableContents"/>
              <w:spacing w:before="0" w:after="0"/>
              <w:ind w:left="0" w:right="0" w:hanging="0"/>
              <w:rPr/>
            </w:pPr>
            <w:r>
              <w:rPr/>
              <w:t>​</w:t>
            </w:r>
          </w:p>
        </w:tc>
        <w:tc>
          <w:tcPr>
            <w:tcW w:w="28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5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80"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30" w:type="dxa"/>
            <w:tcBorders/>
            <w:shd w:fill="CCEEFF" w:val="clear"/>
            <w:vAlign w:val="center"/>
          </w:tcPr>
          <w:p>
            <w:pPr>
              <w:pStyle w:val="TableContents"/>
              <w:spacing w:before="0" w:after="0"/>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70" w:type="dxa"/>
            <w:tcBorders>
              <w:bottom w:val="double" w:sz="6" w:space="0" w:color="000000"/>
            </w:tcBorders>
            <w:shd w:fill="CCEEFF" w:val="clear"/>
            <w:tcMar>
              <w:bottom w:w="28" w:type="dxa"/>
            </w:tcMar>
            <w:vAlign w:val="center"/>
          </w:tcPr>
          <w:p>
            <w:pPr>
              <w:pStyle w:val="TableContents"/>
              <w:spacing w:before="0" w:after="0"/>
              <w:ind w:left="0" w:right="70" w:hanging="0"/>
              <w:jc w:val="right"/>
              <w:rPr/>
            </w:pPr>
            <w:r>
              <w:rPr/>
              <w:t>—</w:t>
            </w:r>
          </w:p>
        </w:tc>
      </w:tr>
    </w:tbl>
    <w:p>
      <w:pPr>
        <w:pStyle w:val="TextBody"/>
        <w:spacing w:before="0" w:after="0"/>
        <w:ind w:left="0" w:right="0" w:hanging="0"/>
        <w:rPr/>
      </w:pPr>
      <w:r>
        <w:rPr/>
        <w:t>​</w:t>
      </w:r>
    </w:p>
    <w:tbl>
      <w:tblPr>
        <w:tblW w:w="10170" w:type="dxa"/>
        <w:jc w:val="left"/>
        <w:tblInd w:w="0" w:type="dxa"/>
        <w:tblCellMar>
          <w:top w:w="0" w:type="dxa"/>
          <w:left w:w="0" w:type="dxa"/>
          <w:bottom w:w="0" w:type="dxa"/>
          <w:right w:w="0" w:type="dxa"/>
        </w:tblCellMar>
      </w:tblPr>
      <w:tblGrid>
        <w:gridCol w:w="2356"/>
        <w:gridCol w:w="326"/>
        <w:gridCol w:w="256"/>
        <w:gridCol w:w="256"/>
        <w:gridCol w:w="326"/>
        <w:gridCol w:w="271"/>
        <w:gridCol w:w="346"/>
        <w:gridCol w:w="326"/>
        <w:gridCol w:w="3721"/>
        <w:gridCol w:w="326"/>
        <w:gridCol w:w="256"/>
        <w:gridCol w:w="346"/>
        <w:gridCol w:w="326"/>
        <w:gridCol w:w="271"/>
        <w:gridCol w:w="461"/>
      </w:tblGrid>
      <w:tr>
        <w:trPr/>
        <w:tc>
          <w:tcPr>
            <w:tcW w:w="23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96060" cy="175260"/>
                      <wp:effectExtent l="0" t="0" r="0" b="0"/>
                      <wp:wrapNone/>
                      <wp:docPr id="93" name="Frame93"/>
                      <a:graphic xmlns:a="http://schemas.openxmlformats.org/drawingml/2006/main">
                        <a:graphicData uri="http://schemas.microsoft.com/office/word/2010/wordprocessingShape">
                          <wps:wsp>
                            <wps:cNvSpPr txBox="1"/>
                            <wps:spPr>
                              <a:xfrm>
                                <a:off x="0" y="0"/>
                                <a:ext cx="1496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62560" cy="175260"/>
                      <wp:effectExtent l="0" t="0" r="0" b="0"/>
                      <wp:wrapNone/>
                      <wp:docPr id="95" name="Frame95"/>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62560" cy="175260"/>
                      <wp:effectExtent l="0" t="0" r="0" b="0"/>
                      <wp:wrapNone/>
                      <wp:docPr id="96" name="Frame96"/>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72085" cy="175260"/>
                      <wp:effectExtent l="0" t="0" r="0" b="0"/>
                      <wp:wrapNone/>
                      <wp:docPr id="98" name="Frame98"/>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362835" cy="175260"/>
                      <wp:effectExtent l="0" t="0" r="0" b="0"/>
                      <wp:wrapNone/>
                      <wp:docPr id="101" name="Frame101"/>
                      <a:graphic xmlns:a="http://schemas.openxmlformats.org/drawingml/2006/main">
                        <a:graphicData uri="http://schemas.microsoft.com/office/word/2010/wordprocessingShape">
                          <wps:wsp>
                            <wps:cNvSpPr txBox="1"/>
                            <wps:spPr>
                              <a:xfrm>
                                <a:off x="0" y="0"/>
                                <a:ext cx="2362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62560" cy="175260"/>
                      <wp:effectExtent l="0" t="0" r="0" b="0"/>
                      <wp:wrapNone/>
                      <wp:docPr id="103" name="Frame103"/>
                      <a:graphic xmlns:a="http://schemas.openxmlformats.org/drawingml/2006/main">
                        <a:graphicData uri="http://schemas.microsoft.com/office/word/2010/wordprocessingShape">
                          <wps:wsp>
                            <wps:cNvSpPr txBox="1"/>
                            <wps:spPr>
                              <a:xfrm>
                                <a:off x="0" y="0"/>
                                <a:ext cx="162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72085" cy="175260"/>
                      <wp:effectExtent l="0" t="0" r="0" b="0"/>
                      <wp:wrapNone/>
                      <wp:docPr id="106" name="Frame106"/>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92735" cy="175260"/>
                      <wp:effectExtent l="0" t="0" r="0" b="0"/>
                      <wp:wrapNone/>
                      <wp:docPr id="107" name="Frame107"/>
                      <a:graphic xmlns:a="http://schemas.openxmlformats.org/drawingml/2006/main">
                        <a:graphicData uri="http://schemas.microsoft.com/office/word/2010/wordprocessingShape">
                          <wps:wsp>
                            <wps:cNvSpPr txBox="1"/>
                            <wps:spPr>
                              <a:xfrm>
                                <a:off x="0" y="0"/>
                                <a:ext cx="292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488" w:type="dxa"/>
            <w:gridSpan w:val="1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Recognized in Consolidated Income Statement and Other Comprehensive Income</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w:t>
            </w:r>
          </w:p>
        </w:tc>
        <w:tc>
          <w:tcPr>
            <w:tcW w:w="145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w:t>
            </w:r>
          </w:p>
        </w:tc>
        <w:tc>
          <w:tcPr>
            <w:tcW w:w="326" w:type="dxa"/>
            <w:tcBorders/>
            <w:shd w:fill="auto" w:val="clear"/>
            <w:vAlign w:val="center"/>
          </w:tcPr>
          <w:p>
            <w:pPr>
              <w:pStyle w:val="TableContents"/>
              <w:spacing w:before="0" w:after="0"/>
              <w:ind w:left="0" w:right="0" w:hanging="0"/>
              <w:rPr/>
            </w:pPr>
            <w:r>
              <w:rPr/>
              <w:t>​</w:t>
            </w:r>
          </w:p>
        </w:tc>
        <w:tc>
          <w:tcPr>
            <w:tcW w:w="3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26" w:type="dxa"/>
            <w:tcBorders/>
            <w:shd w:fill="auto" w:val="clear"/>
            <w:vAlign w:val="center"/>
          </w:tcPr>
          <w:p>
            <w:pPr>
              <w:pStyle w:val="TableContents"/>
              <w:spacing w:before="0" w:after="0"/>
              <w:ind w:left="0" w:right="0" w:hanging="0"/>
              <w:rPr/>
            </w:pPr>
            <w:r>
              <w:rPr/>
              <w:t>​</w:t>
            </w:r>
          </w:p>
        </w:tc>
        <w:tc>
          <w:tcPr>
            <w:tcW w:w="166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Reclassified</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For the three months</w:t>
            </w:r>
          </w:p>
        </w:tc>
        <w:tc>
          <w:tcPr>
            <w:tcW w:w="326" w:type="dxa"/>
            <w:tcBorders/>
            <w:shd w:fill="auto" w:val="clear"/>
            <w:vAlign w:val="center"/>
          </w:tcPr>
          <w:p>
            <w:pPr>
              <w:pStyle w:val="TableContents"/>
              <w:spacing w:before="0" w:after="0"/>
              <w:ind w:left="0" w:right="0" w:hanging="0"/>
              <w:rPr/>
            </w:pPr>
            <w:r>
              <w:rPr/>
              <w:t>​</w:t>
            </w:r>
          </w:p>
        </w:tc>
        <w:tc>
          <w:tcPr>
            <w:tcW w:w="14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 OCI</w:t>
            </w:r>
          </w:p>
        </w:tc>
        <w:tc>
          <w:tcPr>
            <w:tcW w:w="326" w:type="dxa"/>
            <w:tcBorders/>
            <w:shd w:fill="auto" w:val="clear"/>
            <w:vAlign w:val="center"/>
          </w:tcPr>
          <w:p>
            <w:pPr>
              <w:pStyle w:val="TableContents"/>
              <w:spacing w:before="0" w:after="0"/>
              <w:ind w:left="0" w:right="0" w:hanging="0"/>
              <w:rPr/>
            </w:pPr>
            <w:r>
              <w:rPr/>
              <w:t>​</w:t>
            </w:r>
          </w:p>
        </w:tc>
        <w:tc>
          <w:tcPr>
            <w:tcW w:w="372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26" w:type="dxa"/>
            <w:tcBorders/>
            <w:shd w:fill="auto" w:val="clear"/>
            <w:vAlign w:val="center"/>
          </w:tcPr>
          <w:p>
            <w:pPr>
              <w:pStyle w:val="TableContents"/>
              <w:spacing w:before="0" w:after="0"/>
              <w:ind w:left="0" w:right="0" w:hanging="0"/>
              <w:rPr/>
            </w:pPr>
            <w:r>
              <w:rPr/>
              <w:t>​</w:t>
            </w:r>
          </w:p>
        </w:tc>
        <w:tc>
          <w:tcPr>
            <w:tcW w:w="16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w:t>
            </w:r>
          </w:p>
        </w:tc>
      </w:tr>
      <w:tr>
        <w:trPr/>
        <w:tc>
          <w:tcPr>
            <w:tcW w:w="23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ended March 31:</w:t>
            </w:r>
          </w:p>
        </w:tc>
        <w:tc>
          <w:tcPr>
            <w:tcW w:w="326" w:type="dxa"/>
            <w:tcBorders/>
            <w:shd w:fill="auto" w:val="clear"/>
            <w:vAlign w:val="center"/>
          </w:tcPr>
          <w:p>
            <w:pPr>
              <w:pStyle w:val="TableContents"/>
              <w:spacing w:before="0" w:after="0"/>
              <w:ind w:left="0" w:right="0" w:hanging="0"/>
              <w:jc w:val="center"/>
              <w:rPr/>
            </w:pPr>
            <w:r>
              <w:rPr/>
              <w:t>    </w:t>
            </w:r>
          </w:p>
        </w:tc>
        <w:tc>
          <w:tcPr>
            <w:tcW w:w="5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6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    </w:t>
            </w:r>
          </w:p>
        </w:tc>
        <w:tc>
          <w:tcPr>
            <w:tcW w:w="372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26" w:type="dxa"/>
            <w:tcBorders/>
            <w:shd w:fill="auto" w:val="clear"/>
            <w:vAlign w:val="center"/>
          </w:tcPr>
          <w:p>
            <w:pPr>
              <w:pStyle w:val="TableContents"/>
              <w:spacing w:before="0" w:after="0"/>
              <w:ind w:left="0" w:right="0" w:hanging="0"/>
              <w:jc w:val="center"/>
              <w:rPr/>
            </w:pPr>
            <w:r>
              <w:rPr/>
              <w:t>    </w:t>
            </w:r>
          </w:p>
        </w:tc>
        <w:tc>
          <w:tcPr>
            <w:tcW w:w="6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jc w:val="center"/>
              <w:rPr/>
            </w:pPr>
            <w:r>
              <w:rPr/>
              <w:t>    </w:t>
            </w:r>
          </w:p>
        </w:tc>
        <w:tc>
          <w:tcPr>
            <w:tcW w:w="7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4137" w:type="dxa"/>
            <w:gridSpan w:val="7"/>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Derivative instruments in cash flow hedges:</w:t>
            </w:r>
          </w:p>
        </w:tc>
        <w:tc>
          <w:tcPr>
            <w:tcW w:w="326" w:type="dxa"/>
            <w:tcBorders/>
            <w:shd w:fill="CCEEFF" w:val="clear"/>
            <w:vAlign w:val="center"/>
          </w:tcPr>
          <w:p>
            <w:pPr>
              <w:pStyle w:val="TableContents"/>
              <w:spacing w:before="0" w:after="0"/>
              <w:ind w:left="0" w:right="0" w:hanging="0"/>
              <w:rPr/>
            </w:pPr>
            <w:r>
              <w:rPr/>
              <w:t>​</w:t>
            </w:r>
          </w:p>
        </w:tc>
        <w:tc>
          <w:tcPr>
            <w:tcW w:w="3721"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461" w:type="dxa"/>
            <w:tcBorders/>
            <w:shd w:fill="CCEEFF" w:val="clear"/>
            <w:vAlign w:val="center"/>
          </w:tcPr>
          <w:p>
            <w:pPr>
              <w:pStyle w:val="TableContents"/>
              <w:spacing w:before="0" w:after="0"/>
              <w:ind w:left="0" w:right="0" w:hanging="0"/>
              <w:jc w:val="right"/>
              <w:rPr/>
            </w:pPr>
            <w:r>
              <w:rPr/>
              <w:t>  </w:t>
            </w:r>
          </w:p>
        </w:tc>
      </w:tr>
      <w:tr>
        <w:trPr/>
        <w:tc>
          <w:tcPr>
            <w:tcW w:w="23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exchange contracts</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w:t>
            </w:r>
          </w:p>
        </w:tc>
        <w:tc>
          <w:tcPr>
            <w:tcW w:w="34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w:t>
            </w:r>
          </w:p>
        </w:tc>
        <w:tc>
          <w:tcPr>
            <w:tcW w:w="326" w:type="dxa"/>
            <w:tcBorders/>
            <w:shd w:fill="auto" w:val="clear"/>
            <w:vAlign w:val="center"/>
          </w:tcPr>
          <w:p>
            <w:pPr>
              <w:pStyle w:val="TableContents"/>
              <w:spacing w:before="0" w:after="0"/>
              <w:ind w:left="0" w:right="0" w:hanging="0"/>
              <w:rPr/>
            </w:pPr>
            <w:r>
              <w:rPr/>
              <w:t>​</w:t>
            </w:r>
          </w:p>
        </w:tc>
        <w:tc>
          <w:tcPr>
            <w:tcW w:w="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3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w:t>
            </w:r>
          </w:p>
        </w:tc>
        <w:tc>
          <w:tcPr>
            <w:tcW w:w="461" w:type="dxa"/>
            <w:tcBorders/>
            <w:shd w:fill="auto" w:val="clear"/>
            <w:vAlign w:val="center"/>
          </w:tcPr>
          <w:p>
            <w:pPr>
              <w:pStyle w:val="TableContents"/>
              <w:spacing w:before="0" w:after="0"/>
              <w:ind w:left="0" w:right="0" w:hanging="0"/>
              <w:jc w:val="right"/>
              <w:rPr/>
            </w:pPr>
            <w:r>
              <w:rPr/>
              <w:t>—</w:t>
            </w:r>
          </w:p>
        </w:tc>
      </w:tr>
      <w:tr>
        <w:trPr/>
        <w:tc>
          <w:tcPr>
            <w:tcW w:w="23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spacing w:before="0" w:after="0"/>
              <w:ind w:left="0" w:right="0" w:hanging="0"/>
              <w:rPr/>
            </w:pPr>
            <w:r>
              <w:rPr/>
              <w:t>​</w:t>
            </w:r>
          </w:p>
        </w:tc>
        <w:tc>
          <w:tcPr>
            <w:tcW w:w="256"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461" w:type="dxa"/>
            <w:tcBorders/>
            <w:shd w:fill="CCEEFF" w:val="clear"/>
            <w:vAlign w:val="center"/>
          </w:tcPr>
          <w:p>
            <w:pPr>
              <w:pStyle w:val="TableContents"/>
              <w:spacing w:before="0" w:after="0"/>
              <w:ind w:left="0" w:right="0" w:hanging="0"/>
              <w:jc w:val="right"/>
              <w:rPr/>
            </w:pPr>
            <w:r>
              <w:rPr/>
              <w:t>—</w:t>
            </w:r>
          </w:p>
        </w:tc>
      </w:tr>
      <w:tr>
        <w:trPr/>
        <w:tc>
          <w:tcPr>
            <w:tcW w:w="23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7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expenses</w:t>
            </w:r>
          </w:p>
        </w:tc>
        <w:tc>
          <w:tcPr>
            <w:tcW w:w="326" w:type="dxa"/>
            <w:tcBorders/>
            <w:shd w:fill="auto" w:val="clear"/>
            <w:vAlign w:val="center"/>
          </w:tcPr>
          <w:p>
            <w:pPr>
              <w:pStyle w:val="TableContents"/>
              <w:spacing w:before="0" w:after="0"/>
              <w:ind w:left="0" w:right="0" w:hanging="0"/>
              <w:rPr/>
            </w:pPr>
            <w:r>
              <w:rPr/>
              <w:t>​</w:t>
            </w:r>
          </w:p>
        </w:tc>
        <w:tc>
          <w:tcPr>
            <w:tcW w:w="25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3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5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7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721"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25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7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CCEEFF" w:val="clear"/>
            <w:tcMar>
              <w:bottom w:w="28" w:type="dxa"/>
            </w:tcMar>
            <w:vAlign w:val="center"/>
          </w:tcPr>
          <w:p>
            <w:pPr>
              <w:pStyle w:val="TableContents"/>
              <w:spacing w:before="0" w:after="0"/>
              <w:ind w:left="0" w:right="70" w:hanging="0"/>
              <w:jc w:val="right"/>
              <w:rPr/>
            </w:pPr>
            <w:r>
              <w:rPr/>
              <w:t>—</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NA - not applicable</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the three months ended March 31, 2022 and 2021, there were no gains or losses excluded from the assessment of hedge effectiveness for cash flow hedges, or associated with an underlying exposure that did not or was not expected to occur, nor are there any anticipated in the normal course of business.</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Prior to the third quarter of 2021, Kyndryl did not independently execute derivative financial instruments to manage its foreign currency risk and instead participated in a centralized foreign currency hedging program administered by IBM. The hedging activity allocated to Kyndryl was for the former Parent’s forecasted currency exposures. In the third quarter of 2021, we began to execute trades to hedge the Company’s foreign exchange exposures, and this activity is recorded in the Company’s consolidated financial statements.</w:t>
      </w:r>
    </w:p>
    <w:p>
      <w:pPr>
        <w:pStyle w:val="TextBody"/>
        <w:pBdr/>
        <w:spacing w:before="0" w:after="0"/>
        <w:ind w:left="0" w:right="0" w:hanging="403"/>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bookmarkStart w:id="869" w:name="Tc_5G5oOFsNdUm5s6CDkio0cw_8_17"/>
      <w:bookmarkStart w:id="870" w:name="Tc_kT1hGIRONUiuSnNUYTxiHA_8_14"/>
      <w:bookmarkStart w:id="871" w:name="Tc_wwSqy2qGqEeFjzM9VOKCgQ_8_11"/>
      <w:bookmarkStart w:id="872" w:name="Tc_1bDMQL6eqECM8ECqOKEzgA_8_8"/>
      <w:bookmarkStart w:id="873" w:name="Tc_s7V2CUXDOkSncB_5snKYHQ_8_5"/>
      <w:bookmarkStart w:id="874" w:name="Tc_rJBZcNg2BUKl49Wxng5QZQ_8_2"/>
      <w:bookmarkStart w:id="875" w:name="Tc_QjN3O74k_UGeZ_9kP509wg_8_0"/>
      <w:bookmarkStart w:id="876" w:name="Tc_JD1zqvIcp0KZ8LurPaRXeA_7_18"/>
      <w:bookmarkStart w:id="877" w:name="Tc_Ck5X1XGQKU6EMwoVQvKh_w_7_0"/>
      <w:bookmarkStart w:id="878" w:name="Tc_LQtK8xTk00eejFzRJaPOOg_6_18"/>
      <w:bookmarkStart w:id="879" w:name="Tc_lbI1N7N2GEucGkPyVrK_dw_6_9"/>
      <w:bookmarkStart w:id="880" w:name="Tc_Dqdkh7AUwkmn_9RSjN0LKg_6_0"/>
      <w:bookmarkStart w:id="881" w:name="Tc_1oCC0gTdoEOnViDQWmdqZQ_5_0"/>
      <w:bookmarkStart w:id="882" w:name="Tc_D7Nz7CaTTkS92Yn61DJDOA_4_17"/>
      <w:bookmarkStart w:id="883" w:name="Tc_InhqM5T1BUCcnVbM9K6sMw_4_14"/>
      <w:bookmarkStart w:id="884" w:name="Tc_lmShw9RAOkSjQG5l5qbUug_4_11"/>
      <w:bookmarkStart w:id="885" w:name="Tc_zytWc5DTMUCHUYvDSqMU3w_4_8"/>
      <w:bookmarkStart w:id="886" w:name="Tc_nYNY79fvNkaDqoLnpyaQRA_4_5"/>
      <w:bookmarkStart w:id="887" w:name="Tc_9VqgskoZLE2tIw9zDIciWg_4_2"/>
      <w:bookmarkStart w:id="888" w:name="Tc_RQ2_Pn6bBkK51Jnr8P_O1Q_4_0"/>
      <w:bookmarkStart w:id="889" w:name="Tc_UUZ6EJlAp0Ge8sGXQ5s43w_3_17"/>
      <w:bookmarkStart w:id="890" w:name="Tc_kvIfx-swD0KN9mtVuzKS8w_3_14"/>
      <w:bookmarkStart w:id="891" w:name="Tc_NNAiTmXRVEy6RCU8I8p8Ew_3_11"/>
      <w:bookmarkStart w:id="892" w:name="Tc_hUmbrj2GYkW2PHomBk3DBQ_3_8"/>
      <w:bookmarkStart w:id="893" w:name="Tc_Smcset1xl0KGYw5NxCOe8g_3_5"/>
      <w:bookmarkStart w:id="894" w:name="Tc_nqwWY1tbLUKI_vCWTmSviw_3_2"/>
      <w:bookmarkStart w:id="895" w:name="Tc_kuyp6-TMaEKsmf3_qVB4ow_3_0"/>
      <w:bookmarkStart w:id="896" w:name="Tc_quTRrckudkGrSdO_YVuHWw_2_17"/>
      <w:bookmarkStart w:id="897" w:name="Tc_hUOOBp5W906ooDNYkoml1Q_2_14"/>
      <w:bookmarkStart w:id="898" w:name="Tc_K6Jm0xUw_0Kg5P7OvKuHqQ_2_11"/>
      <w:bookmarkStart w:id="899" w:name="Tc_1LAMJcy4xU-RoliXsgFsBQ_2_8"/>
      <w:bookmarkStart w:id="900" w:name="Tc_maiIv_aT70e0jik9sl9c-g_2_5"/>
      <w:bookmarkStart w:id="901" w:name="Tc_OBZu_Sv_yE2yFyDbCseWSA_2_2"/>
      <w:bookmarkStart w:id="902" w:name="Tc_NMOmKzHFuEiExbVwZHrMNQ_1_11"/>
      <w:bookmarkStart w:id="903" w:name="Tc_9JjsYwuZ1Uy_Y3hHoAKOfg_1_2"/>
      <w:bookmarkStart w:id="904" w:name="_bb19c293_f2b5_4510_8ba5_768ad491c046"/>
      <w:bookmarkStart w:id="905" w:name="Tc_CId6D5uU_EWZnsKDwhVc6Q_11_2"/>
      <w:bookmarkStart w:id="906" w:name="Tc_OphvwsKzTUC3nt-SFVw2TQ_11_0"/>
      <w:bookmarkStart w:id="907" w:name="Tc_wqzmIn7I-Emr7_2poronQQ_10_0"/>
      <w:bookmarkStart w:id="908" w:name="Tc_EUtEDXYVtUuCIwWDRkx7vA_9_0"/>
      <w:bookmarkStart w:id="909" w:name="Tc_PA8FCXor_0Wtief35vNtPw_8_0"/>
      <w:bookmarkStart w:id="910" w:name="Tc_bwBT3F5YXk-xLyGb3HJEJA_7_0"/>
      <w:bookmarkStart w:id="911" w:name="Tc_mTdChS6D7UiF7rzJ3DgA-w_6_2"/>
      <w:bookmarkStart w:id="912" w:name="Tc_kr-sRWDa3EOvDEvEIcmrNQ_6_0"/>
      <w:bookmarkStart w:id="913" w:name="Tc_I342tI1qbkiyGe1Ovktbqw_4_2"/>
      <w:bookmarkStart w:id="914" w:name="Tc_Vc3WR0_FtEGhKLhYCcB0_A_4_0"/>
      <w:bookmarkStart w:id="915" w:name="Tc_twX5mc773U2sAon8I-wbkg_3_0"/>
      <w:bookmarkStart w:id="916" w:name="Tc_0WhzMDJkckeOVqcl2LK1FQ_2_2"/>
      <w:bookmarkStart w:id="917" w:name="Tc_aYYq041gfUC5xOCIUTtPrQ_2_0"/>
      <w:bookmarkStart w:id="918" w:name="Tc_zAtzQUfngkqxK7wj5GFpoA_1_0"/>
      <w:bookmarkStart w:id="919" w:name="_Hlk103326303"/>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r>
        <w:rPr>
          <w:rFonts w:ascii="Times New Roman;Times;serif" w:hAnsi="Times New Roman;Times;serif"/>
          <w:b/>
          <w:sz w:val="20"/>
        </w:rPr>
        <w:t>NOTE 8. INTANGIBLE ASSETS INCLUDING GOODWILL</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Business Combinations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the three months ended March 31, 2022, the Company completed two business combinations, both of which closed on February 1, 2022. Our financial statements for the first three months ended 2022 reflect the assets, liabilities, operating results and cash flows of both business combinations, commencing from the acquisition date. These transactions consisted of an immaterial acquisition in our Strategic Markets segment and a transfer of a majority interest (51%) of a managed infrastructure services joint venture in Japan (the “Exa transaction”) from our former Parent that could not be completed prior to the Separation due to local regulatory approvals. The non-controlling interest acquired in the Exa transaction represents the fair value of the joint venture prorated by the non-controlling shareholder’s percentage of ownership (49%). The Company closed the Exa transaction for consideration of $48 million, net of cash acquired of $59 million. Acquisition costs associated with these two acquisitions were immaterial and expensed as incurred.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Exa transaction enabled us to seamlessly continue our relationships with certain key customers in Japan. The purchase price allocation for the business combinations is preliminary, and there may be changes in the allocation of consideration to assets acquired and liabilities assumed, including intangible assets and goodwill, for up to twelve months from the acquisition closing dates.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following table summarizes total consideration transferred, fair value of net assets acquired, net liabilities assumed and goodwill for the Exa transaction:</w:t>
      </w:r>
    </w:p>
    <w:p>
      <w:pPr>
        <w:pStyle w:val="TextBody"/>
        <w:spacing w:before="0" w:after="0"/>
        <w:ind w:left="0" w:right="0" w:hanging="0"/>
        <w:rPr/>
      </w:pPr>
      <w:r>
        <w:rPr/>
        <w:t>​</w:t>
      </w:r>
    </w:p>
    <w:tbl>
      <w:tblPr>
        <w:tblW w:w="5522" w:type="dxa"/>
        <w:jc w:val="left"/>
        <w:tblInd w:w="0" w:type="dxa"/>
        <w:tblCellMar>
          <w:top w:w="0" w:type="dxa"/>
          <w:left w:w="0" w:type="dxa"/>
          <w:bottom w:w="0" w:type="dxa"/>
          <w:right w:w="0" w:type="dxa"/>
        </w:tblCellMar>
      </w:tblPr>
      <w:tblGrid>
        <w:gridCol w:w="4666"/>
        <w:gridCol w:w="109"/>
        <w:gridCol w:w="211"/>
        <w:gridCol w:w="536"/>
      </w:tblGrid>
      <w:tr>
        <w:trPr/>
        <w:tc>
          <w:tcPr>
            <w:tcW w:w="4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962910" cy="175260"/>
                      <wp:effectExtent l="0" t="0" r="0" b="0"/>
                      <wp:wrapNone/>
                      <wp:docPr id="108" name="Frame108"/>
                      <a:graphic xmlns:a="http://schemas.openxmlformats.org/drawingml/2006/main">
                        <a:graphicData uri="http://schemas.microsoft.com/office/word/2010/wordprocessingShape">
                          <wps:wsp>
                            <wps:cNvSpPr txBox="1"/>
                            <wps:spPr>
                              <a:xfrm>
                                <a:off x="0" y="0"/>
                                <a:ext cx="2962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40360" cy="175260"/>
                      <wp:effectExtent l="0" t="0" r="0" b="0"/>
                      <wp:wrapNone/>
                      <wp:docPr id="111" name="Frame111"/>
                      <a:graphic xmlns:a="http://schemas.openxmlformats.org/drawingml/2006/main">
                        <a:graphicData uri="http://schemas.microsoft.com/office/word/2010/wordprocessingShape">
                          <wps:wsp>
                            <wps:cNvSpPr txBox="1"/>
                            <wps:spPr>
                              <a:xfrm>
                                <a:off x="0" y="0"/>
                                <a:ext cx="34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0"/>
              <w:ind w:left="0" w:right="0" w:hanging="0"/>
              <w:rPr/>
            </w:pPr>
            <w:r>
              <w:rPr/>
              <w:t>​</w:t>
            </w:r>
          </w:p>
        </w:tc>
        <w:tc>
          <w:tcPr>
            <w:tcW w:w="7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consideration</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Non-controlling interest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enterprise value</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spacing w:before="0" w:after="0"/>
              <w:ind w:left="0" w:right="0" w:hanging="0"/>
              <w:jc w:val="right"/>
              <w:rPr>
                <w:rFonts w:ascii="Times New Roman;Times;serif" w:hAnsi="Times New Roman;Times;serif"/>
                <w:b/>
                <w:sz w:val="20"/>
              </w:rPr>
            </w:pPr>
            <w:r>
              <w:rPr>
                <w:rFonts w:ascii="Times New Roman;Times;serif" w:hAnsi="Times New Roman;Times;serif"/>
                <w:b/>
                <w:sz w:val="20"/>
              </w:rPr>
              <w:t>209</w:t>
            </w:r>
          </w:p>
        </w:tc>
      </w:tr>
      <w:tr>
        <w:trPr/>
        <w:tc>
          <w:tcPr>
            <w:tcW w:w="466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36" w:type="dxa"/>
            <w:tcBorders/>
            <w:shd w:fill="auto" w:val="clear"/>
            <w:vAlign w:val="center"/>
          </w:tcPr>
          <w:p>
            <w:pPr>
              <w:pStyle w:val="TableContents"/>
              <w:spacing w:before="0" w:after="0"/>
              <w:ind w:left="0" w:right="0" w:hanging="0"/>
              <w:rPr/>
            </w:pPr>
            <w:r>
              <w:rPr/>
              <w:t>​</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acquired</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liabilities assumed, excluding cash</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tax liabilities arising from acquired intangibles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Intangible assets *</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6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66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purchase price allocation</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6" w:type="dxa"/>
            <w:tcBorders/>
            <w:shd w:fill="auto" w:val="clear"/>
            <w:vAlign w:val="center"/>
          </w:tcPr>
          <w:p>
            <w:pPr>
              <w:pStyle w:val="TableContents"/>
              <w:spacing w:before="0" w:after="0"/>
              <w:ind w:left="0" w:right="70" w:hanging="0"/>
              <w:jc w:val="right"/>
              <w:rPr>
                <w:rFonts w:ascii="Times New Roman;Times;serif" w:hAnsi="Times New Roman;Times;serif"/>
                <w:b/>
                <w:sz w:val="20"/>
              </w:rPr>
            </w:pPr>
            <w:r>
              <w:rPr>
                <w:rFonts w:ascii="Times New Roman;Times;serif" w:hAnsi="Times New Roman;Times;serif"/>
                <w:b/>
                <w:sz w:val="20"/>
              </w:rPr>
              <w:t>209</w:t>
            </w:r>
          </w:p>
        </w:tc>
      </w:tr>
    </w:tbl>
    <w:p>
      <w:pPr>
        <w:pStyle w:val="TextBody"/>
        <w:spacing w:before="0" w:after="0"/>
        <w:ind w:left="0" w:right="0" w:hanging="0"/>
        <w:rPr/>
      </w:pPr>
      <w:r>
        <w:rPr/>
        <w:t>​</w:t>
      </w:r>
    </w:p>
    <w:p>
      <w:pPr>
        <w:pStyle w:val="TextBody"/>
        <w:spacing w:before="0" w:after="0"/>
        <w:ind w:left="0" w:right="0" w:hanging="0"/>
        <w:rPr/>
      </w:pPr>
      <w:r>
        <w:rPr/>
        <w:t>​</w:t>
      </w:r>
      <w:r>
        <w:rPr>
          <w:rFonts w:ascii="Times New Roman;Times;serif" w:hAnsi="Times New Roman;Times;serif"/>
          <w:sz w:val="16"/>
        </w:rPr>
        <w:br/>
        <w:t>* Intangible assets acquired consists of $16 million of patents and trademarks and $91 million of customer relationships.</w:t>
      </w:r>
    </w:p>
    <w:p>
      <w:pPr>
        <w:pStyle w:val="TextBody"/>
        <w:spacing w:before="0" w:after="0"/>
        <w:ind w:left="0" w:right="0" w:firstLine="720"/>
        <w:rPr/>
      </w:pPr>
      <w:r>
        <w:rPr/>
        <w:t>​</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Intangible Assets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tables present the Company’s intangible asset balances by major asset class.</w:t>
      </w:r>
    </w:p>
    <w:p>
      <w:pPr>
        <w:pStyle w:val="TextBody"/>
        <w:spacing w:before="0" w:after="240"/>
        <w:ind w:left="0" w:right="0" w:firstLine="720"/>
        <w:rPr/>
      </w:pPr>
      <w:r>
        <w:rPr/>
        <w:t>​</w:t>
      </w:r>
    </w:p>
    <w:tbl>
      <w:tblPr>
        <w:tblW w:w="10205" w:type="dxa"/>
        <w:jc w:val="left"/>
        <w:tblInd w:w="0" w:type="dxa"/>
        <w:tblCellMar>
          <w:top w:w="0" w:type="dxa"/>
          <w:left w:w="0" w:type="dxa"/>
          <w:bottom w:w="0" w:type="dxa"/>
          <w:right w:w="0" w:type="dxa"/>
        </w:tblCellMar>
      </w:tblPr>
      <w:tblGrid>
        <w:gridCol w:w="1568"/>
        <w:gridCol w:w="326"/>
        <w:gridCol w:w="415"/>
        <w:gridCol w:w="831"/>
        <w:gridCol w:w="326"/>
        <w:gridCol w:w="329"/>
        <w:gridCol w:w="752"/>
        <w:gridCol w:w="326"/>
        <w:gridCol w:w="360"/>
        <w:gridCol w:w="721"/>
        <w:gridCol w:w="146"/>
        <w:gridCol w:w="415"/>
        <w:gridCol w:w="831"/>
        <w:gridCol w:w="326"/>
        <w:gridCol w:w="329"/>
        <w:gridCol w:w="752"/>
        <w:gridCol w:w="326"/>
        <w:gridCol w:w="370"/>
        <w:gridCol w:w="756"/>
      </w:tblGrid>
      <w:tr>
        <w:trPr/>
        <w:tc>
          <w:tcPr>
            <w:tcW w:w="15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995680" cy="175260"/>
                      <wp:effectExtent l="0" t="0" r="0" b="0"/>
                      <wp:wrapNone/>
                      <wp:docPr id="112" name="Frame112"/>
                      <a:graphic xmlns:a="http://schemas.openxmlformats.org/drawingml/2006/main">
                        <a:graphicData uri="http://schemas.microsoft.com/office/word/2010/wordprocessingShape">
                          <wps:wsp>
                            <wps:cNvSpPr txBox="1"/>
                            <wps:spPr>
                              <a:xfrm>
                                <a:off x="0" y="0"/>
                                <a:ext cx="995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63525" cy="175260"/>
                      <wp:effectExtent l="0" t="0" r="0" b="0"/>
                      <wp:wrapNone/>
                      <wp:docPr id="114" name="Frame114"/>
                      <a:graphic xmlns:a="http://schemas.openxmlformats.org/drawingml/2006/main">
                        <a:graphicData uri="http://schemas.microsoft.com/office/word/2010/wordprocessingShape">
                          <wps:wsp>
                            <wps:cNvSpPr txBox="1"/>
                            <wps:spPr>
                              <a:xfrm>
                                <a:off x="0" y="0"/>
                                <a:ext cx="263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27685" cy="175260"/>
                      <wp:effectExtent l="0" t="0" r="0" b="0"/>
                      <wp:wrapNone/>
                      <wp:docPr id="115" name="Frame115"/>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8915" cy="175260"/>
                      <wp:effectExtent l="0" t="0" r="0" b="0"/>
                      <wp:wrapNone/>
                      <wp:docPr id="117" name="Frame117"/>
                      <a:graphic xmlns:a="http://schemas.openxmlformats.org/drawingml/2006/main">
                        <a:graphicData uri="http://schemas.microsoft.com/office/word/2010/wordprocessingShape">
                          <wps:wsp>
                            <wps:cNvSpPr txBox="1"/>
                            <wps:spPr>
                              <a:xfrm>
                                <a:off x="0" y="0"/>
                                <a:ext cx="208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77520" cy="175260"/>
                      <wp:effectExtent l="0" t="0" r="0" b="0"/>
                      <wp:wrapNone/>
                      <wp:docPr id="118" name="Frame118"/>
                      <a:graphic xmlns:a="http://schemas.openxmlformats.org/drawingml/2006/main">
                        <a:graphicData uri="http://schemas.microsoft.com/office/word/2010/wordprocessingShape">
                          <wps:wsp>
                            <wps:cNvSpPr txBox="1"/>
                            <wps:spPr>
                              <a:xfrm>
                                <a:off x="0" y="0"/>
                                <a:ext cx="477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28600" cy="175260"/>
                      <wp:effectExtent l="0" t="0" r="0" b="0"/>
                      <wp:wrapNone/>
                      <wp:docPr id="120" name="Frame120"/>
                      <a:graphic xmlns:a="http://schemas.openxmlformats.org/drawingml/2006/main">
                        <a:graphicData uri="http://schemas.microsoft.com/office/word/2010/wordprocessingShape">
                          <wps:wsp>
                            <wps:cNvSpPr txBox="1"/>
                            <wps:spPr>
                              <a:xfrm>
                                <a:off x="0" y="0"/>
                                <a:ext cx="228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57835" cy="175260"/>
                      <wp:effectExtent l="0" t="0" r="0" b="0"/>
                      <wp:wrapNone/>
                      <wp:docPr id="121" name="Frame121"/>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92710" cy="175260"/>
                      <wp:effectExtent l="0" t="0" r="0" b="0"/>
                      <wp:wrapNone/>
                      <wp:docPr id="122" name="Frame122"/>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63525" cy="175260"/>
                      <wp:effectExtent l="0" t="0" r="0" b="0"/>
                      <wp:wrapNone/>
                      <wp:docPr id="123" name="Frame123"/>
                      <a:graphic xmlns:a="http://schemas.openxmlformats.org/drawingml/2006/main">
                        <a:graphicData uri="http://schemas.microsoft.com/office/word/2010/wordprocessingShape">
                          <wps:wsp>
                            <wps:cNvSpPr txBox="1"/>
                            <wps:spPr>
                              <a:xfrm>
                                <a:off x="0" y="0"/>
                                <a:ext cx="263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27685" cy="175260"/>
                      <wp:effectExtent l="0" t="0" r="0" b="0"/>
                      <wp:wrapNone/>
                      <wp:docPr id="124" name="Frame124"/>
                      <a:graphic xmlns:a="http://schemas.openxmlformats.org/drawingml/2006/main">
                        <a:graphicData uri="http://schemas.microsoft.com/office/word/2010/wordprocessingShape">
                          <wps:wsp>
                            <wps:cNvSpPr txBox="1"/>
                            <wps:spPr>
                              <a:xfrm>
                                <a:off x="0" y="0"/>
                                <a:ext cx="527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8915" cy="175260"/>
                      <wp:effectExtent l="0" t="0" r="0" b="0"/>
                      <wp:wrapNone/>
                      <wp:docPr id="126" name="Frame126"/>
                      <a:graphic xmlns:a="http://schemas.openxmlformats.org/drawingml/2006/main">
                        <a:graphicData uri="http://schemas.microsoft.com/office/word/2010/wordprocessingShape">
                          <wps:wsp>
                            <wps:cNvSpPr txBox="1"/>
                            <wps:spPr>
                              <a:xfrm>
                                <a:off x="0" y="0"/>
                                <a:ext cx="2089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77520" cy="175260"/>
                      <wp:effectExtent l="0" t="0" r="0" b="0"/>
                      <wp:wrapNone/>
                      <wp:docPr id="127" name="Frame127"/>
                      <a:graphic xmlns:a="http://schemas.openxmlformats.org/drawingml/2006/main">
                        <a:graphicData uri="http://schemas.microsoft.com/office/word/2010/wordprocessingShape">
                          <wps:wsp>
                            <wps:cNvSpPr txBox="1"/>
                            <wps:spPr>
                              <a:xfrm>
                                <a:off x="0" y="0"/>
                                <a:ext cx="477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34950" cy="175260"/>
                      <wp:effectExtent l="0" t="0" r="0" b="0"/>
                      <wp:wrapNone/>
                      <wp:docPr id="129" name="Frame129"/>
                      <a:graphic xmlns:a="http://schemas.openxmlformats.org/drawingml/2006/main">
                        <a:graphicData uri="http://schemas.microsoft.com/office/word/2010/wordprocessingShape">
                          <wps:wsp>
                            <wps:cNvSpPr txBox="1"/>
                            <wps:spPr>
                              <a:xfrm>
                                <a:off x="0" y="0"/>
                                <a:ext cx="2349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80060" cy="175260"/>
                      <wp:effectExtent l="0" t="0" r="0" b="0"/>
                      <wp:wrapNone/>
                      <wp:docPr id="130" name="Frame130"/>
                      <a:graphic xmlns:a="http://schemas.openxmlformats.org/drawingml/2006/main">
                        <a:graphicData uri="http://schemas.microsoft.com/office/word/2010/wordprocessingShape">
                          <wps:wsp>
                            <wps:cNvSpPr txBox="1"/>
                            <wps:spPr>
                              <a:xfrm>
                                <a:off x="0" y="0"/>
                                <a:ext cx="480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6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060"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2022</w:t>
            </w:r>
          </w:p>
        </w:tc>
        <w:tc>
          <w:tcPr>
            <w:tcW w:w="146" w:type="dxa"/>
            <w:tcBorders/>
            <w:shd w:fill="auto" w:val="clear"/>
            <w:vAlign w:val="center"/>
          </w:tcPr>
          <w:p>
            <w:pPr>
              <w:pStyle w:val="TableContents"/>
              <w:spacing w:before="0" w:after="0"/>
              <w:ind w:left="0" w:right="0" w:hanging="0"/>
              <w:rPr/>
            </w:pPr>
            <w:r>
              <w:rPr/>
              <w:t>​</w:t>
            </w:r>
          </w:p>
        </w:tc>
        <w:tc>
          <w:tcPr>
            <w:tcW w:w="4105"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2021</w:t>
            </w:r>
          </w:p>
        </w:tc>
      </w:tr>
      <w:tr>
        <w:trPr/>
        <w:tc>
          <w:tcPr>
            <w:tcW w:w="156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146" w:type="dxa"/>
            <w:tcBorders/>
            <w:shd w:fill="auto" w:val="clear"/>
            <w:vAlign w:val="center"/>
          </w:tcPr>
          <w:p>
            <w:pPr>
              <w:pStyle w:val="TableContents"/>
              <w:spacing w:before="0" w:after="0"/>
              <w:ind w:left="0" w:right="0" w:hanging="0"/>
              <w:jc w:val="center"/>
              <w:rPr/>
            </w:pPr>
            <w:r>
              <w:rPr/>
              <w:t> </w:t>
            </w:r>
          </w:p>
        </w:tc>
        <w:tc>
          <w:tcPr>
            <w:tcW w:w="12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shd w:fill="auto" w:val="clear"/>
            <w:vAlign w:val="center"/>
          </w:tcPr>
          <w:p>
            <w:pPr>
              <w:pStyle w:val="TableContents"/>
              <w:spacing w:before="0" w:after="0"/>
              <w:ind w:left="0" w:right="0" w:hanging="0"/>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56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shd w:fill="auto" w:val="clear"/>
            <w:vAlign w:val="center"/>
          </w:tcPr>
          <w:p>
            <w:pPr>
              <w:pStyle w:val="TableContents"/>
              <w:spacing w:before="0" w:after="0"/>
              <w:ind w:left="0" w:right="0" w:hanging="0"/>
              <w:jc w:val="center"/>
              <w:rPr/>
            </w:pPr>
            <w:r>
              <w:rPr/>
              <w:t> </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shd w:fill="auto" w:val="clear"/>
            <w:vAlign w:val="center"/>
          </w:tcPr>
          <w:p>
            <w:pPr>
              <w:pStyle w:val="TableContents"/>
              <w:spacing w:before="0" w:after="0"/>
              <w:ind w:left="0" w:right="0" w:hanging="0"/>
              <w:rPr/>
            </w:pPr>
            <w:r>
              <w:rPr/>
              <w:t>    </w:t>
            </w:r>
          </w:p>
        </w:tc>
        <w:tc>
          <w:tcPr>
            <w:tcW w:w="11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5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spacing w:before="0" w:after="0"/>
              <w:ind w:left="0" w:right="0" w:hanging="0"/>
              <w:rPr/>
            </w:pPr>
            <w:r>
              <w:rPr/>
              <w:t>​</w:t>
            </w:r>
          </w:p>
        </w:tc>
        <w:tc>
          <w:tcPr>
            <w:tcW w:w="4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w:t>
            </w:r>
          </w:p>
        </w:tc>
        <w:tc>
          <w:tcPr>
            <w:tcW w:w="3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46" w:type="dxa"/>
            <w:tcBorders/>
            <w:shd w:fill="CCEEFF" w:val="clear"/>
            <w:vAlign w:val="center"/>
          </w:tcPr>
          <w:p>
            <w:pPr>
              <w:pStyle w:val="TableContents"/>
              <w:spacing w:before="0" w:after="0"/>
              <w:ind w:left="0" w:right="0" w:hanging="0"/>
              <w:jc w:val="center"/>
              <w:rPr/>
            </w:pPr>
            <w:r>
              <w:rPr/>
              <w:t>​</w:t>
            </w:r>
          </w:p>
        </w:tc>
        <w:tc>
          <w:tcPr>
            <w:tcW w:w="4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5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auto" w:val="clear"/>
            <w:vAlign w:val="center"/>
          </w:tcPr>
          <w:p>
            <w:pPr>
              <w:pStyle w:val="TableContents"/>
              <w:spacing w:before="0" w:after="0"/>
              <w:ind w:left="0" w:right="0" w:hanging="0"/>
              <w:rPr/>
            </w:pPr>
            <w:r>
              <w:rPr/>
              <w:t>​</w:t>
            </w:r>
          </w:p>
        </w:tc>
        <w:tc>
          <w:tcPr>
            <w:tcW w:w="415"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auto" w:val="clear"/>
            <w:vAlign w:val="center"/>
          </w:tcPr>
          <w:p>
            <w:pPr>
              <w:pStyle w:val="TableContents"/>
              <w:spacing w:before="0" w:after="0"/>
              <w:ind w:left="0" w:right="0" w:hanging="0"/>
              <w:rPr/>
            </w:pPr>
            <w:r>
              <w:rPr/>
              <w:t>​</w:t>
            </w:r>
          </w:p>
        </w:tc>
        <w:tc>
          <w:tcPr>
            <w:tcW w:w="329" w:type="dxa"/>
            <w:tcBorders/>
            <w:shd w:fill="auto" w:val="clear"/>
            <w:vAlign w:val="center"/>
          </w:tcPr>
          <w:p>
            <w:pPr>
              <w:pStyle w:val="TableContents"/>
              <w:spacing w:before="0" w:after="0"/>
              <w:ind w:left="0" w:right="0" w:hanging="0"/>
              <w:rPr/>
            </w:pPr>
            <w:r>
              <w:rPr/>
              <w:t>​</w:t>
            </w:r>
          </w:p>
        </w:tc>
        <w:tc>
          <w:tcPr>
            <w:tcW w:w="7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360"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146" w:type="dxa"/>
            <w:tcBorders/>
            <w:shd w:fill="auto" w:val="clear"/>
            <w:vAlign w:val="center"/>
          </w:tcPr>
          <w:p>
            <w:pPr>
              <w:pStyle w:val="TableContents"/>
              <w:spacing w:before="0" w:after="0"/>
              <w:ind w:left="0" w:right="0" w:hanging="0"/>
              <w:rPr/>
            </w:pPr>
            <w:r>
              <w:rPr/>
              <w:t>​</w:t>
            </w:r>
          </w:p>
        </w:tc>
        <w:tc>
          <w:tcPr>
            <w:tcW w:w="415" w:type="dxa"/>
            <w:tcBorders/>
            <w:shd w:fill="auto" w:val="clear"/>
            <w:vAlign w:val="center"/>
          </w:tcPr>
          <w:p>
            <w:pPr>
              <w:pStyle w:val="TableContents"/>
              <w:spacing w:before="0" w:after="0"/>
              <w:ind w:left="0" w:right="0" w:hanging="0"/>
              <w:rPr/>
            </w:pPr>
            <w:r>
              <w:rPr/>
              <w:t>​</w:t>
            </w:r>
          </w:p>
        </w:tc>
        <w:tc>
          <w:tcPr>
            <w:tcW w:w="8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auto" w:val="clear"/>
            <w:vAlign w:val="center"/>
          </w:tcPr>
          <w:p>
            <w:pPr>
              <w:pStyle w:val="TableContents"/>
              <w:spacing w:before="0" w:after="0"/>
              <w:ind w:left="0" w:right="0" w:hanging="0"/>
              <w:rPr/>
            </w:pPr>
            <w:r>
              <w:rPr/>
              <w:t>​</w:t>
            </w:r>
          </w:p>
        </w:tc>
        <w:tc>
          <w:tcPr>
            <w:tcW w:w="329" w:type="dxa"/>
            <w:tcBorders/>
            <w:shd w:fill="auto" w:val="clear"/>
            <w:vAlign w:val="center"/>
          </w:tcPr>
          <w:p>
            <w:pPr>
              <w:pStyle w:val="TableContents"/>
              <w:spacing w:before="0" w:after="0"/>
              <w:ind w:left="0" w:right="0" w:hanging="0"/>
              <w:rPr/>
            </w:pPr>
            <w:r>
              <w:rPr/>
              <w:t>​</w:t>
            </w:r>
          </w:p>
        </w:tc>
        <w:tc>
          <w:tcPr>
            <w:tcW w:w="75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auto" w:val="clear"/>
            <w:vAlign w:val="center"/>
          </w:tcPr>
          <w:p>
            <w:pPr>
              <w:pStyle w:val="TableContents"/>
              <w:spacing w:before="0" w:after="0"/>
              <w:ind w:left="0" w:right="0" w:hanging="0"/>
              <w:rPr/>
            </w:pPr>
            <w:r>
              <w:rPr/>
              <w:t>​</w:t>
            </w:r>
          </w:p>
        </w:tc>
        <w:tc>
          <w:tcPr>
            <w:tcW w:w="370" w:type="dxa"/>
            <w:tcBorders/>
            <w:shd w:fill="auto" w:val="clear"/>
            <w:vAlign w:val="center"/>
          </w:tcPr>
          <w:p>
            <w:pPr>
              <w:pStyle w:val="TableContents"/>
              <w:spacing w:before="0" w:after="0"/>
              <w:ind w:left="0" w:right="0" w:hanging="0"/>
              <w:rPr/>
            </w:pPr>
            <w:r>
              <w:rPr/>
              <w:t>​</w:t>
            </w:r>
          </w:p>
        </w:tc>
        <w:tc>
          <w:tcPr>
            <w:tcW w:w="75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5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Completed technology</w:t>
            </w:r>
          </w:p>
        </w:tc>
        <w:tc>
          <w:tcPr>
            <w:tcW w:w="326" w:type="dxa"/>
            <w:tcBorders/>
            <w:shd w:fill="CCEEFF" w:val="clear"/>
            <w:vAlign w:val="center"/>
          </w:tcPr>
          <w:p>
            <w:pPr>
              <w:pStyle w:val="TableContents"/>
              <w:spacing w:before="0" w:after="0"/>
              <w:ind w:left="0" w:right="0" w:hanging="0"/>
              <w:rPr/>
            </w:pPr>
            <w:r>
              <w:rPr/>
              <w:t>​</w:t>
            </w:r>
          </w:p>
        </w:tc>
        <w:tc>
          <w:tcPr>
            <w:tcW w:w="415"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pPr>
            <w:r>
              <w:rPr/>
              <w:t> </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360"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pPr>
            <w:r>
              <w:rPr/>
              <w:t>—</w:t>
            </w:r>
          </w:p>
        </w:tc>
        <w:tc>
          <w:tcPr>
            <w:tcW w:w="146" w:type="dxa"/>
            <w:tcBorders/>
            <w:shd w:fill="CCEEFF" w:val="clear"/>
            <w:vAlign w:val="center"/>
          </w:tcPr>
          <w:p>
            <w:pPr>
              <w:pStyle w:val="TableContents"/>
              <w:spacing w:before="0" w:after="0"/>
              <w:ind w:left="0" w:right="0" w:hanging="0"/>
              <w:rPr/>
            </w:pPr>
            <w:r>
              <w:rPr/>
              <w:t>​</w:t>
            </w:r>
          </w:p>
        </w:tc>
        <w:tc>
          <w:tcPr>
            <w:tcW w:w="415"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329" w:type="dxa"/>
            <w:tcBorders/>
            <w:shd w:fill="CCEEFF" w:val="clear"/>
            <w:vAlign w:val="center"/>
          </w:tcPr>
          <w:p>
            <w:pPr>
              <w:pStyle w:val="TableContents"/>
              <w:spacing w:before="0" w:after="0"/>
              <w:ind w:left="0" w:right="0" w:hanging="0"/>
              <w:rPr/>
            </w:pPr>
            <w:r>
              <w:rPr/>
              <w:t> </w:t>
            </w:r>
          </w:p>
        </w:tc>
        <w:tc>
          <w:tcPr>
            <w:tcW w:w="7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spacing w:before="0" w:after="0"/>
              <w:ind w:left="0" w:right="0" w:hanging="0"/>
              <w:rPr/>
            </w:pPr>
            <w:r>
              <w:rPr/>
              <w:t>​</w:t>
            </w:r>
          </w:p>
        </w:tc>
        <w:tc>
          <w:tcPr>
            <w:tcW w:w="370" w:type="dxa"/>
            <w:tcBorders/>
            <w:shd w:fill="CCEEFF" w:val="clear"/>
            <w:vAlign w:val="center"/>
          </w:tcPr>
          <w:p>
            <w:pPr>
              <w:pStyle w:val="TableContents"/>
              <w:spacing w:before="0" w:after="0"/>
              <w:ind w:left="0" w:right="0" w:hanging="0"/>
              <w:rPr/>
            </w:pPr>
            <w:r>
              <w:rPr/>
              <w:t> </w:t>
            </w:r>
          </w:p>
        </w:tc>
        <w:tc>
          <w:tcPr>
            <w:tcW w:w="756" w:type="dxa"/>
            <w:tcBorders/>
            <w:shd w:fill="CCEEFF" w:val="clear"/>
            <w:vAlign w:val="center"/>
          </w:tcPr>
          <w:p>
            <w:pPr>
              <w:pStyle w:val="TableContents"/>
              <w:spacing w:before="0" w:after="0"/>
              <w:ind w:left="0" w:right="0" w:hanging="0"/>
              <w:jc w:val="right"/>
              <w:rPr/>
            </w:pPr>
            <w:r>
              <w:rPr/>
              <w:t>—</w:t>
            </w:r>
          </w:p>
        </w:tc>
      </w:tr>
      <w:tr>
        <w:trPr/>
        <w:tc>
          <w:tcPr>
            <w:tcW w:w="15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Patents and trademarks</w:t>
            </w:r>
          </w:p>
        </w:tc>
        <w:tc>
          <w:tcPr>
            <w:tcW w:w="326" w:type="dxa"/>
            <w:tcBorders/>
            <w:shd w:fill="auto" w:val="clear"/>
            <w:vAlign w:val="center"/>
          </w:tcPr>
          <w:p>
            <w:pPr>
              <w:pStyle w:val="TableContents"/>
              <w:spacing w:before="0" w:after="0"/>
              <w:ind w:left="0" w:right="0" w:hanging="0"/>
              <w:rPr/>
            </w:pPr>
            <w:r>
              <w:rPr/>
              <w:t>​</w:t>
            </w:r>
          </w:p>
        </w:tc>
        <w:tc>
          <w:tcPr>
            <w:tcW w:w="4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0"/>
              <w:ind w:left="0" w:right="0" w:hanging="0"/>
              <w:rPr/>
            </w:pPr>
            <w:r>
              <w:rPr/>
              <w:t>​</w:t>
            </w:r>
          </w:p>
        </w:tc>
        <w:tc>
          <w:tcPr>
            <w:tcW w:w="32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3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46" w:type="dxa"/>
            <w:tcBorders/>
            <w:shd w:fill="auto" w:val="clear"/>
            <w:vAlign w:val="center"/>
          </w:tcPr>
          <w:p>
            <w:pPr>
              <w:pStyle w:val="TableContents"/>
              <w:spacing w:before="0" w:after="0"/>
              <w:ind w:left="0" w:right="0" w:hanging="0"/>
              <w:rPr/>
            </w:pPr>
            <w:r>
              <w:rPr/>
              <w:t>​</w:t>
            </w:r>
          </w:p>
        </w:tc>
        <w:tc>
          <w:tcPr>
            <w:tcW w:w="41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32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37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5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5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4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shd w:fill="CCEEFF" w:val="clear"/>
            <w:vAlign w:val="center"/>
          </w:tcPr>
          <w:p>
            <w:pPr>
              <w:pStyle w:val="TableContents"/>
              <w:spacing w:before="0" w:after="0"/>
              <w:ind w:left="0" w:right="0" w:hanging="0"/>
              <w:rPr/>
            </w:pPr>
            <w:r>
              <w:rPr/>
              <w:t>​</w:t>
            </w:r>
          </w:p>
        </w:tc>
        <w:tc>
          <w:tcPr>
            <w:tcW w:w="32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shd w:fill="CCEEFF" w:val="clear"/>
            <w:vAlign w:val="center"/>
          </w:tcPr>
          <w:p>
            <w:pPr>
              <w:pStyle w:val="TableContents"/>
              <w:spacing w:before="0" w:after="0"/>
              <w:ind w:left="0" w:right="0" w:hanging="0"/>
              <w:rPr/>
            </w:pPr>
            <w:r>
              <w:rPr/>
              <w:t>​</w:t>
            </w:r>
          </w:p>
        </w:tc>
        <w:tc>
          <w:tcPr>
            <w:tcW w:w="3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146" w:type="dxa"/>
            <w:tcBorders/>
            <w:shd w:fill="CCEEFF" w:val="clear"/>
            <w:vAlign w:val="center"/>
          </w:tcPr>
          <w:p>
            <w:pPr>
              <w:pStyle w:val="TableContents"/>
              <w:spacing w:before="0" w:after="0"/>
              <w:ind w:left="0" w:right="0" w:hanging="0"/>
              <w:rPr/>
            </w:pPr>
            <w:r>
              <w:rPr/>
              <w:t>​</w:t>
            </w:r>
          </w:p>
        </w:tc>
        <w:tc>
          <w:tcPr>
            <w:tcW w:w="41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spacing w:before="0" w:after="0"/>
              <w:ind w:left="0" w:right="0" w:hanging="0"/>
              <w:rPr/>
            </w:pPr>
            <w:r>
              <w:rPr/>
              <w:t>​</w:t>
            </w:r>
          </w:p>
        </w:tc>
        <w:tc>
          <w:tcPr>
            <w:tcW w:w="329"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26" w:type="dxa"/>
            <w:tcBorders/>
            <w:shd w:fill="CCEEFF" w:val="clear"/>
            <w:vAlign w:val="center"/>
          </w:tcPr>
          <w:p>
            <w:pPr>
              <w:pStyle w:val="TableContents"/>
              <w:spacing w:before="0" w:after="0"/>
              <w:ind w:left="0" w:right="0" w:hanging="0"/>
              <w:rPr/>
            </w:pPr>
            <w:r>
              <w:rPr/>
              <w:t>​</w:t>
            </w:r>
          </w:p>
        </w:tc>
        <w:tc>
          <w:tcPr>
            <w:tcW w:w="3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CCEEFF"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36</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net carrying amount of intangible assets increased by $108 million during the three months ended March 31, 2022, compared to the prior quarter, primarily due to increases in customer relationships and trademarks with useful lives of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seven years, arising from the business combinations in the quarter, partially offset by intangible asset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sz w:val="20"/>
        </w:rPr>
      </w:pPr>
      <w:bookmarkStart w:id="920" w:name="Tc_gYew9-jtqEiPFr-gXyMDBA_8_8"/>
      <w:bookmarkStart w:id="921" w:name="Tc_uPFPVW1JkkuoyJ50uVUpBg_8_5"/>
      <w:bookmarkStart w:id="922" w:name="Tc_DWVxUSR6G02dpvDvtq5xcA_8_2"/>
      <w:bookmarkStart w:id="923" w:name="Tc_L05cqQ4YT0CwZcqDGWNsqw_8_0"/>
      <w:bookmarkStart w:id="924" w:name="Tc_-GrwIeLTlUqB6O9LAVeTKQ_7_6"/>
      <w:bookmarkStart w:id="925" w:name="Tc_vSet1icnuk2FjMkICdUXPg_7_0"/>
      <w:bookmarkStart w:id="926" w:name="Tc_7Dg8ei0JgEWmuEIvQpGvqw_6_6"/>
      <w:bookmarkStart w:id="927" w:name="Tc_3BXwQLRckkyokjdDgpglMw_6_0"/>
      <w:bookmarkStart w:id="928" w:name="Tc_jzIj4E98Nkm8ogXEImBxnA_5_0"/>
      <w:bookmarkStart w:id="929" w:name="Tc_iDEH1iYcwESDYS4Jy-eh7g_4_9"/>
      <w:bookmarkStart w:id="930" w:name="Tc_s9ztjhrvM0WdSThSoAqsSg_4_8"/>
      <w:bookmarkStart w:id="931" w:name="Tc_qGGyNvSnwk-iqxTy8wgOGA_4_6"/>
      <w:bookmarkStart w:id="932" w:name="Tc_pwvPbZakpkur2wrcG3F9kA_4_5"/>
      <w:bookmarkStart w:id="933" w:name="Tc_EwC76DoSv0-jwhx3nCzJjQ_4_3"/>
      <w:bookmarkStart w:id="934" w:name="Tc_ICNGrrLykUOuvoJNEVrYdQ_4_2"/>
      <w:bookmarkStart w:id="935" w:name="Tc_nDvSi7X9-EKIqTYDNYKFyg_4_0"/>
      <w:bookmarkStart w:id="936" w:name="Tc_yQmdwV6rpk2PL0F1Wxod5w_3_8"/>
      <w:bookmarkStart w:id="937" w:name="Tc_PJKG0ONWd0ev1S0153jrxw_3_5"/>
      <w:bookmarkStart w:id="938" w:name="Tc_CyK6AWc2O02pZiemQEfV9g_3_2"/>
      <w:bookmarkStart w:id="939" w:name="Tc_G5vD9xl1_UaDOPlBFncWdA_3_0"/>
      <w:bookmarkStart w:id="940" w:name="Tc_IsaMt-R0pEevyYV7b4Nj2g_2_8"/>
      <w:bookmarkStart w:id="941" w:name="Tc_wVJXP2UVCUi8nVtw5FBSBA_2_5"/>
      <w:bookmarkStart w:id="942" w:name="Tc_g1QFLXtYOEG0_LRZEuamtw_2_2"/>
      <w:bookmarkStart w:id="943" w:name="Tc_oG0doDCEdkmiPJmm1DeRfg_2_0"/>
      <w:bookmarkStart w:id="944" w:name="Tc_l1AP91cNxkmzKnVCS7kliQ_1_5"/>
      <w:bookmarkStart w:id="945" w:name="_b85549c5_b9d9_4325_bb51_aa312e0fd12c"/>
      <w:bookmarkStart w:id="946" w:name="Tc_ZtWC9hkiwE-OLc_0xgZE0g_9_9"/>
      <w:bookmarkStart w:id="947" w:name="Tc_CeaaXtbeaEy3DcOdpAAGgw_9_3"/>
      <w:bookmarkStart w:id="948" w:name="Tc_XxxzPZx61kWkFrOIu-LWtg_9_0"/>
      <w:bookmarkStart w:id="949" w:name="Tc_DBwtOKv4v0aZ6CVbODzMoQ_8_3"/>
      <w:bookmarkStart w:id="950" w:name="Tc_aoC3Kx-_Jka-fP5VAJaggA_8_0"/>
      <w:bookmarkStart w:id="951" w:name="Tc_gJU91rAgrEiC4GmpgFAwCw_7_3"/>
      <w:bookmarkStart w:id="952" w:name="Tc_7mGKwzKPH0unyBDdEIREXA_7_0"/>
      <w:bookmarkStart w:id="953" w:name="Tc_Bag8aeIP2EeRS6fltCJVng_6_3"/>
      <w:bookmarkStart w:id="954" w:name="Tc_S9DS8M3FskazylvjEUl9Kw_6_0"/>
      <w:bookmarkStart w:id="955" w:name="Tc_njrm5-WTkkyuytj-ZjuNPA_5_3"/>
      <w:bookmarkStart w:id="956" w:name="Tc_K3A1on2ohUqUgEQx9aKAqA_5_0"/>
      <w:bookmarkStart w:id="957" w:name="Tc_esc5kZ3y9EevNMQRw0NJYw_4_11"/>
      <w:bookmarkStart w:id="958" w:name="Tc_MCvYYNua60yuV6GQogV63w_4_8"/>
      <w:bookmarkStart w:id="959" w:name="Tc_NVdCEoCQL06AmliGbif1gg_4_5"/>
      <w:bookmarkStart w:id="960" w:name="Tc_ogvwljn5uU225T__8e32Iw_4_2"/>
      <w:bookmarkStart w:id="961" w:name="Tc_k0Z-ij04ukmtqqfE2k6VVQ_4_0"/>
      <w:bookmarkStart w:id="962" w:name="Tc_H2LAUegel0S1x1NbDR3x4Q_3_0"/>
      <w:bookmarkStart w:id="963" w:name="Tc_1VfoeydzyUuHJoRfZ9pQ5w_2_11"/>
      <w:bookmarkStart w:id="964" w:name="Tc_zkHvSg_4eEKiNCBTY7Dbbg_2_8"/>
      <w:bookmarkStart w:id="965" w:name="Tc_f-BvtsgW10KKmQvTz6TyuA_2_5"/>
      <w:bookmarkStart w:id="966" w:name="Tc_pGn0wyhmoEO2c43PQ6QoKA_2_2"/>
      <w:bookmarkStart w:id="967" w:name="Tc_mGM82WL9LUu91e53TzTMcw_2_0"/>
      <w:bookmarkStart w:id="968" w:name="Tc_fVkJw_Qbe0GfyOpINSop4g_1_8"/>
      <w:bookmarkStart w:id="969" w:name="Tc__Zwv7_vV2kykz1vVyZi_9Q_1_5"/>
      <w:bookmarkStart w:id="970" w:name="Tc_JMQmApXRbUWDDb1Yl74STg_1_2"/>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rPr>
          <w:rFonts w:ascii="Times New Roman;Times;serif" w:hAnsi="Times New Roman;Times;serif"/>
          <w:sz w:val="20"/>
        </w:rPr>
        <w:t xml:space="preserve">amortization. The aggregate intangible asset amortization expense was $7 million for the three months ended March 31, 2022, and 2021.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future amortization expense relating to intangible assets currently recorded in the Consolidated Balance Sheet was estimated to be the following at March 31, 2022:</w:t>
      </w:r>
    </w:p>
    <w:p>
      <w:pPr>
        <w:pStyle w:val="TextBody"/>
        <w:spacing w:before="0" w:after="240"/>
        <w:ind w:left="0" w:right="0" w:firstLine="720"/>
        <w:rPr/>
      </w:pPr>
      <w:r>
        <w:rPr/>
        <w:t>​</w:t>
      </w:r>
    </w:p>
    <w:tbl>
      <w:tblPr>
        <w:tblW w:w="6403" w:type="dxa"/>
        <w:jc w:val="left"/>
        <w:tblInd w:w="0" w:type="dxa"/>
        <w:tblCellMar>
          <w:top w:w="0" w:type="dxa"/>
          <w:left w:w="0" w:type="dxa"/>
          <w:bottom w:w="0" w:type="dxa"/>
          <w:right w:w="0" w:type="dxa"/>
        </w:tblCellMar>
      </w:tblPr>
      <w:tblGrid>
        <w:gridCol w:w="2131"/>
        <w:gridCol w:w="109"/>
        <w:gridCol w:w="352"/>
        <w:gridCol w:w="579"/>
        <w:gridCol w:w="326"/>
        <w:gridCol w:w="425"/>
        <w:gridCol w:w="641"/>
        <w:gridCol w:w="109"/>
        <w:gridCol w:w="379"/>
        <w:gridCol w:w="626"/>
        <w:gridCol w:w="109"/>
        <w:gridCol w:w="211"/>
        <w:gridCol w:w="406"/>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53185" cy="175260"/>
                      <wp:effectExtent l="0" t="0" r="0" b="0"/>
                      <wp:wrapNone/>
                      <wp:docPr id="131" name="Frame131"/>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9215" cy="175260"/>
                      <wp:effectExtent l="0" t="0" r="0" b="0"/>
                      <wp:wrapNone/>
                      <wp:docPr id="132" name="Frame1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23520" cy="175260"/>
                      <wp:effectExtent l="0" t="0" r="0" b="0"/>
                      <wp:wrapNone/>
                      <wp:docPr id="133" name="Frame133"/>
                      <a:graphic xmlns:a="http://schemas.openxmlformats.org/drawingml/2006/main">
                        <a:graphicData uri="http://schemas.microsoft.com/office/word/2010/wordprocessingShape">
                          <wps:wsp>
                            <wps:cNvSpPr txBox="1"/>
                            <wps:spPr>
                              <a:xfrm>
                                <a:off x="0" y="0"/>
                                <a:ext cx="2235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67665" cy="175260"/>
                      <wp:effectExtent l="0" t="0" r="0" b="0"/>
                      <wp:wrapNone/>
                      <wp:docPr id="134" name="Frame134"/>
                      <a:graphic xmlns:a="http://schemas.openxmlformats.org/drawingml/2006/main">
                        <a:graphicData uri="http://schemas.microsoft.com/office/word/2010/wordprocessingShape">
                          <wps:wsp>
                            <wps:cNvSpPr txBox="1"/>
                            <wps:spPr>
                              <a:xfrm>
                                <a:off x="0" y="0"/>
                                <a:ext cx="367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69875" cy="175260"/>
                      <wp:effectExtent l="0" t="0" r="0" b="0"/>
                      <wp:wrapNone/>
                      <wp:docPr id="136" name="Frame136"/>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07035" cy="175260"/>
                      <wp:effectExtent l="0" t="0" r="0" b="0"/>
                      <wp:wrapNone/>
                      <wp:docPr id="137" name="Frame137"/>
                      <a:graphic xmlns:a="http://schemas.openxmlformats.org/drawingml/2006/main">
                        <a:graphicData uri="http://schemas.microsoft.com/office/word/2010/wordprocessingShape">
                          <wps:wsp>
                            <wps:cNvSpPr txBox="1"/>
                            <wps:spPr>
                              <a:xfrm>
                                <a:off x="0" y="0"/>
                                <a:ext cx="407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9215" cy="175260"/>
                      <wp:effectExtent l="0" t="0" r="0" b="0"/>
                      <wp:wrapNone/>
                      <wp:docPr id="138" name="Frame1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40665" cy="175260"/>
                      <wp:effectExtent l="0" t="0" r="0" b="0"/>
                      <wp:wrapNone/>
                      <wp:docPr id="139" name="Frame139"/>
                      <a:graphic xmlns:a="http://schemas.openxmlformats.org/drawingml/2006/main">
                        <a:graphicData uri="http://schemas.microsoft.com/office/word/2010/wordprocessingShape">
                          <wps:wsp>
                            <wps:cNvSpPr txBox="1"/>
                            <wps:spPr>
                              <a:xfrm>
                                <a:off x="0" y="0"/>
                                <a:ext cx="2406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97510" cy="175260"/>
                      <wp:effectExtent l="0" t="0" r="0" b="0"/>
                      <wp:wrapNone/>
                      <wp:docPr id="140" name="Frame140"/>
                      <a:graphic xmlns:a="http://schemas.openxmlformats.org/drawingml/2006/main">
                        <a:graphicData uri="http://schemas.microsoft.com/office/word/2010/wordprocessingShape">
                          <wps:wsp>
                            <wps:cNvSpPr txBox="1"/>
                            <wps:spPr>
                              <a:xfrm>
                                <a:off x="0" y="0"/>
                                <a:ext cx="397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57810" cy="175260"/>
                      <wp:effectExtent l="0" t="0" r="0" b="0"/>
                      <wp:wrapNone/>
                      <wp:docPr id="143" name="Frame143"/>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26" w:type="dxa"/>
            <w:tcBorders/>
            <w:shd w:fill="auto" w:val="clear"/>
            <w:vAlign w:val="center"/>
          </w:tcPr>
          <w:p>
            <w:pPr>
              <w:pStyle w:val="TableContents"/>
              <w:spacing w:before="0" w:after="1"/>
              <w:ind w:left="0" w:right="0" w:hanging="0"/>
              <w:rPr/>
            </w:pPr>
            <w:r>
              <w:rPr/>
              <w:t>​</w:t>
            </w:r>
          </w:p>
        </w:tc>
        <w:tc>
          <w:tcPr>
            <w:tcW w:w="10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shd w:fill="auto" w:val="clear"/>
            <w:vAlign w:val="center"/>
          </w:tcPr>
          <w:p>
            <w:pPr>
              <w:pStyle w:val="TableContents"/>
              <w:spacing w:before="0" w:after="1"/>
              <w:ind w:left="0" w:right="0" w:hanging="0"/>
              <w:rPr/>
            </w:pPr>
            <w:r>
              <w:rPr/>
              <w:t>​</w:t>
            </w:r>
          </w:p>
        </w:tc>
        <w:tc>
          <w:tcPr>
            <w:tcW w:w="100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Patents and </w:t>
            </w:r>
          </w:p>
        </w:tc>
        <w:tc>
          <w:tcPr>
            <w:tcW w:w="109" w:type="dxa"/>
            <w:tcBorders/>
            <w:shd w:fill="auto" w:val="clear"/>
            <w:vAlign w:val="center"/>
          </w:tcPr>
          <w:p>
            <w:pPr>
              <w:pStyle w:val="TableContents"/>
              <w:spacing w:before="0" w:after="1"/>
              <w:ind w:left="0" w:right="0" w:hanging="0"/>
              <w:rPr/>
            </w:pPr>
            <w:r>
              <w:rPr/>
              <w:t>​</w:t>
            </w:r>
          </w:p>
        </w:tc>
        <w:tc>
          <w:tcPr>
            <w:tcW w:w="617" w:type="dxa"/>
            <w:gridSpan w:val="2"/>
            <w:tcBorders/>
            <w:shd w:fill="auto" w:val="clear"/>
            <w:vAlign w:val="center"/>
          </w:tcPr>
          <w:p>
            <w:pPr>
              <w:pStyle w:val="TableContents"/>
              <w:spacing w:before="0" w:after="1"/>
              <w:ind w:left="0" w:right="0" w:hanging="0"/>
              <w:jc w:val="center"/>
              <w:rPr/>
            </w:pPr>
            <w:r>
              <w:rPr/>
              <w:t>​</w:t>
            </w:r>
          </w:p>
        </w:tc>
      </w:tr>
      <w:tr>
        <w:trPr/>
        <w:tc>
          <w:tcPr>
            <w:tcW w:w="213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1"/>
              <w:ind w:left="0" w:right="0" w:hanging="0"/>
              <w:rPr/>
            </w:pPr>
            <w:r>
              <w:rPr/>
              <w:t>​</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26" w:type="dxa"/>
            <w:tcBorders/>
            <w:shd w:fill="auto" w:val="clear"/>
            <w:vAlign w:val="center"/>
          </w:tcPr>
          <w:p>
            <w:pPr>
              <w:pStyle w:val="TableContents"/>
              <w:spacing w:before="0" w:after="1"/>
              <w:ind w:left="0" w:right="0" w:hanging="0"/>
              <w:rPr/>
            </w:pPr>
            <w:r>
              <w:rPr/>
              <w:t>    </w:t>
            </w:r>
          </w:p>
        </w:tc>
        <w:tc>
          <w:tcPr>
            <w:tcW w:w="10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09" w:type="dxa"/>
            <w:tcBorders/>
            <w:shd w:fill="auto" w:val="clear"/>
            <w:vAlign w:val="center"/>
          </w:tcPr>
          <w:p>
            <w:pPr>
              <w:pStyle w:val="TableContents"/>
              <w:spacing w:before="0" w:after="1"/>
              <w:ind w:left="0" w:right="0" w:hanging="0"/>
              <w:rPr/>
            </w:pPr>
            <w:r>
              <w:rPr/>
              <w:t>​</w:t>
            </w:r>
          </w:p>
        </w:tc>
        <w:tc>
          <w:tcPr>
            <w:tcW w:w="10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Trademarks</w:t>
            </w:r>
          </w:p>
        </w:tc>
        <w:tc>
          <w:tcPr>
            <w:tcW w:w="109" w:type="dxa"/>
            <w:tcBorders/>
            <w:shd w:fill="auto" w:val="clear"/>
            <w:vAlign w:val="center"/>
          </w:tcPr>
          <w:p>
            <w:pPr>
              <w:pStyle w:val="TableContents"/>
              <w:spacing w:before="0" w:after="1"/>
              <w:ind w:left="0" w:right="0" w:hanging="0"/>
              <w:rPr/>
            </w:pPr>
            <w:r>
              <w:rPr/>
              <w:t>​</w:t>
            </w:r>
          </w:p>
        </w:tc>
        <w:tc>
          <w:tcPr>
            <w:tcW w:w="61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 xml:space="preserve">Year ending March 31: </w:t>
            </w:r>
          </w:p>
        </w:tc>
        <w:tc>
          <w:tcPr>
            <w:tcW w:w="109"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jc w:val="center"/>
              <w:rPr/>
            </w:pPr>
            <w:r>
              <w:rPr/>
              <w:t>​</w:t>
            </w:r>
          </w:p>
        </w:tc>
        <w:tc>
          <w:tcPr>
            <w:tcW w:w="579"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jc w:val="center"/>
              <w:rPr/>
            </w:pPr>
            <w:r>
              <w:rPr/>
              <w:t>​</w:t>
            </w:r>
          </w:p>
        </w:tc>
        <w:tc>
          <w:tcPr>
            <w:tcW w:w="641"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jc w:val="center"/>
              <w:rPr/>
            </w:pPr>
            <w:r>
              <w:rPr/>
              <w:t>​</w:t>
            </w:r>
          </w:p>
        </w:tc>
        <w:tc>
          <w:tcPr>
            <w:tcW w:w="626" w:type="dxa"/>
            <w:tcBorders/>
            <w:shd w:fill="CCEEFF" w:val="clear"/>
            <w:vAlign w:val="center"/>
          </w:tcPr>
          <w:p>
            <w:pPr>
              <w:pStyle w:val="TableContents"/>
              <w:spacing w:before="0" w:after="1"/>
              <w:ind w:left="0" w:right="0" w:hanging="0"/>
              <w:jc w:val="center"/>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center"/>
              <w:rPr/>
            </w:pPr>
            <w:r>
              <w:rPr/>
              <w:t>​</w:t>
            </w:r>
          </w:p>
        </w:tc>
        <w:tc>
          <w:tcPr>
            <w:tcW w:w="406" w:type="dxa"/>
            <w:tcBorders/>
            <w:shd w:fill="CCEEFF" w:val="clear"/>
            <w:vAlign w:val="center"/>
          </w:tcPr>
          <w:p>
            <w:pPr>
              <w:pStyle w:val="TableContents"/>
              <w:spacing w:before="0" w:after="1"/>
              <w:ind w:left="0" w:right="0" w:hanging="0"/>
              <w:jc w:val="center"/>
              <w:rPr/>
            </w:pPr>
            <w:r>
              <w:rPr/>
              <w:t>​</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40 </w:t>
            </w:r>
          </w:p>
        </w:tc>
        <w:tc>
          <w:tcPr>
            <w:tcW w:w="109"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45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28 </w:t>
            </w:r>
          </w:p>
        </w:tc>
        <w:tc>
          <w:tcPr>
            <w:tcW w:w="109"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31 </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 </w:t>
            </w:r>
          </w:p>
        </w:tc>
        <w:tc>
          <w:tcPr>
            <w:tcW w:w="109"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4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 </w:t>
            </w:r>
          </w:p>
        </w:tc>
        <w:tc>
          <w:tcPr>
            <w:tcW w:w="109"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23 </w:t>
            </w:r>
          </w:p>
        </w:tc>
      </w:tr>
      <w:tr>
        <w:trPr/>
        <w:tc>
          <w:tcPr>
            <w:tcW w:w="213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auto" w:val="clear"/>
            <w:vAlign w:val="center"/>
          </w:tcPr>
          <w:p>
            <w:pPr>
              <w:pStyle w:val="TableContents"/>
              <w:spacing w:before="0" w:after="1"/>
              <w:ind w:left="0" w:right="0" w:hanging="0"/>
              <w:rPr/>
            </w:pPr>
            <w:r>
              <w:rPr/>
              <w:t>​</w:t>
            </w:r>
          </w:p>
        </w:tc>
        <w:tc>
          <w:tcPr>
            <w:tcW w:w="352" w:type="dxa"/>
            <w:tcBorders/>
            <w:shd w:fill="auto" w:val="clear"/>
            <w:vAlign w:val="center"/>
          </w:tcPr>
          <w:p>
            <w:pPr>
              <w:pStyle w:val="TableContents"/>
              <w:spacing w:before="0" w:after="1"/>
              <w:ind w:left="0" w:right="0" w:hanging="0"/>
              <w:rPr/>
            </w:pPr>
            <w:r>
              <w:rPr/>
              <w:t>​</w:t>
            </w:r>
          </w:p>
        </w:tc>
        <w:tc>
          <w:tcPr>
            <w:tcW w:w="57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16 </w:t>
            </w:r>
          </w:p>
        </w:tc>
        <w:tc>
          <w:tcPr>
            <w:tcW w:w="109" w:type="dxa"/>
            <w:tcBorders/>
            <w:shd w:fill="auto" w:val="clear"/>
            <w:vAlign w:val="center"/>
          </w:tcPr>
          <w:p>
            <w:pPr>
              <w:pStyle w:val="TableContents"/>
              <w:spacing w:before="0" w:after="1"/>
              <w:ind w:left="0" w:right="0" w:hanging="0"/>
              <w:rPr/>
            </w:pPr>
            <w:r>
              <w:rPr/>
              <w:t>​</w:t>
            </w:r>
          </w:p>
        </w:tc>
        <w:tc>
          <w:tcPr>
            <w:tcW w:w="379" w:type="dxa"/>
            <w:tcBorders/>
            <w:shd w:fill="auto" w:val="clear"/>
            <w:vAlign w:val="center"/>
          </w:tcPr>
          <w:p>
            <w:pPr>
              <w:pStyle w:val="TableContents"/>
              <w:spacing w:before="0" w:after="1"/>
              <w:ind w:left="0" w:right="0" w:hanging="0"/>
              <w:rPr/>
            </w:pPr>
            <w:r>
              <w:rPr/>
              <w:t>​</w:t>
            </w:r>
          </w:p>
        </w:tc>
        <w:tc>
          <w:tcPr>
            <w:tcW w:w="62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40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 </w:t>
            </w:r>
          </w:p>
        </w:tc>
      </w:tr>
      <w:tr>
        <w:trPr/>
        <w:tc>
          <w:tcPr>
            <w:tcW w:w="213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spacing w:before="0" w:after="1"/>
              <w:ind w:left="0" w:right="0" w:hanging="0"/>
              <w:rPr/>
            </w:pPr>
            <w:r>
              <w:rPr/>
              <w:t>​</w:t>
            </w:r>
          </w:p>
        </w:tc>
        <w:tc>
          <w:tcPr>
            <w:tcW w:w="352" w:type="dxa"/>
            <w:tcBorders/>
            <w:shd w:fill="CCEEFF" w:val="clear"/>
            <w:vAlign w:val="center"/>
          </w:tcPr>
          <w:p>
            <w:pPr>
              <w:pStyle w:val="TableContents"/>
              <w:spacing w:before="0" w:after="1"/>
              <w:ind w:left="0" w:right="0" w:hanging="0"/>
              <w:rPr/>
            </w:pPr>
            <w:r>
              <w:rPr/>
              <w:t>​</w:t>
            </w:r>
          </w:p>
        </w:tc>
        <w:tc>
          <w:tcPr>
            <w:tcW w:w="57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shd w:fill="CCEEFF" w:val="clear"/>
            <w:vAlign w:val="center"/>
          </w:tcPr>
          <w:p>
            <w:pPr>
              <w:pStyle w:val="TableContents"/>
              <w:spacing w:before="0" w:after="1"/>
              <w:ind w:left="0" w:right="0" w:hanging="0"/>
              <w:rPr/>
            </w:pPr>
            <w:r>
              <w:rPr/>
              <w:t>​</w:t>
            </w:r>
          </w:p>
        </w:tc>
        <w:tc>
          <w:tcPr>
            <w:tcW w:w="379" w:type="dxa"/>
            <w:tcBorders/>
            <w:shd w:fill="CCEEFF" w:val="clear"/>
            <w:vAlign w:val="center"/>
          </w:tcPr>
          <w:p>
            <w:pPr>
              <w:pStyle w:val="TableContents"/>
              <w:spacing w:before="0" w:after="1"/>
              <w:ind w:left="0" w:right="0" w:hanging="0"/>
              <w:rPr/>
            </w:pPr>
            <w:r>
              <w:rPr/>
              <w:t>​</w:t>
            </w:r>
          </w:p>
        </w:tc>
        <w:tc>
          <w:tcPr>
            <w:tcW w:w="62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406"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 xml:space="preserve">2 </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Goodwill</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changes in the goodwill balances by segment for the three months ended March 31, 2022, and for the year ended December 31, 2021, were as follows:</w:t>
      </w:r>
    </w:p>
    <w:p>
      <w:pPr>
        <w:pStyle w:val="TextBody"/>
        <w:spacing w:before="0" w:after="240"/>
        <w:ind w:left="0" w:right="0" w:hanging="0"/>
        <w:rPr/>
      </w:pPr>
      <w:r>
        <w:rPr/>
        <w:t>​</w:t>
      </w:r>
    </w:p>
    <w:tbl>
      <w:tblPr>
        <w:tblW w:w="6021" w:type="dxa"/>
        <w:jc w:val="left"/>
        <w:tblInd w:w="0" w:type="dxa"/>
        <w:tblCellMar>
          <w:top w:w="0" w:type="dxa"/>
          <w:left w:w="0" w:type="dxa"/>
          <w:bottom w:w="0" w:type="dxa"/>
          <w:right w:w="0" w:type="dxa"/>
        </w:tblCellMar>
      </w:tblPr>
      <w:tblGrid>
        <w:gridCol w:w="1561"/>
        <w:gridCol w:w="109"/>
        <w:gridCol w:w="499"/>
        <w:gridCol w:w="1002"/>
        <w:gridCol w:w="109"/>
        <w:gridCol w:w="420"/>
        <w:gridCol w:w="690"/>
        <w:gridCol w:w="326"/>
        <w:gridCol w:w="368"/>
        <w:gridCol w:w="937"/>
      </w:tblGrid>
      <w:tr>
        <w:trPr/>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91235" cy="175260"/>
                      <wp:effectExtent l="0" t="0" r="0" b="0"/>
                      <wp:wrapNone/>
                      <wp:docPr id="144" name="Frame144"/>
                      <a:graphic xmlns:a="http://schemas.openxmlformats.org/drawingml/2006/main">
                        <a:graphicData uri="http://schemas.microsoft.com/office/word/2010/wordprocessingShape">
                          <wps:wsp>
                            <wps:cNvSpPr txBox="1"/>
                            <wps:spPr>
                              <a:xfrm>
                                <a:off x="0" y="0"/>
                                <a:ext cx="991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215" cy="175260"/>
                      <wp:effectExtent l="0" t="0" r="0" b="0"/>
                      <wp:wrapNone/>
                      <wp:docPr id="145" name="Frame1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16865" cy="175260"/>
                      <wp:effectExtent l="0" t="0" r="0" b="0"/>
                      <wp:wrapNone/>
                      <wp:docPr id="146" name="Frame146"/>
                      <a:graphic xmlns:a="http://schemas.openxmlformats.org/drawingml/2006/main">
                        <a:graphicData uri="http://schemas.microsoft.com/office/word/2010/wordprocessingShape">
                          <wps:wsp>
                            <wps:cNvSpPr txBox="1"/>
                            <wps:spPr>
                              <a:xfrm>
                                <a:off x="0" y="0"/>
                                <a:ext cx="316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36270" cy="175260"/>
                      <wp:effectExtent l="0" t="0" r="0" b="0"/>
                      <wp:wrapNone/>
                      <wp:docPr id="147" name="Frame147"/>
                      <a:graphic xmlns:a="http://schemas.openxmlformats.org/drawingml/2006/main">
                        <a:graphicData uri="http://schemas.microsoft.com/office/word/2010/wordprocessingShape">
                          <wps:wsp>
                            <wps:cNvSpPr txBox="1"/>
                            <wps:spPr>
                              <a:xfrm>
                                <a:off x="0" y="0"/>
                                <a:ext cx="6362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9215" cy="175260"/>
                      <wp:effectExtent l="0" t="0" r="0" b="0"/>
                      <wp:wrapNone/>
                      <wp:docPr id="148" name="Frame1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66700" cy="175260"/>
                      <wp:effectExtent l="0" t="0" r="0" b="0"/>
                      <wp:wrapNone/>
                      <wp:docPr id="149" name="Frame149"/>
                      <a:graphic xmlns:a="http://schemas.openxmlformats.org/drawingml/2006/main">
                        <a:graphicData uri="http://schemas.microsoft.com/office/word/2010/wordprocessingShape">
                          <wps:wsp>
                            <wps:cNvSpPr txBox="1"/>
                            <wps:spPr>
                              <a:xfrm>
                                <a:off x="0" y="0"/>
                                <a:ext cx="266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438150" cy="175260"/>
                      <wp:effectExtent l="0" t="0" r="0" b="0"/>
                      <wp:wrapNone/>
                      <wp:docPr id="150" name="Frame150"/>
                      <a:graphic xmlns:a="http://schemas.openxmlformats.org/drawingml/2006/main">
                        <a:graphicData uri="http://schemas.microsoft.com/office/word/2010/wordprocessingShape">
                          <wps:wsp>
                            <wps:cNvSpPr txBox="1"/>
                            <wps:spPr>
                              <a:xfrm>
                                <a:off x="0" y="0"/>
                                <a:ext cx="438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33680" cy="175260"/>
                      <wp:effectExtent l="0" t="0" r="0" b="0"/>
                      <wp:wrapNone/>
                      <wp:docPr id="152" name="Frame152"/>
                      <a:graphic xmlns:a="http://schemas.openxmlformats.org/drawingml/2006/main">
                        <a:graphicData uri="http://schemas.microsoft.com/office/word/2010/wordprocessingShape">
                          <wps:wsp>
                            <wps:cNvSpPr txBox="1"/>
                            <wps:spPr>
                              <a:xfrm>
                                <a:off x="0" y="0"/>
                                <a:ext cx="2336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94995" cy="175260"/>
                      <wp:effectExtent l="0" t="0" r="0" b="0"/>
                      <wp:wrapNone/>
                      <wp:docPr id="153" name="Frame153"/>
                      <a:graphic xmlns:a="http://schemas.openxmlformats.org/drawingml/2006/main">
                        <a:graphicData uri="http://schemas.microsoft.com/office/word/2010/wordprocessingShape">
                          <wps:wsp>
                            <wps:cNvSpPr txBox="1"/>
                            <wps:spPr>
                              <a:xfrm>
                                <a:off x="0" y="0"/>
                                <a:ext cx="594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6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499" w:type="dxa"/>
            <w:tcBorders/>
            <w:shd w:fill="auto" w:val="clear"/>
            <w:vAlign w:val="center"/>
          </w:tcPr>
          <w:p>
            <w:pPr>
              <w:pStyle w:val="TableContents"/>
              <w:spacing w:before="0" w:after="1"/>
              <w:ind w:left="0" w:right="0" w:hanging="0"/>
              <w:rPr/>
            </w:pPr>
            <w:r>
              <w:rPr/>
              <w:t>​</w:t>
            </w:r>
          </w:p>
        </w:tc>
        <w:tc>
          <w:tcPr>
            <w:tcW w:w="1002"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Additions and</w:t>
            </w:r>
          </w:p>
        </w:tc>
        <w:tc>
          <w:tcPr>
            <w:tcW w:w="326" w:type="dxa"/>
            <w:tcBorders/>
            <w:shd w:fill="auto" w:val="clear"/>
            <w:vAlign w:val="center"/>
          </w:tcPr>
          <w:p>
            <w:pPr>
              <w:pStyle w:val="TableContents"/>
              <w:spacing w:before="0" w:after="1"/>
              <w:ind w:left="0" w:right="0" w:hanging="0"/>
              <w:rPr/>
            </w:pPr>
            <w:r>
              <w:rPr/>
              <w:t>​</w:t>
            </w:r>
          </w:p>
        </w:tc>
        <w:tc>
          <w:tcPr>
            <w:tcW w:w="368" w:type="dxa"/>
            <w:tcBorders/>
            <w:shd w:fill="auto" w:val="clear"/>
            <w:vAlign w:val="center"/>
          </w:tcPr>
          <w:p>
            <w:pPr>
              <w:pStyle w:val="TableContents"/>
              <w:spacing w:before="0" w:after="1"/>
              <w:ind w:left="0" w:right="0" w:hanging="0"/>
              <w:rPr/>
            </w:pPr>
            <w:r>
              <w:rPr/>
              <w:t>​</w:t>
            </w:r>
          </w:p>
        </w:tc>
        <w:tc>
          <w:tcPr>
            <w:tcW w:w="937" w:type="dxa"/>
            <w:tcBorders/>
            <w:shd w:fill="auto" w:val="clear"/>
            <w:vAlign w:val="center"/>
          </w:tcPr>
          <w:p>
            <w:pPr>
              <w:pStyle w:val="TableContents"/>
              <w:spacing w:before="0" w:after="1"/>
              <w:ind w:left="0" w:right="0" w:hanging="0"/>
              <w:rPr/>
            </w:pPr>
            <w:r>
              <w:rPr/>
              <w:t>​</w:t>
            </w:r>
          </w:p>
        </w:tc>
      </w:tr>
      <w:tr>
        <w:trPr/>
        <w:tc>
          <w:tcPr>
            <w:tcW w:w="156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1"/>
              <w:ind w:left="0" w:right="0" w:hanging="0"/>
              <w:rPr/>
            </w:pPr>
            <w:r>
              <w:rPr/>
              <w:t>​</w:t>
            </w:r>
          </w:p>
        </w:tc>
        <w:tc>
          <w:tcPr>
            <w:tcW w:w="15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shd w:fill="auto" w:val="clear"/>
            <w:vAlign w:val="center"/>
          </w:tcPr>
          <w:p>
            <w:pPr>
              <w:pStyle w:val="TableContents"/>
              <w:spacing w:before="0" w:after="1"/>
              <w:ind w:left="0" w:right="0" w:hanging="0"/>
              <w:rPr/>
            </w:pPr>
            <w:r>
              <w:rPr/>
              <w:t>​</w:t>
            </w:r>
          </w:p>
        </w:tc>
        <w:tc>
          <w:tcPr>
            <w:tcW w:w="111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shd w:fill="auto" w:val="clear"/>
            <w:vAlign w:val="center"/>
          </w:tcPr>
          <w:p>
            <w:pPr>
              <w:pStyle w:val="TableContents"/>
              <w:spacing w:before="0" w:after="1"/>
              <w:ind w:left="0" w:right="0" w:hanging="0"/>
              <w:rPr/>
            </w:pPr>
            <w:r>
              <w:rPr/>
              <w:t>​</w:t>
            </w:r>
          </w:p>
        </w:tc>
        <w:tc>
          <w:tcPr>
            <w:tcW w:w="130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15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Segment</w:t>
            </w:r>
          </w:p>
        </w:tc>
        <w:tc>
          <w:tcPr>
            <w:tcW w:w="109" w:type="dxa"/>
            <w:tcBorders/>
            <w:shd w:fill="auto" w:val="clear"/>
            <w:vAlign w:val="center"/>
          </w:tcPr>
          <w:p>
            <w:pPr>
              <w:pStyle w:val="TableContents"/>
              <w:spacing w:before="0" w:after="1"/>
              <w:ind w:left="0" w:right="0" w:hanging="0"/>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2021</w:t>
            </w:r>
          </w:p>
        </w:tc>
        <w:tc>
          <w:tcPr>
            <w:tcW w:w="109" w:type="dxa"/>
            <w:tcBorders/>
            <w:shd w:fill="auto" w:val="clear"/>
            <w:vAlign w:val="center"/>
          </w:tcPr>
          <w:p>
            <w:pPr>
              <w:pStyle w:val="TableContents"/>
              <w:spacing w:before="0" w:after="1"/>
              <w:ind w:left="0" w:right="0" w:hanging="0"/>
              <w:rPr/>
            </w:pPr>
            <w:r>
              <w:rPr/>
              <w:t>​</w:t>
            </w:r>
          </w:p>
        </w:tc>
        <w:tc>
          <w:tcPr>
            <w:tcW w:w="111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2022</w:t>
            </w:r>
          </w:p>
        </w:tc>
      </w:tr>
      <w:tr>
        <w:trPr/>
        <w:tc>
          <w:tcPr>
            <w:tcW w:w="1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spacing w:before="0" w:after="1"/>
              <w:ind w:left="0" w:right="0" w:hanging="0"/>
              <w:rPr/>
            </w:pPr>
            <w:r>
              <w:rPr/>
              <w:t>​</w:t>
            </w:r>
          </w:p>
        </w:tc>
        <w:tc>
          <w:tcPr>
            <w:tcW w:w="4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02"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4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6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spacing w:before="0" w:after="1"/>
              <w:ind w:left="0" w:right="0" w:hanging="0"/>
              <w:jc w:val="right"/>
              <w:rPr/>
            </w:pPr>
            <w:r>
              <w:rPr/>
              <w:t>—</w:t>
            </w:r>
          </w:p>
        </w:tc>
      </w:tr>
      <w:tr>
        <w:trPr/>
        <w:tc>
          <w:tcPr>
            <w:tcW w:w="1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Japan</w:t>
            </w:r>
          </w:p>
        </w:tc>
        <w:tc>
          <w:tcPr>
            <w:tcW w:w="109" w:type="dxa"/>
            <w:tcBorders/>
            <w:shd w:fill="auto" w:val="clear"/>
            <w:vAlign w:val="center"/>
          </w:tcPr>
          <w:p>
            <w:pPr>
              <w:pStyle w:val="TableContents"/>
              <w:spacing w:before="0" w:after="1"/>
              <w:ind w:left="0" w:right="0" w:hanging="0"/>
              <w:rPr/>
            </w:pPr>
            <w:r>
              <w:rPr/>
              <w:t>​</w:t>
            </w:r>
          </w:p>
        </w:tc>
        <w:tc>
          <w:tcPr>
            <w:tcW w:w="499" w:type="dxa"/>
            <w:tcBorders/>
            <w:shd w:fill="auto" w:val="clear"/>
            <w:vAlign w:val="center"/>
          </w:tcPr>
          <w:p>
            <w:pPr>
              <w:pStyle w:val="TableContents"/>
              <w:spacing w:before="0" w:after="1"/>
              <w:ind w:left="0" w:right="0" w:hanging="0"/>
              <w:jc w:val="center"/>
              <w:rPr/>
            </w:pPr>
            <w:r>
              <w:rPr/>
              <w:t>​</w:t>
            </w:r>
          </w:p>
        </w:tc>
        <w:tc>
          <w:tcPr>
            <w:tcW w:w="100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415</w:t>
            </w:r>
          </w:p>
        </w:tc>
        <w:tc>
          <w:tcPr>
            <w:tcW w:w="109" w:type="dxa"/>
            <w:tcBorders/>
            <w:shd w:fill="auto" w:val="clear"/>
            <w:vAlign w:val="center"/>
          </w:tcPr>
          <w:p>
            <w:pPr>
              <w:pStyle w:val="TableContents"/>
              <w:spacing w:before="0" w:after="1"/>
              <w:ind w:left="0" w:right="0" w:hanging="0"/>
              <w:rPr/>
            </w:pPr>
            <w:r>
              <w:rPr/>
              <w:t>​</w:t>
            </w:r>
          </w:p>
        </w:tc>
        <w:tc>
          <w:tcPr>
            <w:tcW w:w="420" w:type="dxa"/>
            <w:tcBorders/>
            <w:shd w:fill="auto" w:val="clear"/>
            <w:vAlign w:val="center"/>
          </w:tcPr>
          <w:p>
            <w:pPr>
              <w:pStyle w:val="TableContents"/>
              <w:spacing w:before="0" w:after="1"/>
              <w:ind w:left="0" w:right="0" w:hanging="0"/>
              <w:jc w:val="center"/>
              <w:rPr/>
            </w:pPr>
            <w:r>
              <w:rPr/>
              <w:t>​</w:t>
            </w:r>
          </w:p>
        </w:tc>
        <w:tc>
          <w:tcPr>
            <w:tcW w:w="69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auto" w:val="clear"/>
            <w:vAlign w:val="center"/>
          </w:tcPr>
          <w:p>
            <w:pPr>
              <w:pStyle w:val="TableContents"/>
              <w:spacing w:before="0" w:after="1"/>
              <w:ind w:left="0" w:right="0" w:hanging="0"/>
              <w:rPr/>
            </w:pPr>
            <w:r>
              <w:rPr/>
              <w:t>​</w:t>
            </w:r>
          </w:p>
        </w:tc>
        <w:tc>
          <w:tcPr>
            <w:tcW w:w="368" w:type="dxa"/>
            <w:tcBorders/>
            <w:shd w:fill="auto" w:val="clear"/>
            <w:vAlign w:val="center"/>
          </w:tcPr>
          <w:p>
            <w:pPr>
              <w:pStyle w:val="TableContents"/>
              <w:spacing w:before="0" w:after="1"/>
              <w:ind w:left="0" w:right="0" w:hanging="0"/>
              <w:jc w:val="center"/>
              <w:rPr/>
            </w:pPr>
            <w:r>
              <w:rPr/>
              <w:t>​</w:t>
            </w:r>
          </w:p>
        </w:tc>
        <w:tc>
          <w:tcPr>
            <w:tcW w:w="9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r>
      <w:tr>
        <w:trPr/>
        <w:tc>
          <w:tcPr>
            <w:tcW w:w="1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Principal Markets</w:t>
            </w:r>
          </w:p>
        </w:tc>
        <w:tc>
          <w:tcPr>
            <w:tcW w:w="109" w:type="dxa"/>
            <w:tcBorders/>
            <w:shd w:fill="CCEEFF" w:val="clear"/>
            <w:vAlign w:val="center"/>
          </w:tcPr>
          <w:p>
            <w:pPr>
              <w:pStyle w:val="TableContents"/>
              <w:spacing w:before="0" w:after="1"/>
              <w:ind w:left="0" w:right="0" w:hanging="0"/>
              <w:rPr/>
            </w:pPr>
            <w:r>
              <w:rPr/>
              <w:t>​</w:t>
            </w:r>
          </w:p>
        </w:tc>
        <w:tc>
          <w:tcPr>
            <w:tcW w:w="499" w:type="dxa"/>
            <w:tcBorders/>
            <w:shd w:fill="CCEEFF" w:val="clear"/>
            <w:vAlign w:val="center"/>
          </w:tcPr>
          <w:p>
            <w:pPr>
              <w:pStyle w:val="TableContents"/>
              <w:spacing w:before="0" w:after="1"/>
              <w:ind w:left="0" w:right="0" w:hanging="0"/>
              <w:rPr/>
            </w:pPr>
            <w:r>
              <w:rPr/>
              <w:t> </w:t>
            </w:r>
          </w:p>
        </w:tc>
        <w:tc>
          <w:tcPr>
            <w:tcW w:w="100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shd w:fill="CCEEFF" w:val="clear"/>
            <w:vAlign w:val="center"/>
          </w:tcPr>
          <w:p>
            <w:pPr>
              <w:pStyle w:val="TableContents"/>
              <w:spacing w:before="0" w:after="1"/>
              <w:ind w:left="0" w:right="0" w:hanging="0"/>
              <w:rPr/>
            </w:pPr>
            <w:r>
              <w:rPr/>
              <w:t>​</w:t>
            </w:r>
          </w:p>
        </w:tc>
        <w:tc>
          <w:tcPr>
            <w:tcW w:w="420" w:type="dxa"/>
            <w:tcBorders/>
            <w:shd w:fill="CCEEFF" w:val="clear"/>
            <w:vAlign w:val="center"/>
          </w:tcPr>
          <w:p>
            <w:pPr>
              <w:pStyle w:val="TableContents"/>
              <w:spacing w:before="0" w:after="1"/>
              <w:ind w:left="0" w:right="0" w:hanging="0"/>
              <w:rPr/>
            </w:pPr>
            <w:r>
              <w:rPr/>
              <w:t> </w:t>
            </w:r>
          </w:p>
        </w:tc>
        <w:tc>
          <w:tcPr>
            <w:tcW w:w="69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68" w:type="dxa"/>
            <w:tcBorders/>
            <w:shd w:fill="CCEEFF" w:val="clear"/>
            <w:vAlign w:val="center"/>
          </w:tcPr>
          <w:p>
            <w:pPr>
              <w:pStyle w:val="TableContents"/>
              <w:spacing w:before="0" w:after="1"/>
              <w:ind w:left="0" w:right="0" w:hanging="0"/>
              <w:rPr/>
            </w:pPr>
            <w:r>
              <w:rPr/>
              <w:t> </w:t>
            </w:r>
          </w:p>
        </w:tc>
        <w:tc>
          <w:tcPr>
            <w:tcW w:w="9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r>
      <w:tr>
        <w:trPr/>
        <w:tc>
          <w:tcPr>
            <w:tcW w:w="15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Strategic Markets</w:t>
            </w:r>
          </w:p>
        </w:tc>
        <w:tc>
          <w:tcPr>
            <w:tcW w:w="109" w:type="dxa"/>
            <w:tcBorders/>
            <w:shd w:fill="auto" w:val="clear"/>
            <w:vAlign w:val="center"/>
          </w:tcPr>
          <w:p>
            <w:pPr>
              <w:pStyle w:val="TableContents"/>
              <w:spacing w:before="0" w:after="1"/>
              <w:ind w:left="0" w:right="0" w:hanging="0"/>
              <w:rPr/>
            </w:pPr>
            <w:r>
              <w:rPr/>
              <w:t>​</w:t>
            </w:r>
          </w:p>
        </w:tc>
        <w:tc>
          <w:tcPr>
            <w:tcW w:w="49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0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auto" w:val="clear"/>
            <w:vAlign w:val="center"/>
          </w:tcPr>
          <w:p>
            <w:pPr>
              <w:pStyle w:val="TableContents"/>
              <w:spacing w:before="0" w:after="1"/>
              <w:ind w:left="0" w:right="0" w:hanging="0"/>
              <w:rPr/>
            </w:pPr>
            <w:r>
              <w:rPr/>
              <w:t>​</w:t>
            </w:r>
          </w:p>
        </w:tc>
        <w:tc>
          <w:tcPr>
            <w:tcW w:w="42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6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15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spacing w:before="0" w:after="1"/>
              <w:ind w:left="0" w:right="0" w:hanging="0"/>
              <w:rPr/>
            </w:pPr>
            <w:r>
              <w:rPr/>
              <w:t>​</w:t>
            </w:r>
          </w:p>
        </w:tc>
        <w:tc>
          <w:tcPr>
            <w:tcW w:w="49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0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732</w:t>
            </w:r>
          </w:p>
        </w:tc>
        <w:tc>
          <w:tcPr>
            <w:tcW w:w="109" w:type="dxa"/>
            <w:tcBorders/>
            <w:shd w:fill="CCEEFF" w:val="clear"/>
            <w:vAlign w:val="center"/>
          </w:tcPr>
          <w:p>
            <w:pPr>
              <w:pStyle w:val="TableContents"/>
              <w:spacing w:before="0" w:after="1"/>
              <w:ind w:left="0" w:right="0" w:hanging="0"/>
              <w:rPr/>
            </w:pPr>
            <w:r>
              <w:rPr/>
              <w:t>​</w:t>
            </w:r>
          </w:p>
        </w:tc>
        <w:tc>
          <w:tcPr>
            <w:tcW w:w="4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CCEEFF" w:val="clear"/>
            <w:vAlign w:val="center"/>
          </w:tcPr>
          <w:p>
            <w:pPr>
              <w:pStyle w:val="TableContents"/>
              <w:spacing w:before="0" w:after="1"/>
              <w:ind w:left="0" w:right="0" w:hanging="0"/>
              <w:rPr/>
            </w:pPr>
            <w:r>
              <w:rPr/>
              <w:t>​</w:t>
            </w:r>
          </w:p>
        </w:tc>
        <w:tc>
          <w:tcPr>
            <w:tcW w:w="36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823</w:t>
            </w:r>
          </w:p>
        </w:tc>
      </w:tr>
    </w:tbl>
    <w:p>
      <w:pPr>
        <w:pStyle w:val="TextBody"/>
        <w:pBdr/>
        <w:spacing w:before="0" w:after="240"/>
        <w:ind w:left="0" w:right="0" w:hanging="36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The increase in goodwill in our Japan segment primarily reflects the Exa transaction. Goodwill is calculated as the excess of the fair value of the consideration transferred over the fair value of the net assets recognized and represents the future economic benefits arising from other net assets acquired that could not be individually identified and separately recognized. We believe that the primary items that generated goodwill enable us to serve certain customers in Japan. The Exa transaction did not result in any tax-deductible goodwill.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There were no goodwill impairment losses recorded for the three months ended March 31, 2022 and 2021. We review goodwill for impairment annually during the fourth quarter of the fiscal year and whenever events or changes in circumstances indicate the carrying value of goodwill may not be recoverable by first assessing qualitative factors to determine if it is more likely than not that fair value is less than carrying value. Cumulatively, the Company has recorded $469 million in goodwill impairment charges within its former EMEA ($293 million) and current United States ($176 million) reporting units.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spacing w:before="0" w:after="240"/>
        <w:ind w:left="0" w:right="0" w:hanging="360"/>
        <w:rPr>
          <w:rFonts w:ascii="Times New Roman;Times;serif" w:hAnsi="Times New Roman;Times;serif"/>
          <w:b/>
          <w:sz w:val="20"/>
        </w:rPr>
      </w:pPr>
      <w:bookmarkStart w:id="971" w:name="_7444e10c_16ac_472b_a194_9eeacbbb6002"/>
      <w:bookmarkStart w:id="972" w:name="Tc_hQcWE05xUEq5-QZdQmIgmg_9_2"/>
      <w:bookmarkStart w:id="973" w:name="Tc_PE69IWV9T06A9QphM9vATg_9_0"/>
      <w:bookmarkStart w:id="974" w:name="Tc_EPGXLrW4O0-UdU3P5tvmXQ_8_0"/>
      <w:bookmarkStart w:id="975" w:name="Tc_SNiWRxLMJ0e4i8T8Xx3paQ_7_0"/>
      <w:bookmarkStart w:id="976" w:name="Tc_tKNw6ya8j0OTNXqjw9Przg_6_0"/>
      <w:bookmarkStart w:id="977" w:name="Tc_D_R1ht3IyECwilAwjIDmCg_5_0"/>
      <w:bookmarkStart w:id="978" w:name="Tc_6r6LVcNFLEKT2kOM5HXeIA_4_0"/>
      <w:bookmarkStart w:id="979" w:name="Tc_wc_B1fr-dkm7Q8qH8dt8yA_3_2"/>
      <w:bookmarkStart w:id="980" w:name="Tc_qHydSusUCk6_UFarWQ8Mpg_3_0"/>
      <w:bookmarkStart w:id="981" w:name="Tc_o-idCPYikkSLxbfPLnN30w_2_0"/>
      <w:bookmarkStart w:id="982" w:name="Tc_bLraT8fyQkqT2XMv_iePzw_1_2"/>
      <w:bookmarkStart w:id="983" w:name="Tc_RkHp4KtzskWqu54dJfqQ1Q_1_0"/>
      <w:bookmarkStart w:id="984" w:name="_9069e9da_3daa_4653_907d_b1441e8212f9"/>
      <w:bookmarkStart w:id="985" w:name="_841beab6_fd62_43d1_ada4_57f702ad1b0a"/>
      <w:bookmarkStart w:id="986" w:name="_a1b108ef_d652_4a79_9d7b_66956a6b85ae"/>
      <w:bookmarkStart w:id="987" w:name="Tc_AuWgPk7aZEiLKN3AMoM0xg_14_9"/>
      <w:bookmarkStart w:id="988" w:name="Tc_gCMRM4c7SE6JMHGVhl1evA_14_6"/>
      <w:bookmarkStart w:id="989" w:name="Tc_tv0HQDF9skilYypkaNV4qA_14_0"/>
      <w:bookmarkStart w:id="990" w:name="Tc_dqPFvcq4ZEaZt2VB-roa-g_13_0"/>
      <w:bookmarkStart w:id="991" w:name="Tc_eCJ8iUwpdU2pYoEO1jIjeA_12_0"/>
      <w:bookmarkStart w:id="992" w:name="Tc_v7niJohCq0mJoOXmIutvSw_11_0"/>
      <w:bookmarkStart w:id="993" w:name="Tc_72_DYH_Wb0K0-yg_K-Aujg_10_9"/>
      <w:bookmarkStart w:id="994" w:name="Tc_41mdVMdC0k-AYGdk7ohByQ_10_6"/>
      <w:bookmarkStart w:id="995" w:name="Tc_B450L5dRO0eN-M5A2ANohQ_9_4"/>
      <w:bookmarkStart w:id="996" w:name="Tc_r3pZjgc5i0mPLBC_PsJ3Yw_9_0"/>
      <w:bookmarkStart w:id="997" w:name="Tc_yH-Q_RICw0KLunu1cQWMMg_8_4"/>
      <w:bookmarkStart w:id="998" w:name="Tc_0PcBWOC64E-qFqfQVr4iOA_8_0"/>
      <w:bookmarkStart w:id="999" w:name="Tc_d1kxyMAMOU-hUdK6G174VA_7_4"/>
      <w:bookmarkStart w:id="1000" w:name="Tc_GR78DiG3xEiwBF1dWW3SIg_7_0"/>
      <w:bookmarkStart w:id="1001" w:name="Tc_b6erdUlogU2_NmIkbSUNTw_6_4"/>
      <w:bookmarkStart w:id="1002" w:name="Tc_ogCNGwMvz02Ib7ZgpvR2ew_6_0"/>
      <w:bookmarkStart w:id="1003" w:name="Tc_ocleIxoh9E6A9KXz_4HPwg_5_4"/>
      <w:bookmarkStart w:id="1004" w:name="Tc_l4BSX7gpLk2jXp7N22Pmxg_5_0"/>
      <w:bookmarkStart w:id="1005" w:name="Tc_SwhIDHx9ekagnn_KmZWtFA_4_4"/>
      <w:bookmarkStart w:id="1006" w:name="Tc_60zmmMIu0ku2_PR5VE3fUw_4_0"/>
      <w:bookmarkStart w:id="1007" w:name="Tc_LF7drA13u0OOpy-vFizHYQ_3_9"/>
      <w:bookmarkStart w:id="1008" w:name="Tc_Re42W1Fv2k-yTpWJnddLhQ_3_6"/>
      <w:bookmarkStart w:id="1009" w:name="Tc_6a0uBRCN-0GnY5KgX2_tug_3_4"/>
      <w:bookmarkStart w:id="1010" w:name="Tc_jCvUh4vFHUu_RkrFNg4q-g_3_0"/>
      <w:bookmarkStart w:id="1011" w:name="Tc_fz4wZDuH2UKpIZmeLHXJ-g_2_9"/>
      <w:bookmarkStart w:id="1012" w:name="Tc_Aejy7r3_IEeqhTOmeQBEhg_2_6"/>
      <w:bookmarkStart w:id="1013" w:name="Tc_goExNGU_10G6mPjqJsl06A_2_4"/>
      <w:bookmarkStart w:id="1014" w:name="Tc_j1neBOuHNk6qRYu60nf15w_2_2"/>
      <w:bookmarkStart w:id="1015" w:name="Tc_b3PSKAA4NE2FZr_R4cfPOA_2_0"/>
      <w:bookmarkStart w:id="1016" w:name="Tc_v2_FvJs7hUuDyLI3cc0ayQ_1_9"/>
      <w:bookmarkStart w:id="1017" w:name="Tc_Nju3wt6MV0K_9NPibhyR1A_1_6"/>
      <w:bookmarkStart w:id="1018" w:name="_9b70f58b_f864_4406_9b52_0e1dea77c29e"/>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rPr>
          <w:rFonts w:ascii="Times New Roman;Times;serif" w:hAnsi="Times New Roman;Times;serif"/>
          <w:b/>
          <w:sz w:val="20"/>
        </w:rPr>
        <w:t>NOTE 9. BORROWINGS</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Debt</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components of our debt:</w:t>
      </w:r>
    </w:p>
    <w:p>
      <w:pPr>
        <w:pStyle w:val="TextBody"/>
        <w:spacing w:before="0" w:after="0"/>
        <w:ind w:left="0" w:right="0" w:firstLine="720"/>
        <w:rPr/>
      </w:pPr>
      <w:r>
        <w:rPr/>
        <w:t>​</w:t>
      </w:r>
    </w:p>
    <w:tbl>
      <w:tblPr>
        <w:tblW w:w="8666" w:type="dxa"/>
        <w:jc w:val="left"/>
        <w:tblInd w:w="0" w:type="dxa"/>
        <w:tblCellMar>
          <w:top w:w="0" w:type="dxa"/>
          <w:left w:w="0" w:type="dxa"/>
          <w:bottom w:w="0" w:type="dxa"/>
          <w:right w:w="0" w:type="dxa"/>
        </w:tblCellMar>
      </w:tblPr>
      <w:tblGrid>
        <w:gridCol w:w="3511"/>
        <w:gridCol w:w="109"/>
        <w:gridCol w:w="1051"/>
        <w:gridCol w:w="109"/>
        <w:gridCol w:w="1456"/>
        <w:gridCol w:w="326"/>
        <w:gridCol w:w="230"/>
        <w:gridCol w:w="625"/>
        <w:gridCol w:w="109"/>
        <w:gridCol w:w="268"/>
        <w:gridCol w:w="872"/>
      </w:tblGrid>
      <w:tr>
        <w:trPr/>
        <w:tc>
          <w:tcPr>
            <w:tcW w:w="3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29485" cy="175260"/>
                      <wp:effectExtent l="0" t="0" r="0" b="0"/>
                      <wp:wrapNone/>
                      <wp:docPr id="154" name="Frame154"/>
                      <a:graphic xmlns:a="http://schemas.openxmlformats.org/drawingml/2006/main">
                        <a:graphicData uri="http://schemas.microsoft.com/office/word/2010/wordprocessingShape">
                          <wps:wsp>
                            <wps:cNvSpPr txBox="1"/>
                            <wps:spPr>
                              <a:xfrm>
                                <a:off x="0" y="0"/>
                                <a:ext cx="2229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7385" cy="175260"/>
                      <wp:effectExtent l="0" t="0" r="0" b="0"/>
                      <wp:wrapNone/>
                      <wp:docPr id="156" name="Frame156"/>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924560" cy="175260"/>
                      <wp:effectExtent l="0" t="0" r="0" b="0"/>
                      <wp:wrapNone/>
                      <wp:docPr id="158" name="Frame158"/>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46050" cy="175260"/>
                      <wp:effectExtent l="0" t="0" r="0" b="0"/>
                      <wp:wrapNone/>
                      <wp:docPr id="160" name="Frame160"/>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96875" cy="175260"/>
                      <wp:effectExtent l="0" t="0" r="0" b="0"/>
                      <wp:wrapNone/>
                      <wp:docPr id="161" name="Frame161"/>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9215" cy="175260"/>
                      <wp:effectExtent l="0" t="0" r="0" b="0"/>
                      <wp:wrapNone/>
                      <wp:docPr id="162" name="Frame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70180" cy="175260"/>
                      <wp:effectExtent l="0" t="0" r="0" b="0"/>
                      <wp:wrapNone/>
                      <wp:docPr id="163" name="Frame163"/>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53720" cy="175260"/>
                      <wp:effectExtent l="0" t="0" r="0" b="0"/>
                      <wp:wrapNone/>
                      <wp:docPr id="164" name="Frame164"/>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51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shd w:fill="auto" w:val="clear"/>
            <w:vAlign w:val="center"/>
          </w:tcPr>
          <w:p>
            <w:pPr>
              <w:pStyle w:val="TableContents"/>
              <w:spacing w:before="0" w:after="0"/>
              <w:ind w:left="0" w:right="0" w:hanging="0"/>
              <w:rPr/>
            </w:pPr>
            <w:r>
              <w:rPr/>
              <w:t>​</w:t>
            </w:r>
          </w:p>
        </w:tc>
        <w:tc>
          <w:tcPr>
            <w:tcW w:w="14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0"/>
              <w:ind w:left="0" w:right="0" w:hanging="0"/>
              <w:rPr/>
            </w:pPr>
            <w:r>
              <w:rPr/>
              <w:t>​</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floating-rate term loan</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1.37%*</w:t>
            </w:r>
          </w:p>
        </w:tc>
        <w:tc>
          <w:tcPr>
            <w:tcW w:w="109" w:type="dxa"/>
            <w:tcBorders/>
            <w:shd w:fill="CCEEFF" w:val="clear"/>
            <w:vAlign w:val="center"/>
          </w:tcPr>
          <w:p>
            <w:pPr>
              <w:pStyle w:val="TableContents"/>
              <w:spacing w:before="0" w:after="0"/>
              <w:ind w:left="0" w:right="0" w:hanging="0"/>
              <w:rPr/>
            </w:pPr>
            <w:r>
              <w:rPr/>
              <w:t>​</w:t>
            </w:r>
          </w:p>
        </w:tc>
        <w:tc>
          <w:tcPr>
            <w:tcW w:w="14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November, 2024</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Commercial loan agreement </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3.00%</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July, 2026</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senior notes due 2026</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spacing w:before="0" w:after="0"/>
              <w:ind w:left="0" w:right="0" w:hanging="0"/>
              <w:rPr/>
            </w:pPr>
            <w:r>
              <w:rPr/>
              <w:t>​</w:t>
            </w:r>
          </w:p>
        </w:tc>
        <w:tc>
          <w:tcPr>
            <w:tcW w:w="14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senior notes due 2028</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2.70%</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senior notes due 2031</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3.15%</w:t>
            </w:r>
          </w:p>
        </w:tc>
        <w:tc>
          <w:tcPr>
            <w:tcW w:w="109" w:type="dxa"/>
            <w:tcBorders/>
            <w:shd w:fill="CCEEFF" w:val="clear"/>
            <w:vAlign w:val="center"/>
          </w:tcPr>
          <w:p>
            <w:pPr>
              <w:pStyle w:val="TableContents"/>
              <w:spacing w:before="0" w:after="0"/>
              <w:ind w:left="0" w:right="0" w:hanging="0"/>
              <w:rPr/>
            </w:pPr>
            <w:r>
              <w:rPr/>
              <w:t>​</w:t>
            </w:r>
          </w:p>
        </w:tc>
        <w:tc>
          <w:tcPr>
            <w:tcW w:w="14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2031</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Unsecured senior notes due 2041</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October, 2041</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obligations **</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spacing w:before="0" w:after="0"/>
              <w:ind w:left="0" w:right="0" w:hanging="0"/>
              <w:rPr/>
            </w:pPr>
            <w:r>
              <w:rPr/>
              <w:t>​</w:t>
            </w:r>
          </w:p>
        </w:tc>
        <w:tc>
          <w:tcPr>
            <w:tcW w:w="145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2022-2027</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351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3,242</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3,251</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discount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14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pPr>
            <w:r>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pPr>
            <w:r>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Unamortized debt issuance costs</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35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maturities of long-term debt</w:t>
            </w:r>
          </w:p>
        </w:tc>
        <w:tc>
          <w:tcPr>
            <w:tcW w:w="109"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145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109" w:type="dxa"/>
            <w:tcBorders/>
            <w:shd w:fill="CCEEFF" w:val="clear"/>
            <w:vAlign w:val="center"/>
          </w:tcPr>
          <w:p>
            <w:pPr>
              <w:pStyle w:val="TableContents"/>
              <w:spacing w:before="0" w:after="0"/>
              <w:ind w:left="0" w:right="0" w:hanging="0"/>
              <w:rPr/>
            </w:pPr>
            <w:r>
              <w:rPr/>
              <w:t>​</w:t>
            </w:r>
          </w:p>
        </w:tc>
        <w:tc>
          <w:tcPr>
            <w:tcW w:w="26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35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3,127</w:t>
            </w:r>
          </w:p>
        </w:tc>
        <w:tc>
          <w:tcPr>
            <w:tcW w:w="109" w:type="dxa"/>
            <w:tcBorders/>
            <w:shd w:fill="auto" w:val="clear"/>
            <w:vAlign w:val="center"/>
          </w:tcPr>
          <w:p>
            <w:pPr>
              <w:pStyle w:val="TableContents"/>
              <w:spacing w:before="0" w:after="0"/>
              <w:ind w:left="0" w:right="0" w:hanging="0"/>
              <w:rPr/>
            </w:pPr>
            <w:r>
              <w:rPr/>
              <w:t>​</w:t>
            </w:r>
          </w:p>
        </w:tc>
        <w:tc>
          <w:tcPr>
            <w:tcW w:w="26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3,128</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Floating rate calculated as of March 31, 2022, using a rate equal to one-month U.S. dollar LIBOR plus 1.125%.</w:t>
      </w:r>
    </w:p>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Finance lease obligations presented using the weighted-average interest rate and calendar-year maturity dates.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Contractual obligations of long-term debt outstanding at March 31, 2022, exclusive of finance lease obligations, are as follows:</w:t>
      </w:r>
    </w:p>
    <w:p>
      <w:pPr>
        <w:pStyle w:val="TextBody"/>
        <w:spacing w:before="0" w:after="240"/>
        <w:ind w:left="0" w:right="0" w:firstLine="720"/>
        <w:rPr/>
      </w:pPr>
      <w:r>
        <w:rPr/>
        <w:t>​</w:t>
      </w:r>
    </w:p>
    <w:tbl>
      <w:tblPr>
        <w:tblW w:w="3309" w:type="dxa"/>
        <w:jc w:val="left"/>
        <w:tblInd w:w="0" w:type="dxa"/>
        <w:tblCellMar>
          <w:top w:w="0" w:type="dxa"/>
          <w:left w:w="0" w:type="dxa"/>
          <w:bottom w:w="0" w:type="dxa"/>
          <w:right w:w="0" w:type="dxa"/>
        </w:tblCellMar>
      </w:tblPr>
      <w:tblGrid>
        <w:gridCol w:w="2086"/>
        <w:gridCol w:w="326"/>
        <w:gridCol w:w="211"/>
        <w:gridCol w:w="686"/>
      </w:tblGrid>
      <w:tr>
        <w:trPr/>
        <w:tc>
          <w:tcPr>
            <w:tcW w:w="2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24610" cy="175260"/>
                      <wp:effectExtent l="0" t="0" r="0" b="0"/>
                      <wp:wrapNone/>
                      <wp:docPr id="165" name="Frame165"/>
                      <a:graphic xmlns:a="http://schemas.openxmlformats.org/drawingml/2006/main">
                        <a:graphicData uri="http://schemas.microsoft.com/office/word/2010/wordprocessingShape">
                          <wps:wsp>
                            <wps:cNvSpPr txBox="1"/>
                            <wps:spPr>
                              <a:xfrm>
                                <a:off x="0" y="0"/>
                                <a:ext cx="1324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35610" cy="175260"/>
                      <wp:effectExtent l="0" t="0" r="0" b="0"/>
                      <wp:wrapNone/>
                      <wp:docPr id="168" name="Frame168"/>
                      <a:graphic xmlns:a="http://schemas.openxmlformats.org/drawingml/2006/main">
                        <a:graphicData uri="http://schemas.microsoft.com/office/word/2010/wordprocessingShape">
                          <wps:wsp>
                            <wps:cNvSpPr txBox="1"/>
                            <wps:spPr>
                              <a:xfrm>
                                <a:off x="0" y="0"/>
                                <a:ext cx="435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8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rPr/>
        <w:tc>
          <w:tcPr>
            <w:tcW w:w="208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Year ending March 31: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86" w:type="dxa"/>
            <w:tcBorders/>
            <w:shd w:fill="CCEEFF" w:val="clear"/>
            <w:vAlign w:val="center"/>
          </w:tcPr>
          <w:p>
            <w:pPr>
              <w:pStyle w:val="TableContents"/>
              <w:spacing w:before="0" w:after="0"/>
              <w:ind w:left="0" w:right="0" w:hanging="0"/>
              <w:jc w:val="center"/>
              <w:rPr/>
            </w:pPr>
            <w:r>
              <w:rPr/>
              <w:t>​</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2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0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0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3,023</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    Contractual obligations approximate scheduled repayments.</w:t>
      </w:r>
    </w:p>
    <w:p>
      <w:pPr>
        <w:pStyle w:val="TextBody"/>
        <w:spacing w:before="0" w:after="240"/>
        <w:ind w:left="0" w:right="0" w:hanging="0"/>
        <w:rPr/>
      </w:pPr>
      <w:r>
        <w:rPr/>
        <w:t>​</w:t>
      </w:r>
    </w:p>
    <w:p>
      <w:pPr>
        <w:pStyle w:val="TextBody"/>
        <w:shd w:fill="FFFFFF" w:val="clear"/>
        <w:spacing w:before="0" w:after="0"/>
        <w:ind w:left="0" w:right="0" w:hanging="0"/>
        <w:rPr>
          <w:rFonts w:ascii="Times New Roman;Times;serif" w:hAnsi="Times New Roman;Times;serif"/>
          <w:b/>
          <w:sz w:val="20"/>
        </w:rPr>
      </w:pPr>
      <w:r>
        <w:rPr>
          <w:rFonts w:ascii="Times New Roman;Times;serif" w:hAnsi="Times New Roman;Times;serif"/>
          <w:b/>
          <w:sz w:val="20"/>
        </w:rPr>
        <w:t>Revolving Credit Agreement</w:t>
      </w:r>
    </w:p>
    <w:p>
      <w:pPr>
        <w:pStyle w:val="TextBody"/>
        <w:shd w:fill="FFFFFF" w:val="clear"/>
        <w:spacing w:before="0" w:after="0"/>
        <w:ind w:left="0" w:right="0" w:firstLine="72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In October 2021, we entered into a $3.15 billion multi-currency revolving credit agreement (the “Revolving Credit Agreement”) for our future liquidity needs.</w:t>
      </w:r>
    </w:p>
    <w:p>
      <w:pPr>
        <w:pStyle w:val="TextBody"/>
        <w:shd w:fill="FFFFFF" w:val="clear"/>
        <w:spacing w:before="0" w:after="0"/>
        <w:ind w:left="0" w:right="0" w:firstLine="72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The Revolving Credit Agreement expires, unless extended, in October 2026. Interest rates on borrowings under the Revolving Credit Agreements are based on prevailing market interest rates, plus a margin, as further described in the Revolving Credit Agreement. The total expense recorded by the Company for the Revolving Credit Agreement was not material in any of the periods presented.</w:t>
      </w:r>
    </w:p>
    <w:p>
      <w:pPr>
        <w:pStyle w:val="TextBody"/>
        <w:shd w:fill="FFFFFF" w:val="clear"/>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may voluntarily prepay borrowings under the Revolving Credit Agreement without premium or penalty, subject to customary “breakage” costs. The Revolving Credit Agreement includes certain customary mandatory prepayment provisions.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Interest on Debt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Interest expense for the three months ended March 31, 2022 and 2021, was $21 million and $14 million, respectively. Most of the interest for the pre-Separation period presented in the historical Consolidated Income Statement reflects the allocation of interest expense associated with debt issued by IBM for which a portion of the proceeds benefited Kyndryl. </w:t>
      </w:r>
    </w:p>
    <w:p>
      <w:pPr>
        <w:pStyle w:val="TextBody"/>
        <w:spacing w:before="0" w:after="0"/>
        <w:ind w:left="0" w:right="0" w:hanging="0"/>
        <w:rPr/>
      </w:pPr>
      <w:r>
        <w:rPr/>
        <w:t>​</w:t>
      </w:r>
    </w:p>
    <w:p>
      <w:pPr>
        <w:pStyle w:val="TextBody"/>
        <w:spacing w:before="0" w:after="240"/>
        <w:ind w:left="0" w:right="0" w:firstLine="720"/>
        <w:rPr/>
      </w:pPr>
      <w:r>
        <w:rPr/>
        <w:t>​</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NOTE 10. COMMITMENTS AND CONTINGENCIES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guarantees certain loans and financial commitments. The maximum potential future payment under these financial guarantees and the fair value of these guarantees recognized in the Consolidated Balance Sheet at March 31, 2022, and December 31, 2021, were not material. Additionally, the Company has contractual commitments that are noncancellable with certain software and cloud partners to provide services to its customers. During the three months ended March 31, 2022, there were no significant changes to such contractual commitments as presented in our 2021 Annual Report.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 including the experience of other companies in the industry, and investor, customer and employee relations considerations.</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July 2017, BMC Software, Inc. (“BMC”) filed suit against IBM in the U.S. Court for the Southern District of Texas in a dispute involving IBM’s managed infrastructure services business. BMC alleges IBM’s removal of BMC software from one of its client’s sites at the client’s request constituted breach of contract and trade secret misappropriation. IBM defeated BMC’s motion for injunctive relief, completed the client’s transformation project and counterclaimed for breach of contract. In September 2021, the trial court overruled in part and granted in part the magistrate judge’s recommendations on summary judgment, dismissing IBM’s counterclaims and permitting some of BMC’s claims for damages to proceed. The case went to trial in March 2022, and the outcome remains pending.</w:t>
      </w:r>
    </w:p>
    <w:p>
      <w:pPr>
        <w:pStyle w:val="TextBody"/>
        <w:spacing w:before="0" w:after="0"/>
        <w:ind w:left="0" w:right="0" w:hanging="0"/>
        <w:rPr>
          <w:rFonts w:ascii="Times New Roman;Times;serif" w:hAnsi="Times New Roman;Times;serif"/>
          <w:b/>
          <w:sz w:val="20"/>
        </w:rPr>
      </w:pPr>
      <w:bookmarkStart w:id="1019" w:name="Tc_g-MD3CsQqEWWYeuwMAAE2A_22_8"/>
      <w:bookmarkStart w:id="1020" w:name="Tc_N8rhSNgn_E2p8EDhKUb2sA_22_5"/>
      <w:bookmarkStart w:id="1021" w:name="Tc_Pk8kj44VZUyprLVp5jRPiw_22_2"/>
      <w:bookmarkStart w:id="1022" w:name="Tc_Omibx6GBJUat1Wx_rVXPVg_22_0"/>
      <w:bookmarkStart w:id="1023" w:name="Tc__cn2ljDZgEef7bF74XwxIg_21_8"/>
      <w:bookmarkStart w:id="1024" w:name="Tc_nQFPya7DUU-5zUIt5DMjZA_21_5"/>
      <w:bookmarkStart w:id="1025" w:name="Tc_L66c4IkltEGvmGvrM4YQbg_21_2"/>
      <w:bookmarkStart w:id="1026" w:name="Tc_f9G7E5fz8kSdjhGbbOoRgA_21_0"/>
      <w:bookmarkStart w:id="1027" w:name="Tc_QFTALpiNQ0e4-KLKARuw5w_20_0"/>
      <w:bookmarkStart w:id="1028" w:name="Tc_NHXD6wWerkKlUCttnUQKDw_19_8"/>
      <w:bookmarkStart w:id="1029" w:name="Tc_aNMnCBXStEOliYmOPc7ihg_19_5"/>
      <w:bookmarkStart w:id="1030" w:name="Tc_p-h6SoOnr0i7e6Yq6_37oQ_19_2"/>
      <w:bookmarkStart w:id="1031" w:name="Tc_wVpNo7c8RkK6AKEeBwNERg_19_0"/>
      <w:bookmarkStart w:id="1032" w:name="Tc__kn4mIntFECuCxKGcIKEgA_18_0"/>
      <w:bookmarkStart w:id="1033" w:name="Tc_Tgo7kr6YQk-0P-_KlJpkJw_17_8"/>
      <w:bookmarkStart w:id="1034" w:name="Tc_xhoBtQe0D0u5PVnJuboOPg_17_6"/>
      <w:bookmarkStart w:id="1035" w:name="Tc_FZ24AngdXUeNq1xBvA6w4Q_17_5"/>
      <w:bookmarkStart w:id="1036" w:name="Tc_b4gjE94Pt0GpQGdFfk1rhQ_17_2"/>
      <w:bookmarkStart w:id="1037" w:name="Tc_rQPbdcVk7k2wMVsbkPNPeQ_17_0"/>
      <w:bookmarkStart w:id="1038" w:name="Tc_1P8PJok-Zk-hKxMJrxWugg_16_0"/>
      <w:bookmarkStart w:id="1039" w:name="Tc_yIol4aAsm0u7zWAwXuuLrQ_14_8"/>
      <w:bookmarkStart w:id="1040" w:name="Tc_MNI8yR-S7k-eeggDJDLqfQ_14_5"/>
      <w:bookmarkStart w:id="1041" w:name="Tc_97Dew6NEuUaxOwzcuGQJig_14_2"/>
      <w:bookmarkStart w:id="1042" w:name="Tc_sDxXzhjwIU2JV4b8gw9Vnw_14_0"/>
      <w:bookmarkStart w:id="1043" w:name="Tc_SnD9tB7OXkaZKqn6QBD1Eg_13_8"/>
      <w:bookmarkStart w:id="1044" w:name="Tc_0MOCKqKZ8UKx5AVEARytmw_13_5"/>
      <w:bookmarkStart w:id="1045" w:name="Tc_4toDKpuspkiM4f8nz2Kbsw_13_2"/>
      <w:bookmarkStart w:id="1046" w:name="Tc_BRqerZF6vUSnCFAEqQULyg_13_0"/>
      <w:bookmarkStart w:id="1047" w:name="Tc_Xpb5dbiutUGcu11rhx4Z0w_12_0"/>
      <w:bookmarkStart w:id="1048" w:name="Tc_eRm4tFovR0CGYDb4BTBMvQ_11_0"/>
      <w:bookmarkStart w:id="1049" w:name="Tc_O7DGHRhYK0qUsEpUpyU4Pg_10_8"/>
      <w:bookmarkStart w:id="1050" w:name="Tc_fgLmLzU2D0aFjyn5ilFRfw_10_5"/>
      <w:bookmarkStart w:id="1051" w:name="Tc_5Vc6xOpH-EGPsIAk4l59sg_10_2"/>
      <w:bookmarkStart w:id="1052" w:name="Tc_LwSwzw4khkWSa36GC9oZoA_10_0"/>
      <w:bookmarkStart w:id="1053" w:name="Tc_2fNX1m3Y1E6ycCEvX9uBxw_9_0"/>
      <w:bookmarkStart w:id="1054" w:name="Tc_WoejWz3rcEeVqtnQOwVgwA_8_9"/>
      <w:bookmarkStart w:id="1055" w:name="Tc_PNjb_chIf0yxt0o_3Py_pg_8_8"/>
      <w:bookmarkStart w:id="1056" w:name="Tc_bpOxSvjhoUm7wMU-EARJYQ_8_6"/>
      <w:bookmarkStart w:id="1057" w:name="Tc_hUoAT5iFHkmPpQIZPljLDQ_8_5"/>
      <w:bookmarkStart w:id="1058" w:name="Tc_c7i4wiwx9kmEacig1YyDmg_8_3"/>
      <w:bookmarkStart w:id="1059" w:name="Tc_43GVbbSeHEihRM7xNvjruA_8_2"/>
      <w:bookmarkStart w:id="1060" w:name="Tc_eSH_AYznP02qWPOxbmz97w_8_0"/>
      <w:bookmarkStart w:id="1061" w:name="Tc_meyA8BwTcUyt7heK8iXckA_7_6"/>
      <w:bookmarkStart w:id="1062" w:name="Tc_eFWQJSkzxEa8fz_CoKVcYQ_7_0"/>
      <w:bookmarkStart w:id="1063" w:name="Tc_QsRzsVJfdkGlJ4D22US6vw_6_6"/>
      <w:bookmarkStart w:id="1064" w:name="Tc_3AZQFzEhXEi3E_6wZVfOEg_6_0"/>
      <w:bookmarkStart w:id="1065" w:name="Tc_EAlZatw9DUu-kx7NyKzJ2Q_5_0"/>
      <w:bookmarkStart w:id="1066" w:name="Tc_q2t15skipkS1uq6H9lxnVw_4_8"/>
      <w:bookmarkStart w:id="1067" w:name="Tc_y-hqaU8Le0q2HdgyfBREYA_4_6"/>
      <w:bookmarkStart w:id="1068" w:name="Tc_j4_CF3R_E0GaJPRCEZvBQw_4_5"/>
      <w:bookmarkStart w:id="1069" w:name="Tc_bgA7i3eif02tMM5v2A1HFg_4_2"/>
      <w:bookmarkStart w:id="1070" w:name="Tc_eLUqklU5_EK5PFWyjwAnhA_4_0"/>
      <w:bookmarkStart w:id="1071" w:name="Tc_sXGfLn7aNUaaFKgQu_AnuA_3_0"/>
      <w:bookmarkStart w:id="1072" w:name="Tc_GEv1E1EkXk2UE0XbBrBfvA_2_8"/>
      <w:bookmarkStart w:id="1073" w:name="Tc_vMdEwbfdYUKepmpnUUbuWw_2_5"/>
      <w:bookmarkStart w:id="1074" w:name="Tc_tqk8Zipp0k6vLr0M4jj2YA_2_2"/>
      <w:bookmarkStart w:id="1075" w:name="Tc_Uej2dhnA2E-U2vNSf8ejdg_2_0"/>
      <w:bookmarkStart w:id="1076" w:name="Tc_miCaMFHjgUWXb1LjLGF_0w_1_8"/>
      <w:bookmarkStart w:id="1077" w:name="Tc_8dZWWFjp0E2Pmae5iOZM8Q_1_5"/>
      <w:bookmarkStart w:id="1078" w:name="Tc_vj4Q_BfrnUqVxjmLYtv5-Q_1_2"/>
      <w:bookmarkStart w:id="1079" w:name="_a093d55c_f111_457a_82fe_124e08b8ae90"/>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r>
        <w:rPr>
          <w:rFonts w:ascii="Times New Roman;Times;serif" w:hAnsi="Times New Roman;Times;serif"/>
          <w:b/>
          <w:sz w:val="20"/>
        </w:rPr>
        <w:t>NOTE 11. EQUITY</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reclassifications and taxes related to items of other comprehensive income (loss) for the three months ended March 31, 2022 and 2021:</w:t>
      </w:r>
    </w:p>
    <w:p>
      <w:pPr>
        <w:pStyle w:val="TextBody"/>
        <w:spacing w:before="0" w:after="0"/>
        <w:ind w:left="0" w:right="0" w:hanging="0"/>
        <w:rPr/>
      </w:pPr>
      <w:r>
        <w:rPr/>
        <w:t>​</w:t>
      </w:r>
    </w:p>
    <w:tbl>
      <w:tblPr>
        <w:tblW w:w="8046" w:type="dxa"/>
        <w:jc w:val="left"/>
        <w:tblInd w:w="0" w:type="dxa"/>
        <w:tblCellMar>
          <w:top w:w="0" w:type="dxa"/>
          <w:left w:w="0" w:type="dxa"/>
          <w:bottom w:w="0" w:type="dxa"/>
          <w:right w:w="0" w:type="dxa"/>
        </w:tblCellMar>
      </w:tblPr>
      <w:tblGrid>
        <w:gridCol w:w="4261"/>
        <w:gridCol w:w="326"/>
        <w:gridCol w:w="230"/>
        <w:gridCol w:w="461"/>
        <w:gridCol w:w="326"/>
        <w:gridCol w:w="425"/>
        <w:gridCol w:w="760"/>
        <w:gridCol w:w="326"/>
        <w:gridCol w:w="290"/>
        <w:gridCol w:w="641"/>
      </w:tblGrid>
      <w:tr>
        <w:trPr/>
        <w:tc>
          <w:tcPr>
            <w:tcW w:w="4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705735" cy="175260"/>
                      <wp:effectExtent l="0" t="0" r="0" b="0"/>
                      <wp:wrapNone/>
                      <wp:docPr id="169" name="Frame169"/>
                      <a:graphic xmlns:a="http://schemas.openxmlformats.org/drawingml/2006/main">
                        <a:graphicData uri="http://schemas.microsoft.com/office/word/2010/wordprocessingShape">
                          <wps:wsp>
                            <wps:cNvSpPr txBox="1"/>
                            <wps:spPr>
                              <a:xfrm>
                                <a:off x="0" y="0"/>
                                <a:ext cx="2705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46050" cy="175260"/>
                      <wp:effectExtent l="0" t="0" r="0" b="0"/>
                      <wp:wrapNone/>
                      <wp:docPr id="171" name="Frame171"/>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92735" cy="175260"/>
                      <wp:effectExtent l="0" t="0" r="0" b="0"/>
                      <wp:wrapNone/>
                      <wp:docPr id="172" name="Frame172"/>
                      <a:graphic xmlns:a="http://schemas.openxmlformats.org/drawingml/2006/main">
                        <a:graphicData uri="http://schemas.microsoft.com/office/word/2010/wordprocessingShape">
                          <wps:wsp>
                            <wps:cNvSpPr txBox="1"/>
                            <wps:spPr>
                              <a:xfrm>
                                <a:off x="0" y="0"/>
                                <a:ext cx="292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69875" cy="175260"/>
                      <wp:effectExtent l="0" t="0" r="0" b="0"/>
                      <wp:wrapNone/>
                      <wp:docPr id="174" name="Frame174"/>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82600" cy="175260"/>
                      <wp:effectExtent l="0" t="0" r="0" b="0"/>
                      <wp:wrapNone/>
                      <wp:docPr id="175" name="Frame175"/>
                      <a:graphic xmlns:a="http://schemas.openxmlformats.org/drawingml/2006/main">
                        <a:graphicData uri="http://schemas.microsoft.com/office/word/2010/wordprocessingShape">
                          <wps:wsp>
                            <wps:cNvSpPr txBox="1"/>
                            <wps:spPr>
                              <a:xfrm>
                                <a:off x="0" y="0"/>
                                <a:ext cx="4826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4150" cy="175260"/>
                      <wp:effectExtent l="0" t="0" r="0" b="0"/>
                      <wp:wrapNone/>
                      <wp:docPr id="177" name="Frame177"/>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07035" cy="175260"/>
                      <wp:effectExtent l="0" t="0" r="0" b="0"/>
                      <wp:wrapNone/>
                      <wp:docPr id="178" name="Frame178"/>
                      <a:graphic xmlns:a="http://schemas.openxmlformats.org/drawingml/2006/main">
                        <a:graphicData uri="http://schemas.microsoft.com/office/word/2010/wordprocessingShape">
                          <wps:wsp>
                            <wps:cNvSpPr txBox="1"/>
                            <wps:spPr>
                              <a:xfrm>
                                <a:off x="0" y="0"/>
                                <a:ext cx="407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2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26" w:type="dxa"/>
            <w:tcBorders/>
            <w:shd w:fill="auto" w:val="clear"/>
            <w:vAlign w:val="center"/>
          </w:tcPr>
          <w:p>
            <w:pPr>
              <w:pStyle w:val="TableContents"/>
              <w:spacing w:before="0" w:after="1"/>
              <w:ind w:left="0" w:right="0" w:hanging="0"/>
              <w:rPr/>
            </w:pPr>
            <w:r>
              <w:rPr/>
              <w:t>    </w:t>
            </w:r>
          </w:p>
        </w:tc>
        <w:tc>
          <w:tcPr>
            <w:tcW w:w="93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of Tax</w:t>
            </w:r>
          </w:p>
        </w:tc>
      </w:tr>
      <w:tr>
        <w:trPr/>
        <w:tc>
          <w:tcPr>
            <w:tcW w:w="426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26" w:type="dxa"/>
            <w:tcBorders/>
            <w:shd w:fill="auto" w:val="clear"/>
            <w:vAlign w:val="center"/>
          </w:tcPr>
          <w:p>
            <w:pPr>
              <w:pStyle w:val="TableContents"/>
              <w:spacing w:before="0" w:after="1"/>
              <w:ind w:left="0" w:right="0" w:hanging="0"/>
              <w:rPr/>
            </w:pPr>
            <w:r>
              <w:rPr/>
              <w:t>    </w:t>
            </w:r>
          </w:p>
        </w:tc>
        <w:tc>
          <w:tcPr>
            <w:tcW w:w="9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For the three months ended March 31, 2022:</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jc w:val="center"/>
              <w:rPr/>
            </w:pPr>
            <w:r>
              <w:rPr/>
              <w:t>​</w:t>
            </w:r>
          </w:p>
        </w:tc>
        <w:tc>
          <w:tcPr>
            <w:tcW w:w="461"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jc w:val="center"/>
              <w:rPr/>
            </w:pPr>
            <w:r>
              <w:rPr/>
              <w:t>​</w:t>
            </w:r>
          </w:p>
        </w:tc>
        <w:tc>
          <w:tcPr>
            <w:tcW w:w="760" w:type="dxa"/>
            <w:tcBorders/>
            <w:shd w:fill="CCEEFF" w:val="clear"/>
            <w:vAlign w:val="center"/>
          </w:tcPr>
          <w:p>
            <w:pPr>
              <w:pStyle w:val="TableContents"/>
              <w:spacing w:before="0" w:after="1"/>
              <w:ind w:left="0" w:right="0" w:hanging="0"/>
              <w:jc w:val="center"/>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jc w:val="center"/>
              <w:rPr/>
            </w:pPr>
            <w:r>
              <w:rPr/>
              <w:t>​</w:t>
            </w:r>
          </w:p>
        </w:tc>
        <w:tc>
          <w:tcPr>
            <w:tcW w:w="641" w:type="dxa"/>
            <w:tcBorders/>
            <w:shd w:fill="CCEEFF" w:val="clear"/>
            <w:vAlign w:val="center"/>
          </w:tcPr>
          <w:p>
            <w:pPr>
              <w:pStyle w:val="TableContents"/>
              <w:spacing w:before="0" w:after="1"/>
              <w:ind w:left="0" w:right="0" w:hanging="0"/>
              <w:jc w:val="center"/>
              <w:rPr/>
            </w:pPr>
            <w:r>
              <w:rPr/>
              <w:t>​</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on cash flow hedges: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4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76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pPr>
            <w:r>
              <w:rPr/>
              <w:t>​</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Unrealized gains (losses) arising during the period</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w:t>
            </w:r>
          </w:p>
        </w:tc>
        <w:tc>
          <w:tcPr>
            <w:tcW w:w="4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w:t>
            </w:r>
          </w:p>
        </w:tc>
        <w:tc>
          <w:tcPr>
            <w:tcW w:w="76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Reclassification of (gains) losses to net income</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w:t>
            </w:r>
          </w:p>
        </w:tc>
        <w:tc>
          <w:tcPr>
            <w:tcW w:w="42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6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unrealized gains (losses) on cash flow hedges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25"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 </w:t>
            </w:r>
          </w:p>
        </w:tc>
        <w:tc>
          <w:tcPr>
            <w:tcW w:w="4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 </w:t>
            </w:r>
          </w:p>
        </w:tc>
        <w:tc>
          <w:tcPr>
            <w:tcW w:w="760"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 </w:t>
            </w:r>
          </w:p>
        </w:tc>
        <w:tc>
          <w:tcPr>
            <w:tcW w:w="641" w:type="dxa"/>
            <w:tcBorders/>
            <w:shd w:fill="CCEEFF" w:val="clear"/>
            <w:vAlign w:val="center"/>
          </w:tcPr>
          <w:p>
            <w:pPr>
              <w:pStyle w:val="TableContents"/>
              <w:spacing w:before="0" w:after="1"/>
              <w:ind w:left="0" w:right="0" w:hanging="0"/>
              <w:jc w:val="right"/>
              <w:rPr/>
            </w:pPr>
            <w:r>
              <w:rPr/>
              <w:t>​</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(losses) gains arising during the period</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Curtailments and settlements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7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auto" w:val="clear"/>
            <w:vAlign w:val="center"/>
          </w:tcPr>
          <w:p>
            <w:pPr>
              <w:pStyle w:val="TableContents"/>
              <w:spacing w:before="0" w:after="1"/>
              <w:ind w:left="0" w:right="0" w:hanging="0"/>
              <w:rPr/>
            </w:pPr>
            <w:r>
              <w:rPr/>
              <w:t>​</w:t>
            </w:r>
          </w:p>
        </w:tc>
        <w:tc>
          <w:tcPr>
            <w:tcW w:w="42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spacing w:before="0" w:after="1"/>
              <w:ind w:left="0" w:right="0" w:hanging="0"/>
              <w:rPr/>
            </w:pPr>
            <w:r>
              <w:rPr/>
              <w:t>​</w:t>
            </w:r>
          </w:p>
        </w:tc>
        <w:tc>
          <w:tcPr>
            <w:tcW w:w="42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1"/>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auto" w:val="clear"/>
            <w:vAlign w:val="center"/>
          </w:tcPr>
          <w:p>
            <w:pPr>
              <w:pStyle w:val="TableContents"/>
              <w:spacing w:before="0" w:after="1"/>
              <w:ind w:left="0" w:right="0" w:hanging="0"/>
              <w:rPr/>
            </w:pPr>
            <w:r>
              <w:rPr/>
              <w:t>​</w:t>
            </w:r>
          </w:p>
        </w:tc>
        <w:tc>
          <w:tcPr>
            <w:tcW w:w="42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26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pPr>
            <w:r>
              <w:rPr/>
              <w:t>​</w:t>
            </w:r>
          </w:p>
        </w:tc>
        <w:tc>
          <w:tcPr>
            <w:tcW w:w="4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pPr>
            <w:r>
              <w:rPr/>
              <w:t>​</w:t>
            </w:r>
          </w:p>
        </w:tc>
        <w:tc>
          <w:tcPr>
            <w:tcW w:w="76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pPr>
            <w:r>
              <w:rPr/>
              <w:t>​</w:t>
            </w:r>
          </w:p>
        </w:tc>
        <w:tc>
          <w:tcPr>
            <w:tcW w:w="641" w:type="dxa"/>
            <w:tcBorders/>
            <w:shd w:fill="CCEEFF" w:val="clear"/>
            <w:vAlign w:val="center"/>
          </w:tcPr>
          <w:p>
            <w:pPr>
              <w:pStyle w:val="TableContents"/>
              <w:spacing w:before="0" w:after="1"/>
              <w:ind w:left="0" w:right="0" w:hanging="0"/>
              <w:jc w:val="right"/>
              <w:rPr/>
            </w:pPr>
            <w:r>
              <w:rPr/>
              <w:t>​</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For the three months ended March 31, 2021:</w:t>
            </w:r>
          </w:p>
        </w:tc>
        <w:tc>
          <w:tcPr>
            <w:tcW w:w="326" w:type="dxa"/>
            <w:tcBorders/>
            <w:shd w:fill="auto" w:val="clear"/>
            <w:vAlign w:val="center"/>
          </w:tcPr>
          <w:p>
            <w:pPr>
              <w:pStyle w:val="TableContents"/>
              <w:spacing w:before="0" w:after="1"/>
              <w:ind w:left="0" w:right="0" w:hanging="0"/>
              <w:jc w:val="center"/>
              <w:rPr/>
            </w:pPr>
            <w:r>
              <w:rPr/>
              <w:t>    </w:t>
            </w:r>
          </w:p>
        </w:tc>
        <w:tc>
          <w:tcPr>
            <w:tcW w:w="691"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85" w:type="dxa"/>
            <w:gridSpan w:val="2"/>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931" w:type="dxa"/>
            <w:gridSpan w:val="2"/>
            <w:tcBorders/>
            <w:shd w:fill="auto" w:val="clear"/>
            <w:vAlign w:val="center"/>
          </w:tcPr>
          <w:p>
            <w:pPr>
              <w:pStyle w:val="TableContents"/>
              <w:spacing w:before="0" w:after="1"/>
              <w:ind w:left="0" w:right="0" w:hanging="0"/>
              <w:jc w:val="center"/>
              <w:rPr/>
            </w:pPr>
            <w:r>
              <w:rPr/>
              <w: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Retirement-related benefit plans*:</w:t>
            </w:r>
          </w:p>
        </w:tc>
        <w:tc>
          <w:tcPr>
            <w:tcW w:w="326" w:type="dxa"/>
            <w:tcBorders/>
            <w:shd w:fill="auto" w:val="clear"/>
            <w:vAlign w:val="center"/>
          </w:tcPr>
          <w:p>
            <w:pPr>
              <w:pStyle w:val="TableContents"/>
              <w:spacing w:before="0" w:after="1"/>
              <w:ind w:left="0" w:right="0" w:hanging="0"/>
              <w:rPr/>
            </w:pPr>
            <w:r>
              <w:rPr/>
              <w:t>​</w:t>
            </w:r>
          </w:p>
        </w:tc>
        <w:tc>
          <w:tcPr>
            <w:tcW w:w="230" w:type="dxa"/>
            <w:tcBorders/>
            <w:shd w:fill="auto" w:val="clear"/>
            <w:vAlign w:val="center"/>
          </w:tcPr>
          <w:p>
            <w:pPr>
              <w:pStyle w:val="TableContents"/>
              <w:spacing w:before="0" w:after="1"/>
              <w:ind w:left="0" w:right="0" w:hanging="0"/>
              <w:rPr/>
            </w:pPr>
            <w:r>
              <w:rPr/>
              <w:t> </w:t>
            </w:r>
          </w:p>
        </w:tc>
        <w:tc>
          <w:tcPr>
            <w:tcW w:w="4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25" w:type="dxa"/>
            <w:tcBorders/>
            <w:shd w:fill="auto" w:val="clear"/>
            <w:vAlign w:val="center"/>
          </w:tcPr>
          <w:p>
            <w:pPr>
              <w:pStyle w:val="TableContents"/>
              <w:spacing w:before="0" w:after="1"/>
              <w:ind w:left="0" w:right="0" w:hanging="0"/>
              <w:rPr/>
            </w:pPr>
            <w:r>
              <w:rPr/>
              <w:t> </w:t>
            </w:r>
          </w:p>
        </w:tc>
        <w:tc>
          <w:tcPr>
            <w:tcW w:w="76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90" w:type="dxa"/>
            <w:tcBorders/>
            <w:shd w:fill="auto" w:val="clear"/>
            <w:vAlign w:val="center"/>
          </w:tcPr>
          <w:p>
            <w:pPr>
              <w:pStyle w:val="TableContents"/>
              <w:spacing w:before="0" w:after="1"/>
              <w:ind w:left="0" w:right="0" w:hanging="0"/>
              <w:rPr/>
            </w:pPr>
            <w:r>
              <w:rPr/>
              <w:t> </w:t>
            </w:r>
          </w:p>
        </w:tc>
        <w:tc>
          <w:tcPr>
            <w:tcW w:w="641" w:type="dxa"/>
            <w:tcBorders/>
            <w:shd w:fill="auto" w:val="clear"/>
            <w:vAlign w:val="center"/>
          </w:tcPr>
          <w:p>
            <w:pPr>
              <w:pStyle w:val="TableContents"/>
              <w:spacing w:before="0" w:after="1"/>
              <w:ind w:left="0" w:right="0" w:hanging="0"/>
              <w:jc w:val="right"/>
              <w:rPr/>
            </w:pPr>
            <w:r>
              <w:rPr/>
              <w:t>​</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(losses) gains arising during the period</w:t>
            </w:r>
          </w:p>
        </w:tc>
        <w:tc>
          <w:tcPr>
            <w:tcW w:w="326" w:type="dxa"/>
            <w:tcBorders/>
            <w:shd w:fill="CCEEFF" w:val="clear"/>
            <w:vAlign w:val="center"/>
          </w:tcPr>
          <w:p>
            <w:pPr>
              <w:pStyle w:val="TableContents"/>
              <w:spacing w:before="0" w:after="1"/>
              <w:ind w:left="0" w:right="0" w:hanging="0"/>
              <w:rPr/>
            </w:pPr>
            <w:r>
              <w:rPr/>
              <w:t>​</w:t>
            </w:r>
          </w:p>
        </w:tc>
        <w:tc>
          <w:tcPr>
            <w:tcW w:w="23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w:t>
            </w:r>
          </w:p>
        </w:tc>
        <w:tc>
          <w:tcPr>
            <w:tcW w:w="42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spacing w:before="0" w:after="1"/>
              <w:ind w:left="0" w:right="0" w:hanging="0"/>
              <w:rPr/>
            </w:pPr>
            <w:r>
              <w:rPr/>
              <w:t>​</w:t>
            </w:r>
          </w:p>
        </w:tc>
        <w:tc>
          <w:tcPr>
            <w:tcW w:w="29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net (gains) losses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w:t>
            </w:r>
          </w:p>
        </w:tc>
        <w:tc>
          <w:tcPr>
            <w:tcW w:w="42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4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2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retirement-related benefit plans</w:t>
            </w:r>
          </w:p>
        </w:tc>
        <w:tc>
          <w:tcPr>
            <w:tcW w:w="326" w:type="dxa"/>
            <w:tcBorders/>
            <w:shd w:fill="CCEEFF" w:val="clear"/>
            <w:vAlign w:val="center"/>
          </w:tcPr>
          <w:p>
            <w:pPr>
              <w:pStyle w:val="TableContents"/>
              <w:spacing w:before="0" w:after="1"/>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spacing w:before="0" w:after="1"/>
              <w:ind w:left="0" w:right="0" w:hanging="0"/>
              <w:rPr/>
            </w:pPr>
            <w:r>
              <w:rPr/>
              <w:t>​</w:t>
            </w:r>
          </w:p>
        </w:tc>
        <w:tc>
          <w:tcPr>
            <w:tcW w:w="425"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6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shd w:fill="auto" w:val="clear"/>
            <w:vAlign w:val="center"/>
          </w:tcPr>
          <w:p>
            <w:pPr>
              <w:pStyle w:val="TableContents"/>
              <w:spacing w:before="0" w:after="1"/>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auto" w:val="clear"/>
            <w:vAlign w:val="center"/>
          </w:tcPr>
          <w:p>
            <w:pPr>
              <w:pStyle w:val="TableContents"/>
              <w:spacing w:before="0" w:after="1"/>
              <w:ind w:left="0" w:right="0" w:hanging="0"/>
              <w:rPr/>
            </w:pPr>
            <w:r>
              <w:rPr/>
              <w:t>​</w:t>
            </w:r>
          </w:p>
        </w:tc>
        <w:tc>
          <w:tcPr>
            <w:tcW w:w="42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bl>
    <w:p>
      <w:pPr>
        <w:pStyle w:val="TextBody"/>
        <w:spacing w:before="0" w:after="240"/>
        <w:ind w:left="0" w:right="0" w:hanging="0"/>
        <w:rPr/>
      </w:pPr>
      <w:r>
        <w:rPr/>
        <w:t>​</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99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AOCI components are included in the computation of net periodic benefit cost. Refer to Note 12 – Retirement-Related Benefits for additional information.</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0"/>
        <w:ind w:left="0" w:right="0" w:firstLine="720"/>
        <w:rPr>
          <w:rFonts w:ascii="Times New Roman;Times;serif" w:hAnsi="Times New Roman;Times;serif"/>
          <w:sz w:val="20"/>
        </w:rPr>
      </w:pPr>
      <w:bookmarkStart w:id="1080" w:name="Tc_qgQnYtCne0Cc_3LzBFY8dg_11_11"/>
      <w:bookmarkStart w:id="1081" w:name="Tc_egWxoce0FU62JfEMFklJEQ_11_8"/>
      <w:bookmarkStart w:id="1082" w:name="Tc_CYfoPcjT9UWvyYvCqks6XQ_11_5"/>
      <w:bookmarkStart w:id="1083" w:name="Tc_TYADu8oshk2_7Od8S198OQ_11_3"/>
      <w:bookmarkStart w:id="1084" w:name="Tc_oxFSdMTvqE6LRi4EECmHFA_11_2"/>
      <w:bookmarkStart w:id="1085" w:name="Tc_d_nlrMaxO0WYem-sGqUkgQ_11_0"/>
      <w:bookmarkStart w:id="1086" w:name="Tc_kn5mvgus4UmmfC_eMCaGPA_10_3"/>
      <w:bookmarkStart w:id="1087" w:name="Tc_eSen-Qe8VUSEkTC3_W3XKQ_10_0"/>
      <w:bookmarkStart w:id="1088" w:name="Tc_U3LXHBj1t0WcyBxnjiKuTA_9_11"/>
      <w:bookmarkStart w:id="1089" w:name="Tc_o4hy5ndUf0iOTbWlgP2J4w_9_8"/>
      <w:bookmarkStart w:id="1090" w:name="Tc_H1i0o5i08Eea8SU82y62gA_9_5"/>
      <w:bookmarkStart w:id="1091" w:name="Tc_L__-3_9SZUWMpv6Jnf9Pig_9_3"/>
      <w:bookmarkStart w:id="1092" w:name="Tc_-EThjSltOU2bvH0IIeUpig_9_2"/>
      <w:bookmarkStart w:id="1093" w:name="Tc_z-ai_Ll-nUur_33OjS0mxw_9_0"/>
      <w:bookmarkStart w:id="1094" w:name="Tc_K4xmEsgLjkGtE3j65d8zlg_7_11"/>
      <w:bookmarkStart w:id="1095" w:name="Tc_usKKUmCex0OmgbpSh85vQA_7_8"/>
      <w:bookmarkStart w:id="1096" w:name="Tc_3yMQSvsIUU2m5SBLyXGnGw_7_5"/>
      <w:bookmarkStart w:id="1097" w:name="Tc_7ZFlfnPY2ky0l_EEiqEytg_7_2"/>
      <w:bookmarkStart w:id="1098" w:name="Tc_a9h6FNQ8cEi1tCQrQ_kdXw_7_0"/>
      <w:bookmarkStart w:id="1099" w:name="Tc_JRA6bOcUNkG0azhbjw30cg_6_3"/>
      <w:bookmarkStart w:id="1100" w:name="Tc_mhONAG99GE6HnOhngOE11g_6_0"/>
      <w:bookmarkStart w:id="1101" w:name="Tc_hKf6C0etYU2TMxneypd1vw_5_11"/>
      <w:bookmarkStart w:id="1102" w:name="Tc_6bwIk9CgxE2Pq9MWZYdNgQ_5_8"/>
      <w:bookmarkStart w:id="1103" w:name="Tc_-p6mCVKd_k6bx1IKk3KPTw_5_5"/>
      <w:bookmarkStart w:id="1104" w:name="Tc_4Pe664FkWkK7JPItNYc43g_5_2"/>
      <w:bookmarkStart w:id="1105" w:name="Tc_CZEwBP50qkWteKFNeabp5w_5_0"/>
      <w:bookmarkStart w:id="1106" w:name="Tc_t40Y0bai5kSpfci6zNvK8Q_4_11"/>
      <w:bookmarkStart w:id="1107" w:name="Tc_sdsyIhm1zU6ZLdj3jKag2A_4_8"/>
      <w:bookmarkStart w:id="1108" w:name="Tc_RYaSTLfSwkiJ9trycsYW8A_4_5"/>
      <w:bookmarkStart w:id="1109" w:name="Tc_MDIBLwtUtUSe4Rsh-Larkg_4_2"/>
      <w:bookmarkStart w:id="1110" w:name="Tc_YOKJ2m3vjkKSZ4fkvcWq-g_4_0"/>
      <w:bookmarkStart w:id="1111" w:name="Tc_38ES7zDVk0--tdc7ZK1stQ_3_11"/>
      <w:bookmarkStart w:id="1112" w:name="Tc_CvA0TATx3063VQNYB-OSOA_3_8"/>
      <w:bookmarkStart w:id="1113" w:name="Tc_xwVxxJ8cHEO9CgdeoXz1Lw_3_5"/>
      <w:bookmarkStart w:id="1114" w:name="Tc_yhBxY_B5FUaPI9ODCTAJYg_3_2"/>
      <w:bookmarkStart w:id="1115" w:name="Tc_eee1qEaIGkCte2amiSXHYA_2_11"/>
      <w:bookmarkStart w:id="1116" w:name="Tc_o1Hp02antUmn95glba07Xg_2_8"/>
      <w:bookmarkStart w:id="1117" w:name="Tc_HbA-QJAdZkm9aix_u2c47Q_2_5"/>
      <w:bookmarkStart w:id="1118" w:name="Tc_Z4xkUo5hSEy8DDjAsAXKdw_2_2"/>
      <w:bookmarkStart w:id="1119" w:name="Tc_m7f6Ms20KE6S_YSsumqG7Q_1_11"/>
      <w:bookmarkStart w:id="1120" w:name="Tc_NREAsD4ELUKsyj3rs934yQ_1_8"/>
      <w:bookmarkStart w:id="1121" w:name="Tc_N-H0mQQP9EiX9X9SenomRQ_1_5"/>
      <w:bookmarkStart w:id="1122" w:name="Tc_I42eUJfNbE2dxVwFRQkEAQ_1_2"/>
      <w:bookmarkStart w:id="1123" w:name="_b41a7b62_b1fe_468e_9b63_3568e9e0dcfb"/>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r>
        <w:rPr>
          <w:rFonts w:ascii="Times New Roman;Times;serif" w:hAnsi="Times New Roman;Times;serif"/>
          <w:sz w:val="20"/>
        </w:rPr>
        <w:t>The following table presents the components of accumulated other comprehensive income (loss), net of taxes:</w:t>
      </w:r>
    </w:p>
    <w:p>
      <w:pPr>
        <w:pStyle w:val="TextBody"/>
        <w:spacing w:before="0" w:after="240"/>
        <w:ind w:left="0" w:right="0" w:hanging="0"/>
        <w:rPr/>
      </w:pPr>
      <w:r>
        <w:rPr/>
        <w:t>​</w:t>
      </w:r>
    </w:p>
    <w:p>
      <w:pPr>
        <w:pStyle w:val="TextBody"/>
        <w:spacing w:before="0" w:after="0"/>
        <w:ind w:left="0" w:right="0" w:hanging="0"/>
        <w:rPr/>
      </w:pPr>
      <w:r>
        <w:rPr/>
        <w:t>​</w:t>
      </w:r>
    </w:p>
    <w:tbl>
      <w:tblPr>
        <w:tblW w:w="8642" w:type="dxa"/>
        <w:jc w:val="left"/>
        <w:tblInd w:w="0" w:type="dxa"/>
        <w:tblCellMar>
          <w:top w:w="0" w:type="dxa"/>
          <w:left w:w="0" w:type="dxa"/>
          <w:bottom w:w="0" w:type="dxa"/>
          <w:right w:w="0" w:type="dxa"/>
        </w:tblCellMar>
      </w:tblPr>
      <w:tblGrid>
        <w:gridCol w:w="3181"/>
        <w:gridCol w:w="326"/>
        <w:gridCol w:w="448"/>
        <w:gridCol w:w="737"/>
        <w:gridCol w:w="109"/>
        <w:gridCol w:w="332"/>
        <w:gridCol w:w="763"/>
        <w:gridCol w:w="326"/>
        <w:gridCol w:w="320"/>
        <w:gridCol w:w="730"/>
        <w:gridCol w:w="109"/>
        <w:gridCol w:w="299"/>
        <w:gridCol w:w="962"/>
      </w:tblGrid>
      <w:tr>
        <w:trPr/>
        <w:tc>
          <w:tcPr>
            <w:tcW w:w="3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19935" cy="175260"/>
                      <wp:effectExtent l="0" t="0" r="0" b="0"/>
                      <wp:wrapNone/>
                      <wp:docPr id="179" name="Frame179"/>
                      <a:graphic xmlns:a="http://schemas.openxmlformats.org/drawingml/2006/main">
                        <a:graphicData uri="http://schemas.microsoft.com/office/word/2010/wordprocessingShape">
                          <wps:wsp>
                            <wps:cNvSpPr txBox="1"/>
                            <wps:spPr>
                              <a:xfrm>
                                <a:off x="0" y="0"/>
                                <a:ext cx="2019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84480" cy="175260"/>
                      <wp:effectExtent l="0" t="0" r="0" b="0"/>
                      <wp:wrapNone/>
                      <wp:docPr id="181" name="Frame181"/>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67995" cy="175260"/>
                      <wp:effectExtent l="0" t="0" r="0" b="0"/>
                      <wp:wrapNone/>
                      <wp:docPr id="182" name="Frame182"/>
                      <a:graphic xmlns:a="http://schemas.openxmlformats.org/drawingml/2006/main">
                        <a:graphicData uri="http://schemas.microsoft.com/office/word/2010/wordprocessingShape">
                          <wps:wsp>
                            <wps:cNvSpPr txBox="1"/>
                            <wps:spPr>
                              <a:xfrm>
                                <a:off x="0" y="0"/>
                                <a:ext cx="467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0820" cy="175260"/>
                      <wp:effectExtent l="0" t="0" r="0" b="0"/>
                      <wp:wrapNone/>
                      <wp:docPr id="184" name="Frame184"/>
                      <a:graphic xmlns:a="http://schemas.openxmlformats.org/drawingml/2006/main">
                        <a:graphicData uri="http://schemas.microsoft.com/office/word/2010/wordprocessingShape">
                          <wps:wsp>
                            <wps:cNvSpPr txBox="1"/>
                            <wps:spPr>
                              <a:xfrm>
                                <a:off x="0" y="0"/>
                                <a:ext cx="2108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84505" cy="175260"/>
                      <wp:effectExtent l="0" t="0" r="0" b="0"/>
                      <wp:wrapNone/>
                      <wp:docPr id="185" name="Frame185"/>
                      <a:graphic xmlns:a="http://schemas.openxmlformats.org/drawingml/2006/main">
                        <a:graphicData uri="http://schemas.microsoft.com/office/word/2010/wordprocessingShape">
                          <wps:wsp>
                            <wps:cNvSpPr txBox="1"/>
                            <wps:spPr>
                              <a:xfrm>
                                <a:off x="0" y="0"/>
                                <a:ext cx="4845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3200" cy="175260"/>
                      <wp:effectExtent l="0" t="0" r="0" b="0"/>
                      <wp:wrapNone/>
                      <wp:docPr id="187" name="Frame187"/>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63550" cy="175260"/>
                      <wp:effectExtent l="0" t="0" r="0" b="0"/>
                      <wp:wrapNone/>
                      <wp:docPr id="188" name="Frame188"/>
                      <a:graphic xmlns:a="http://schemas.openxmlformats.org/drawingml/2006/main">
                        <a:graphicData uri="http://schemas.microsoft.com/office/word/2010/wordprocessingShape">
                          <wps:wsp>
                            <wps:cNvSpPr txBox="1"/>
                            <wps:spPr>
                              <a:xfrm>
                                <a:off x="0" y="0"/>
                                <a:ext cx="4635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89865" cy="175260"/>
                      <wp:effectExtent l="0" t="0" r="0" b="0"/>
                      <wp:wrapNone/>
                      <wp:docPr id="190" name="Frame190"/>
                      <a:graphic xmlns:a="http://schemas.openxmlformats.org/drawingml/2006/main">
                        <a:graphicData uri="http://schemas.microsoft.com/office/word/2010/wordprocessingShape">
                          <wps:wsp>
                            <wps:cNvSpPr txBox="1"/>
                            <wps:spPr>
                              <a:xfrm>
                                <a:off x="0" y="0"/>
                                <a:ext cx="1898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10870" cy="175260"/>
                      <wp:effectExtent l="0" t="0" r="0" b="0"/>
                      <wp:wrapNone/>
                      <wp:docPr id="191" name="Frame191"/>
                      <a:graphic xmlns:a="http://schemas.openxmlformats.org/drawingml/2006/main">
                        <a:graphicData uri="http://schemas.microsoft.com/office/word/2010/wordprocessingShape">
                          <wps:wsp>
                            <wps:cNvSpPr txBox="1"/>
                            <wps:spPr>
                              <a:xfrm>
                                <a:off x="0" y="0"/>
                                <a:ext cx="6108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shd w:fill="auto" w:val="clear"/>
            <w:vAlign w:val="center"/>
          </w:tcPr>
          <w:p>
            <w:pPr>
              <w:pStyle w:val="TableContents"/>
              <w:spacing w:before="0" w:after="1"/>
              <w:ind w:left="0" w:right="0" w:hanging="0"/>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shd w:fill="auto" w:val="clear"/>
            <w:vAlign w:val="center"/>
          </w:tcPr>
          <w:p>
            <w:pPr>
              <w:pStyle w:val="TableContents"/>
              <w:spacing w:before="0" w:after="1"/>
              <w:ind w:left="0" w:right="0" w:hanging="0"/>
              <w:rPr/>
            </w:pPr>
            <w:r>
              <w:rPr/>
              <w:t>​</w:t>
            </w:r>
          </w:p>
        </w:tc>
        <w:tc>
          <w:tcPr>
            <w:tcW w:w="105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shd w:fill="auto" w:val="clear"/>
            <w:vAlign w:val="center"/>
          </w:tcPr>
          <w:p>
            <w:pPr>
              <w:pStyle w:val="TableContents"/>
              <w:spacing w:before="0" w:after="1"/>
              <w:ind w:left="0" w:right="0" w:hanging="0"/>
              <w:rPr/>
            </w:pPr>
            <w:r>
              <w:rPr/>
              <w:t>​</w:t>
            </w:r>
          </w:p>
        </w:tc>
        <w:tc>
          <w:tcPr>
            <w:tcW w:w="12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shd w:fill="auto" w:val="clear"/>
            <w:vAlign w:val="center"/>
          </w:tcPr>
          <w:p>
            <w:pPr>
              <w:pStyle w:val="TableContents"/>
              <w:spacing w:before="0" w:after="1"/>
              <w:ind w:left="0" w:right="0" w:hanging="0"/>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26" w:type="dxa"/>
            <w:tcBorders/>
            <w:shd w:fill="auto" w:val="clear"/>
            <w:vAlign w:val="center"/>
          </w:tcPr>
          <w:p>
            <w:pPr>
              <w:pStyle w:val="TableContents"/>
              <w:spacing w:before="0" w:after="1"/>
              <w:ind w:left="0" w:right="0" w:hanging="0"/>
              <w:rPr/>
            </w:pPr>
            <w:r>
              <w:rPr/>
              <w:t>​</w:t>
            </w:r>
          </w:p>
        </w:tc>
        <w:tc>
          <w:tcPr>
            <w:tcW w:w="105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shd w:fill="auto" w:val="clear"/>
            <w:vAlign w:val="center"/>
          </w:tcPr>
          <w:p>
            <w:pPr>
              <w:pStyle w:val="TableContents"/>
              <w:spacing w:before="0" w:after="1"/>
              <w:ind w:left="0" w:right="0" w:hanging="0"/>
              <w:rPr/>
            </w:pPr>
            <w:r>
              <w:rPr/>
              <w:t>​</w:t>
            </w:r>
          </w:p>
        </w:tc>
        <w:tc>
          <w:tcPr>
            <w:tcW w:w="12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shd w:fill="auto" w:val="clear"/>
            <w:vAlign w:val="center"/>
          </w:tcPr>
          <w:p>
            <w:pPr>
              <w:pStyle w:val="TableContents"/>
              <w:spacing w:before="0" w:after="1"/>
              <w:ind w:left="0" w:right="0" w:hanging="0"/>
              <w:rPr/>
            </w:pPr>
            <w:r>
              <w:rPr/>
              <w:t>​</w:t>
            </w:r>
          </w:p>
        </w:tc>
        <w:tc>
          <w:tcPr>
            <w:tcW w:w="109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26" w:type="dxa"/>
            <w:tcBorders/>
            <w:shd w:fill="auto" w:val="clear"/>
            <w:vAlign w:val="center"/>
          </w:tcPr>
          <w:p>
            <w:pPr>
              <w:pStyle w:val="TableContents"/>
              <w:spacing w:before="0" w:after="1"/>
              <w:ind w:left="0" w:right="0" w:hanging="0"/>
              <w:rPr/>
            </w:pPr>
            <w:r>
              <w:rPr/>
              <w:t>​</w:t>
            </w:r>
          </w:p>
        </w:tc>
        <w:tc>
          <w:tcPr>
            <w:tcW w:w="105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shd w:fill="auto" w:val="clear"/>
            <w:vAlign w:val="center"/>
          </w:tcPr>
          <w:p>
            <w:pPr>
              <w:pStyle w:val="TableContents"/>
              <w:spacing w:before="0" w:after="1"/>
              <w:ind w:left="0" w:right="0" w:hanging="0"/>
              <w:rPr/>
            </w:pPr>
            <w:r>
              <w:rPr/>
              <w:t>​</w:t>
            </w:r>
          </w:p>
        </w:tc>
        <w:tc>
          <w:tcPr>
            <w:tcW w:w="12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318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shd w:fill="auto" w:val="clear"/>
            <w:vAlign w:val="center"/>
          </w:tcPr>
          <w:p>
            <w:pPr>
              <w:pStyle w:val="TableContents"/>
              <w:spacing w:before="0" w:after="1"/>
              <w:ind w:left="0" w:right="0" w:hanging="0"/>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1"/>
              <w:ind w:left="0" w:right="0" w:hanging="0"/>
              <w:rPr/>
            </w:pPr>
            <w:r>
              <w:rPr/>
              <w:t>    </w:t>
            </w:r>
          </w:p>
        </w:tc>
        <w:tc>
          <w:tcPr>
            <w:tcW w:w="105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shd w:fill="auto" w:val="clear"/>
            <w:vAlign w:val="center"/>
          </w:tcPr>
          <w:p>
            <w:pPr>
              <w:pStyle w:val="TableContents"/>
              <w:spacing w:before="0" w:after="1"/>
              <w:ind w:left="0" w:right="0" w:hanging="0"/>
              <w:rPr/>
            </w:pPr>
            <w:r>
              <w:rPr/>
              <w:t>​</w:t>
            </w:r>
          </w:p>
        </w:tc>
        <w:tc>
          <w:tcPr>
            <w:tcW w:w="12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January 1, 2022</w:t>
            </w:r>
          </w:p>
        </w:tc>
        <w:tc>
          <w:tcPr>
            <w:tcW w:w="326" w:type="dxa"/>
            <w:tcBorders/>
            <w:shd w:fill="CCEEFF" w:val="clear"/>
            <w:vAlign w:val="center"/>
          </w:tcPr>
          <w:p>
            <w:pPr>
              <w:pStyle w:val="TableContents"/>
              <w:spacing w:before="0" w:after="1"/>
              <w:ind w:left="0" w:right="0" w:hanging="0"/>
              <w:rPr/>
            </w:pPr>
            <w:r>
              <w:rPr/>
              <w:t>​</w:t>
            </w:r>
          </w:p>
        </w:tc>
        <w:tc>
          <w:tcPr>
            <w:tcW w:w="44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spacing w:before="0" w:after="1"/>
              <w:ind w:left="0" w:right="0" w:hanging="0"/>
              <w:rPr/>
            </w:pPr>
            <w:r>
              <w:rPr/>
              <w:t>​</w:t>
            </w:r>
          </w:p>
        </w:tc>
        <w:tc>
          <w:tcPr>
            <w:tcW w:w="3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spacing w:before="0" w:after="1"/>
              <w:ind w:left="0" w:right="0" w:hanging="0"/>
              <w:rPr/>
            </w:pPr>
            <w:r>
              <w:rPr/>
              <w:t>​</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(462)</w:t>
            </w:r>
          </w:p>
        </w:tc>
        <w:tc>
          <w:tcPr>
            <w:tcW w:w="109"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1"/>
              <w:ind w:left="0" w:right="0" w:hanging="0"/>
              <w:rPr/>
            </w:pPr>
            <w:r>
              <w:rPr/>
              <w:t>​</w:t>
            </w:r>
          </w:p>
        </w:tc>
        <w:tc>
          <w:tcPr>
            <w:tcW w:w="44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3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auto" w:val="clear"/>
            <w:vAlign w:val="center"/>
          </w:tcPr>
          <w:p>
            <w:pPr>
              <w:pStyle w:val="TableContents"/>
              <w:spacing w:before="0" w:after="1"/>
              <w:ind w:left="0" w:right="0" w:hanging="0"/>
              <w:rPr/>
            </w:pPr>
            <w:r>
              <w:rPr/>
              <w:t>​</w:t>
            </w:r>
          </w:p>
        </w:tc>
        <w:tc>
          <w:tcPr>
            <w:tcW w:w="32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09" w:type="dxa"/>
            <w:tcBorders/>
            <w:shd w:fill="auto" w:val="clear"/>
            <w:vAlign w:val="center"/>
          </w:tcPr>
          <w:p>
            <w:pPr>
              <w:pStyle w:val="TableContents"/>
              <w:spacing w:before="0" w:after="1"/>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March 31, 2022</w:t>
            </w:r>
          </w:p>
        </w:tc>
        <w:tc>
          <w:tcPr>
            <w:tcW w:w="326" w:type="dxa"/>
            <w:tcBorders/>
            <w:shd w:fill="CCEEFF" w:val="clear"/>
            <w:vAlign w:val="center"/>
          </w:tcPr>
          <w:p>
            <w:pPr>
              <w:pStyle w:val="TableContents"/>
              <w:spacing w:before="0" w:after="1"/>
              <w:ind w:left="0" w:right="0" w:hanging="0"/>
              <w:rPr/>
            </w:pPr>
            <w:r>
              <w:rPr/>
              <w:t>​</w:t>
            </w:r>
          </w:p>
        </w:tc>
        <w:tc>
          <w:tcPr>
            <w:tcW w:w="4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spacing w:before="0" w:after="1"/>
              <w:ind w:left="0" w:right="0" w:hanging="0"/>
              <w:rPr/>
            </w:pPr>
            <w:r>
              <w:rPr/>
              <w:t>​</w:t>
            </w:r>
          </w:p>
        </w:tc>
        <w:tc>
          <w:tcPr>
            <w:tcW w:w="33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(735)</w:t>
            </w:r>
          </w:p>
        </w:tc>
        <w:tc>
          <w:tcPr>
            <w:tcW w:w="326" w:type="dxa"/>
            <w:tcBorders/>
            <w:shd w:fill="CCEEFF" w:val="clear"/>
            <w:vAlign w:val="center"/>
          </w:tcPr>
          <w:p>
            <w:pPr>
              <w:pStyle w:val="TableContents"/>
              <w:spacing w:before="0" w:after="1"/>
              <w:ind w:left="0" w:right="0" w:hanging="0"/>
              <w:rPr/>
            </w:pPr>
            <w:r>
              <w:rPr/>
              <w:t>​</w:t>
            </w:r>
          </w:p>
        </w:tc>
        <w:tc>
          <w:tcPr>
            <w:tcW w:w="3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109" w:type="dxa"/>
            <w:tcBorders/>
            <w:shd w:fill="CCEEFF" w:val="clear"/>
            <w:vAlign w:val="center"/>
          </w:tcPr>
          <w:p>
            <w:pPr>
              <w:pStyle w:val="TableContents"/>
              <w:spacing w:before="0" w:after="1"/>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(1,089)</w:t>
            </w:r>
          </w:p>
        </w:tc>
      </w:tr>
      <w:tr>
        <w:trPr/>
        <w:tc>
          <w:tcPr>
            <w:tcW w:w="3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48" w:type="dxa"/>
            <w:tcBorders/>
            <w:shd w:fill="auto" w:val="clear"/>
            <w:vAlign w:val="center"/>
          </w:tcPr>
          <w:p>
            <w:pPr>
              <w:pStyle w:val="TableContents"/>
              <w:spacing w:before="0" w:after="1"/>
              <w:ind w:left="0" w:right="0" w:hanging="0"/>
              <w:rPr/>
            </w:pPr>
            <w:r>
              <w:rPr/>
              <w:t>​</w:t>
            </w:r>
          </w:p>
        </w:tc>
        <w:tc>
          <w:tcPr>
            <w:tcW w:w="737"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32" w:type="dxa"/>
            <w:tcBorders/>
            <w:shd w:fill="auto" w:val="clear"/>
            <w:vAlign w:val="center"/>
          </w:tcPr>
          <w:p>
            <w:pPr>
              <w:pStyle w:val="TableContents"/>
              <w:spacing w:before="0" w:after="1"/>
              <w:ind w:left="0" w:right="0" w:hanging="0"/>
              <w:rPr/>
            </w:pPr>
            <w:r>
              <w:rPr/>
              <w:t>​</w:t>
            </w:r>
          </w:p>
        </w:tc>
        <w:tc>
          <w:tcPr>
            <w:tcW w:w="763"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20" w:type="dxa"/>
            <w:tcBorders/>
            <w:shd w:fill="auto" w:val="clear"/>
            <w:vAlign w:val="center"/>
          </w:tcPr>
          <w:p>
            <w:pPr>
              <w:pStyle w:val="TableContents"/>
              <w:spacing w:before="0" w:after="1"/>
              <w:ind w:left="0" w:right="0" w:hanging="0"/>
              <w:rPr/>
            </w:pPr>
            <w:r>
              <w:rPr/>
              <w:t>​</w:t>
            </w:r>
          </w:p>
        </w:tc>
        <w:tc>
          <w:tcPr>
            <w:tcW w:w="730"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99" w:type="dxa"/>
            <w:tcBorders/>
            <w:shd w:fill="auto" w:val="clear"/>
            <w:vAlign w:val="center"/>
          </w:tcPr>
          <w:p>
            <w:pPr>
              <w:pStyle w:val="TableContents"/>
              <w:spacing w:before="0" w:after="1"/>
              <w:ind w:left="0" w:right="0" w:hanging="0"/>
              <w:rPr/>
            </w:pPr>
            <w:r>
              <w:rPr/>
              <w:t>​</w:t>
            </w:r>
          </w:p>
        </w:tc>
        <w:tc>
          <w:tcPr>
            <w:tcW w:w="962" w:type="dxa"/>
            <w:tcBorders/>
            <w:shd w:fill="auto" w:val="clear"/>
            <w:vAlign w:val="center"/>
          </w:tcPr>
          <w:p>
            <w:pPr>
              <w:pStyle w:val="TableContents"/>
              <w:spacing w:before="0" w:after="1"/>
              <w:ind w:left="0" w:right="0" w:hanging="0"/>
              <w:jc w:val="right"/>
              <w:rPr/>
            </w:pPr>
            <w:r>
              <w:rPr/>
              <w:t>​</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January 1, 2021</w:t>
            </w:r>
          </w:p>
        </w:tc>
        <w:tc>
          <w:tcPr>
            <w:tcW w:w="326" w:type="dxa"/>
            <w:tcBorders/>
            <w:shd w:fill="CCEEFF" w:val="clear"/>
            <w:vAlign w:val="center"/>
          </w:tcPr>
          <w:p>
            <w:pPr>
              <w:pStyle w:val="TableContents"/>
              <w:spacing w:before="0" w:after="1"/>
              <w:ind w:left="0" w:right="0" w:hanging="0"/>
              <w:rPr/>
            </w:pPr>
            <w:r>
              <w:rPr/>
              <w:t>​</w:t>
            </w:r>
          </w:p>
        </w:tc>
        <w:tc>
          <w:tcPr>
            <w:tcW w:w="44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3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CCEEFF" w:val="clear"/>
            <w:vAlign w:val="center"/>
          </w:tcPr>
          <w:p>
            <w:pPr>
              <w:pStyle w:val="TableContents"/>
              <w:spacing w:before="0" w:after="1"/>
              <w:ind w:left="0" w:right="0" w:hanging="0"/>
              <w:rPr/>
            </w:pPr>
            <w:r>
              <w:rPr/>
              <w:t>​</w:t>
            </w:r>
          </w:p>
        </w:tc>
        <w:tc>
          <w:tcPr>
            <w:tcW w:w="32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109" w:type="dxa"/>
            <w:tcBorders/>
            <w:shd w:fill="CCEEFF" w:val="clear"/>
            <w:vAlign w:val="center"/>
          </w:tcPr>
          <w:p>
            <w:pPr>
              <w:pStyle w:val="TableContents"/>
              <w:spacing w:before="0" w:after="1"/>
              <w:ind w:left="0" w:right="0" w:hanging="0"/>
              <w:rPr/>
            </w:pPr>
            <w:r>
              <w:rPr/>
              <w:t>​</w:t>
            </w:r>
          </w:p>
        </w:tc>
        <w:tc>
          <w:tcPr>
            <w:tcW w:w="29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(1,096)</w:t>
            </w:r>
          </w:p>
        </w:tc>
      </w:tr>
      <w:tr>
        <w:trPr/>
        <w:tc>
          <w:tcPr>
            <w:tcW w:w="31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1"/>
              <w:ind w:left="0" w:right="0" w:hanging="0"/>
              <w:rPr/>
            </w:pPr>
            <w:r>
              <w:rPr/>
              <w:t>​</w:t>
            </w:r>
          </w:p>
        </w:tc>
        <w:tc>
          <w:tcPr>
            <w:tcW w:w="44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7"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3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6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auto" w:val="clear"/>
            <w:vAlign w:val="center"/>
          </w:tcPr>
          <w:p>
            <w:pPr>
              <w:pStyle w:val="TableContents"/>
              <w:spacing w:before="0" w:after="1"/>
              <w:ind w:left="0" w:right="0" w:hanging="0"/>
              <w:rPr/>
            </w:pPr>
            <w:r>
              <w:rPr/>
              <w:t>​</w:t>
            </w:r>
          </w:p>
        </w:tc>
        <w:tc>
          <w:tcPr>
            <w:tcW w:w="32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auto" w:val="clear"/>
            <w:vAlign w:val="center"/>
          </w:tcPr>
          <w:p>
            <w:pPr>
              <w:pStyle w:val="TableContents"/>
              <w:spacing w:before="0" w:after="1"/>
              <w:ind w:left="0" w:right="0" w:hanging="0"/>
              <w:rPr/>
            </w:pPr>
            <w:r>
              <w:rPr/>
              <w:t>​</w:t>
            </w:r>
          </w:p>
        </w:tc>
        <w:tc>
          <w:tcPr>
            <w:tcW w:w="29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6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31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March 31, 2021</w:t>
            </w:r>
          </w:p>
        </w:tc>
        <w:tc>
          <w:tcPr>
            <w:tcW w:w="326" w:type="dxa"/>
            <w:tcBorders/>
            <w:shd w:fill="CCEEFF" w:val="clear"/>
            <w:vAlign w:val="center"/>
          </w:tcPr>
          <w:p>
            <w:pPr>
              <w:pStyle w:val="TableContents"/>
              <w:spacing w:before="0" w:after="1"/>
              <w:ind w:left="0" w:right="0" w:hanging="0"/>
              <w:rPr/>
            </w:pPr>
            <w:r>
              <w:rPr/>
              <w:t>​</w:t>
            </w:r>
          </w:p>
        </w:tc>
        <w:tc>
          <w:tcPr>
            <w:tcW w:w="4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3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6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(974)</w:t>
            </w:r>
          </w:p>
        </w:tc>
        <w:tc>
          <w:tcPr>
            <w:tcW w:w="326" w:type="dxa"/>
            <w:tcBorders/>
            <w:shd w:fill="CCEEFF" w:val="clear"/>
            <w:vAlign w:val="center"/>
          </w:tcPr>
          <w:p>
            <w:pPr>
              <w:pStyle w:val="TableContents"/>
              <w:spacing w:before="0" w:after="1"/>
              <w:ind w:left="0" w:right="0" w:hanging="0"/>
              <w:rPr/>
            </w:pPr>
            <w:r>
              <w:rPr/>
              <w:t>​</w:t>
            </w:r>
          </w:p>
        </w:tc>
        <w:tc>
          <w:tcPr>
            <w:tcW w:w="32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109" w:type="dxa"/>
            <w:tcBorders/>
            <w:shd w:fill="CCEEFF" w:val="clear"/>
            <w:vAlign w:val="center"/>
          </w:tcPr>
          <w:p>
            <w:pPr>
              <w:pStyle w:val="TableContents"/>
              <w:spacing w:before="0" w:after="1"/>
              <w:ind w:left="0" w:right="0" w:hanging="0"/>
              <w:rPr/>
            </w:pPr>
            <w:r>
              <w:rPr/>
              <w:t>​</w:t>
            </w:r>
          </w:p>
        </w:tc>
        <w:tc>
          <w:tcPr>
            <w:tcW w:w="29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(1,182)</w:t>
            </w:r>
          </w:p>
        </w:tc>
      </w:tr>
    </w:tbl>
    <w:p>
      <w:pPr>
        <w:pStyle w:val="TextBody"/>
        <w:pBdr/>
        <w:spacing w:before="0" w:after="240"/>
        <w:ind w:left="0" w:right="0" w:hanging="360"/>
        <w:rPr/>
      </w:pPr>
      <w:r>
        <w:rPr/>
        <w:t>​</w:t>
      </w:r>
    </w:p>
    <w:tbl>
      <w:tblPr>
        <w:tblW w:w="4592" w:type="dxa"/>
        <w:jc w:val="left"/>
        <w:tblInd w:w="0" w:type="dxa"/>
        <w:tblCellMar>
          <w:top w:w="0" w:type="dxa"/>
          <w:left w:w="0" w:type="dxa"/>
          <w:bottom w:w="0" w:type="dxa"/>
          <w:right w:w="0" w:type="dxa"/>
        </w:tblCellMar>
      </w:tblPr>
      <w:tblGrid>
        <w:gridCol w:w="211"/>
        <w:gridCol w:w="4381"/>
      </w:tblGrid>
      <w:tr>
        <w:trPr/>
        <w:tc>
          <w:tcPr>
            <w:tcW w:w="21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w:t>
            </w:r>
          </w:p>
        </w:tc>
        <w:tc>
          <w:tcPr>
            <w:tcW w:w="438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Foreign currency translation adjustments are presented gross.</w:t>
            </w:r>
          </w:p>
        </w:tc>
      </w:tr>
    </w:tbl>
    <w:tbl>
      <w:tblPr>
        <w:tblW w:w="5882" w:type="dxa"/>
        <w:jc w:val="left"/>
        <w:tblInd w:w="0" w:type="dxa"/>
        <w:tblCellMar>
          <w:top w:w="0" w:type="dxa"/>
          <w:left w:w="0" w:type="dxa"/>
          <w:bottom w:w="0" w:type="dxa"/>
          <w:right w:w="0" w:type="dxa"/>
        </w:tblCellMar>
      </w:tblPr>
      <w:tblGrid>
        <w:gridCol w:w="301"/>
        <w:gridCol w:w="5581"/>
      </w:tblGrid>
      <w:tr>
        <w:trPr/>
        <w:tc>
          <w:tcPr>
            <w:tcW w:w="30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w:t>
            </w:r>
          </w:p>
        </w:tc>
        <w:tc>
          <w:tcPr>
            <w:tcW w:w="5581" w:type="dxa"/>
            <w:tcBorders/>
            <w:shd w:fill="auto" w:val="clear"/>
            <w:vAlign w:val="center"/>
          </w:tcPr>
          <w:p>
            <w:pPr>
              <w:pStyle w:val="TableContents"/>
              <w:spacing w:before="0" w:after="0"/>
              <w:rPr>
                <w:rFonts w:ascii="Times New Roman;Times;serif" w:hAnsi="Times New Roman;Times;serif"/>
                <w:sz w:val="16"/>
              </w:rPr>
            </w:pPr>
            <w:r>
              <w:rPr>
                <w:rFonts w:ascii="Times New Roman;Times;serif" w:hAnsi="Times New Roman;Times;serif"/>
                <w:sz w:val="16"/>
              </w:rPr>
              <w:t>No amounts were reclassified from accumulated other comprehensive income.</w:t>
            </w:r>
          </w:p>
        </w:tc>
      </w:tr>
    </w:tbl>
    <w:p>
      <w:pPr>
        <w:pStyle w:val="TextBody"/>
        <w:spacing w:before="0" w:after="240"/>
        <w:ind w:left="0" w:right="0" w:hanging="0"/>
        <w:rPr/>
      </w:pPr>
      <w:r>
        <w:rPr/>
        <w:t>​</w:t>
      </w:r>
    </w:p>
    <w:p>
      <w:pPr>
        <w:pStyle w:val="TextBody"/>
        <w:spacing w:before="0" w:after="240"/>
        <w:ind w:left="0" w:right="0" w:hanging="0"/>
        <w:rPr/>
      </w:pPr>
      <w:bookmarkStart w:id="1124" w:name="_ef25a322_2035_4d59_8ff2_e7b880c65837"/>
      <w:bookmarkStart w:id="1125" w:name="_72ca02d1_7435_4a64_80e0_cbdd75c8a608"/>
      <w:bookmarkStart w:id="1126" w:name="Tc_yPugqDjTnUaWKU-sdXdj4A_10_11"/>
      <w:bookmarkStart w:id="1127" w:name="Tc_gtIF-hbSfEywuOpJQSktCg_10_9"/>
      <w:bookmarkStart w:id="1128" w:name="Tc_tpR-f5m_N0yzr1CnGwe98Q_10_8"/>
      <w:bookmarkStart w:id="1129" w:name="Tc_-ycUmolAWEuXR6RHZOPmTQ_10_5"/>
      <w:bookmarkStart w:id="1130" w:name="Tc_W3hwsgF-20KYuO8KDLBGFg_10_2"/>
      <w:bookmarkStart w:id="1131" w:name="Tc_b_--GI30K06C-9s0QRgH8A_10_0"/>
      <w:bookmarkStart w:id="1132" w:name="Tc_HkxLU0HS9E-oWDFIn0r3QA_9_12"/>
      <w:bookmarkStart w:id="1133" w:name="Tc_clblhYKSVECsER6nFuMWsA_9_9"/>
      <w:bookmarkStart w:id="1134" w:name="Tc_jFD8f8NUT0mSS82-49lwHw_9_0"/>
      <w:bookmarkStart w:id="1135" w:name="Tc_xINRcgBFzEOF_qarKM88ww_8_12"/>
      <w:bookmarkStart w:id="1136" w:name="Tc_cLPWoJfX70GR0yOVdsbIjg_8_9"/>
      <w:bookmarkStart w:id="1137" w:name="Tc_5DWuy3c03kyl3WICbpR4eA_8_6"/>
      <w:bookmarkStart w:id="1138" w:name="Tc_qvLR9XU3LEO9qyaU4BHEQA_7_12"/>
      <w:bookmarkStart w:id="1139" w:name="Tc_1iEfaZkMDkKaTAgnBukg7w_7_9"/>
      <w:bookmarkStart w:id="1140" w:name="Tc_tA0yc0t4ik2X_GY1_X28-w_6_12"/>
      <w:bookmarkStart w:id="1141" w:name="Tc_evdHbZRs4Emi8FmY3Lh4Mg_6_9"/>
      <w:bookmarkStart w:id="1142" w:name="Tc_mHVypUlSlE6cf7YIi_a9IQ_6_6"/>
      <w:bookmarkStart w:id="1143" w:name="Tc_7HjGpPSbkkKq4nIgDFen7w_6_3"/>
      <w:bookmarkStart w:id="1144" w:name="Tc_ehqwj2w0akex17wRQQvKKA_5_12"/>
      <w:bookmarkStart w:id="1145" w:name="Tc_AVwNSnVKskWV1aJooVet8A_5_9"/>
      <w:bookmarkStart w:id="1146" w:name="Tc_3o1fejoUh0iyqpWE_Yz3SA_4_9"/>
      <w:bookmarkStart w:id="1147" w:name="Tc_Ppk3mA7gdECD2MXffT6R3A_3_12"/>
      <w:bookmarkStart w:id="1148" w:name="Tc_V9XU2xnGq0SVRl_wODwSuw_3_11"/>
      <w:bookmarkStart w:id="1149" w:name="Tc_0t-YpcpS4Ey2jSvlX0_u6g_3_9"/>
      <w:bookmarkStart w:id="1150" w:name="Tc__7q7_QTqQUSHIzcslKxrpQ_3_8"/>
      <w:bookmarkStart w:id="1151" w:name="Tc_RYte5Q5rH0iy6bwp7dLGHw_3_5"/>
      <w:bookmarkStart w:id="1152" w:name="Tc_Ly5zSwrFh0eozTjYk2P85A_3_2"/>
      <w:bookmarkStart w:id="1153" w:name="Tc_2MnaQ2XITU-9DiHyGQ8SsA_3_0"/>
      <w:bookmarkStart w:id="1154" w:name="Tc_-a31e1sjLE2vzYYz24InkQ_2_11"/>
      <w:bookmarkStart w:id="1155" w:name="Tc_1DWE78jbLEGkMLzx-KD-CA_2_8"/>
      <w:bookmarkStart w:id="1156" w:name="Tc_yFJVfSV_QkSDsFPV-lDUdg_2_5"/>
      <w:bookmarkStart w:id="1157" w:name="Tc_Oc4y4xbBZU2AiHswTaXshQ_2_2"/>
      <w:bookmarkStart w:id="1158" w:name="Tc_8pFaGLc2x0GrLeO4RSq02A_2_0"/>
      <w:bookmarkStart w:id="1159" w:name="Tc_dfbf6KsMU0upMQCWKwA1Pw_1_8"/>
      <w:bookmarkStart w:id="1160" w:name="Tc_W5L7LQk5H0-Sad3wdZef8Q_1_2"/>
      <w:bookmarkStart w:id="1161" w:name="Tc_X6KytYXvo0G60oejyuiqiA_1_0"/>
      <w:bookmarkStart w:id="1162" w:name="_a626043b_af6a_4b5d_9ce3_a62aafcac447"/>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NOTE 12. RETIREMENT-RELATED BENEFITS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the components of net periodic benefit cost for the retirement-related benefit plans recognized in the Consolidated Income Statement, excluding defined contribution plans, for the three months ended March 31, 2022 and 2021.</w:t>
      </w:r>
    </w:p>
    <w:p>
      <w:pPr>
        <w:pStyle w:val="TextBody"/>
        <w:spacing w:before="0" w:after="240"/>
        <w:ind w:left="0" w:right="0" w:hanging="0"/>
        <w:rPr/>
      </w:pPr>
      <w:r>
        <w:rPr/>
        <w:t>​</w:t>
      </w:r>
    </w:p>
    <w:tbl>
      <w:tblPr>
        <w:tblW w:w="9786" w:type="dxa"/>
        <w:jc w:val="left"/>
        <w:tblInd w:w="0" w:type="dxa"/>
        <w:tblCellMar>
          <w:top w:w="0" w:type="dxa"/>
          <w:left w:w="0" w:type="dxa"/>
          <w:bottom w:w="0" w:type="dxa"/>
          <w:right w:w="0" w:type="dxa"/>
        </w:tblCellMar>
      </w:tblPr>
      <w:tblGrid>
        <w:gridCol w:w="3781"/>
        <w:gridCol w:w="326"/>
        <w:gridCol w:w="310"/>
        <w:gridCol w:w="641"/>
        <w:gridCol w:w="479"/>
        <w:gridCol w:w="310"/>
        <w:gridCol w:w="509"/>
        <w:gridCol w:w="326"/>
        <w:gridCol w:w="440"/>
        <w:gridCol w:w="723"/>
        <w:gridCol w:w="681"/>
        <w:gridCol w:w="440"/>
        <w:gridCol w:w="820"/>
      </w:tblGrid>
      <w:tr>
        <w:trPr/>
        <w:tc>
          <w:tcPr>
            <w:tcW w:w="3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00935" cy="175260"/>
                      <wp:effectExtent l="0" t="0" r="0" b="0"/>
                      <wp:wrapNone/>
                      <wp:docPr id="192" name="Frame192"/>
                      <a:graphic xmlns:a="http://schemas.openxmlformats.org/drawingml/2006/main">
                        <a:graphicData uri="http://schemas.microsoft.com/office/word/2010/wordprocessingShape">
                          <wps:wsp>
                            <wps:cNvSpPr txBox="1"/>
                            <wps:spPr>
                              <a:xfrm>
                                <a:off x="0" y="0"/>
                                <a:ext cx="2400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96850" cy="175260"/>
                      <wp:effectExtent l="0" t="0" r="0" b="0"/>
                      <wp:wrapNone/>
                      <wp:docPr id="194" name="Frame194"/>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07035" cy="175260"/>
                      <wp:effectExtent l="0" t="0" r="0" b="0"/>
                      <wp:wrapNone/>
                      <wp:docPr id="195" name="Frame195"/>
                      <a:graphic xmlns:a="http://schemas.openxmlformats.org/drawingml/2006/main">
                        <a:graphicData uri="http://schemas.microsoft.com/office/word/2010/wordprocessingShape">
                          <wps:wsp>
                            <wps:cNvSpPr txBox="1"/>
                            <wps:spPr>
                              <a:xfrm>
                                <a:off x="0" y="0"/>
                                <a:ext cx="4070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04165" cy="175260"/>
                      <wp:effectExtent l="0" t="0" r="0" b="0"/>
                      <wp:wrapNone/>
                      <wp:docPr id="196" name="Frame196"/>
                      <a:graphic xmlns:a="http://schemas.openxmlformats.org/drawingml/2006/main">
                        <a:graphicData uri="http://schemas.microsoft.com/office/word/2010/wordprocessingShape">
                          <wps:wsp>
                            <wps:cNvSpPr txBox="1"/>
                            <wps:spPr>
                              <a:xfrm>
                                <a:off x="0" y="0"/>
                                <a:ext cx="3041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96850" cy="175260"/>
                      <wp:effectExtent l="0" t="0" r="0" b="0"/>
                      <wp:wrapNone/>
                      <wp:docPr id="197" name="Frame197"/>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23215" cy="175260"/>
                      <wp:effectExtent l="0" t="0" r="0" b="0"/>
                      <wp:wrapNone/>
                      <wp:docPr id="198" name="Frame198"/>
                      <a:graphic xmlns:a="http://schemas.openxmlformats.org/drawingml/2006/main">
                        <a:graphicData uri="http://schemas.microsoft.com/office/word/2010/wordprocessingShape">
                          <wps:wsp>
                            <wps:cNvSpPr txBox="1"/>
                            <wps:spPr>
                              <a:xfrm>
                                <a:off x="0" y="0"/>
                                <a:ext cx="323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79400" cy="175260"/>
                      <wp:effectExtent l="0" t="0" r="0" b="0"/>
                      <wp:wrapNone/>
                      <wp:docPr id="200" name="Frame200"/>
                      <a:graphic xmlns:a="http://schemas.openxmlformats.org/drawingml/2006/main">
                        <a:graphicData uri="http://schemas.microsoft.com/office/word/2010/wordprocessingShape">
                          <wps:wsp>
                            <wps:cNvSpPr txBox="1"/>
                            <wps:spPr>
                              <a:xfrm>
                                <a:off x="0" y="0"/>
                                <a:ext cx="2794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59105" cy="175260"/>
                      <wp:effectExtent l="0" t="0" r="0" b="0"/>
                      <wp:wrapNone/>
                      <wp:docPr id="201" name="Frame201"/>
                      <a:graphic xmlns:a="http://schemas.openxmlformats.org/drawingml/2006/main">
                        <a:graphicData uri="http://schemas.microsoft.com/office/word/2010/wordprocessingShape">
                          <wps:wsp>
                            <wps:cNvSpPr txBox="1"/>
                            <wps:spPr>
                              <a:xfrm>
                                <a:off x="0" y="0"/>
                                <a:ext cx="4591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32435" cy="175260"/>
                      <wp:effectExtent l="0" t="0" r="0" b="0"/>
                      <wp:wrapNone/>
                      <wp:docPr id="202" name="Frame202"/>
                      <a:graphic xmlns:a="http://schemas.openxmlformats.org/drawingml/2006/main">
                        <a:graphicData uri="http://schemas.microsoft.com/office/word/2010/wordprocessingShape">
                          <wps:wsp>
                            <wps:cNvSpPr txBox="1"/>
                            <wps:spPr>
                              <a:xfrm>
                                <a:off x="0" y="0"/>
                                <a:ext cx="432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79400" cy="175260"/>
                      <wp:effectExtent l="0" t="0" r="0" b="0"/>
                      <wp:wrapNone/>
                      <wp:docPr id="203" name="Frame203"/>
                      <a:graphic xmlns:a="http://schemas.openxmlformats.org/drawingml/2006/main">
                        <a:graphicData uri="http://schemas.microsoft.com/office/word/2010/wordprocessingShape">
                          <wps:wsp>
                            <wps:cNvSpPr txBox="1"/>
                            <wps:spPr>
                              <a:xfrm>
                                <a:off x="0" y="0"/>
                                <a:ext cx="2794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20700" cy="175260"/>
                      <wp:effectExtent l="0" t="0" r="0" b="0"/>
                      <wp:wrapNone/>
                      <wp:docPr id="204" name="Frame204"/>
                      <a:graphic xmlns:a="http://schemas.openxmlformats.org/drawingml/2006/main">
                        <a:graphicData uri="http://schemas.microsoft.com/office/word/2010/wordprocessingShape">
                          <wps:wsp>
                            <wps:cNvSpPr txBox="1"/>
                            <wps:spPr>
                              <a:xfrm>
                                <a:off x="0" y="0"/>
                                <a:ext cx="5207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81"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w:t>
            </w:r>
          </w:p>
        </w:tc>
        <w:tc>
          <w:tcPr>
            <w:tcW w:w="224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Defined Benefit Pension Plans</w:t>
            </w:r>
          </w:p>
        </w:tc>
        <w:tc>
          <w:tcPr>
            <w:tcW w:w="326" w:type="dxa"/>
            <w:tcBorders/>
            <w:shd w:fill="auto" w:val="clear"/>
            <w:vAlign w:val="center"/>
          </w:tcPr>
          <w:p>
            <w:pPr>
              <w:pStyle w:val="TableContents"/>
              <w:spacing w:before="0" w:after="1"/>
              <w:ind w:left="0" w:right="0" w:hanging="0"/>
              <w:rPr/>
            </w:pPr>
            <w:r>
              <w:rPr/>
              <w:t>​</w:t>
            </w:r>
          </w:p>
        </w:tc>
        <w:tc>
          <w:tcPr>
            <w:tcW w:w="310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Nonpension Postretirement Benefit Plans</w:t>
            </w:r>
          </w:p>
        </w:tc>
      </w:tr>
      <w:tr>
        <w:trPr/>
        <w:tc>
          <w:tcPr>
            <w:tcW w:w="378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For the three months ended March 31:</w:t>
            </w:r>
          </w:p>
        </w:tc>
        <w:tc>
          <w:tcPr>
            <w:tcW w:w="326" w:type="dxa"/>
            <w:tcBorders/>
            <w:shd w:fill="auto" w:val="clear"/>
            <w:vAlign w:val="center"/>
          </w:tcPr>
          <w:p>
            <w:pPr>
              <w:pStyle w:val="TableContents"/>
              <w:spacing w:before="0" w:after="1"/>
              <w:ind w:left="0" w:right="0" w:hanging="0"/>
              <w:rPr/>
            </w:pPr>
            <w:r>
              <w:rPr/>
              <w:t>    </w:t>
            </w:r>
          </w:p>
        </w:tc>
        <w:tc>
          <w:tcPr>
            <w:tcW w:w="9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79" w:type="dxa"/>
            <w:tcBorders/>
            <w:shd w:fill="auto" w:val="clear"/>
            <w:vAlign w:val="center"/>
          </w:tcPr>
          <w:p>
            <w:pPr>
              <w:pStyle w:val="TableContents"/>
              <w:spacing w:before="0" w:after="1"/>
              <w:ind w:left="0" w:right="0" w:hanging="0"/>
              <w:rPr/>
            </w:pPr>
            <w:r>
              <w:rPr/>
              <w:t>    </w:t>
            </w:r>
          </w:p>
        </w:tc>
        <w:tc>
          <w:tcPr>
            <w:tcW w:w="81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163"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681" w:type="dxa"/>
            <w:tcBorders/>
            <w:shd w:fill="auto" w:val="clear"/>
            <w:vAlign w:val="center"/>
          </w:tcPr>
          <w:p>
            <w:pPr>
              <w:pStyle w:val="TableContents"/>
              <w:spacing w:before="0" w:after="1"/>
              <w:ind w:left="0" w:right="0" w:hanging="0"/>
              <w:rPr/>
            </w:pPr>
            <w:r>
              <w:rPr/>
              <w:t>    </w:t>
            </w:r>
          </w:p>
        </w:tc>
        <w:tc>
          <w:tcPr>
            <w:tcW w:w="126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Service cost</w:t>
            </w:r>
          </w:p>
        </w:tc>
        <w:tc>
          <w:tcPr>
            <w:tcW w:w="326" w:type="dxa"/>
            <w:tcBorders/>
            <w:shd w:fill="CCEEFF" w:val="clear"/>
            <w:vAlign w:val="center"/>
          </w:tcPr>
          <w:p>
            <w:pPr>
              <w:pStyle w:val="TableContents"/>
              <w:spacing w:before="0" w:after="1"/>
              <w:ind w:left="0" w:right="0" w:hanging="0"/>
              <w:rPr/>
            </w:pPr>
            <w:r>
              <w:rPr/>
              <w:t> </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479" w:type="dxa"/>
            <w:tcBorders/>
            <w:shd w:fill="CCEEFF" w:val="clear"/>
            <w:vAlign w:val="center"/>
          </w:tcPr>
          <w:p>
            <w:pPr>
              <w:pStyle w:val="TableContents"/>
              <w:spacing w:before="0" w:after="1"/>
              <w:ind w:left="0" w:right="0" w:hanging="0"/>
              <w:rPr/>
            </w:pPr>
            <w:r>
              <w:rPr/>
              <w:t> </w:t>
            </w:r>
          </w:p>
        </w:tc>
        <w:tc>
          <w:tcPr>
            <w:tcW w:w="31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spacing w:before="0" w:after="1"/>
              <w:ind w:left="0" w:right="0" w:hanging="0"/>
              <w:rPr/>
            </w:pPr>
            <w:r>
              <w:rPr/>
              <w:t> </w:t>
            </w:r>
          </w:p>
        </w:tc>
        <w:tc>
          <w:tcPr>
            <w:tcW w:w="44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spacing w:before="0" w:after="1"/>
              <w:ind w:left="0" w:right="0" w:hanging="0"/>
              <w:jc w:val="right"/>
              <w:rPr/>
            </w:pPr>
            <w:r>
              <w:rPr/>
              <w:t>—</w:t>
            </w:r>
          </w:p>
        </w:tc>
        <w:tc>
          <w:tcPr>
            <w:tcW w:w="681" w:type="dxa"/>
            <w:tcBorders/>
            <w:shd w:fill="CCEEFF" w:val="clear"/>
            <w:vAlign w:val="center"/>
          </w:tcPr>
          <w:p>
            <w:pPr>
              <w:pStyle w:val="TableContents"/>
              <w:spacing w:before="0" w:after="1"/>
              <w:ind w:left="0" w:right="0" w:hanging="0"/>
              <w:rPr/>
            </w:pPr>
            <w:r>
              <w:rPr/>
              <w:t> </w:t>
            </w:r>
          </w:p>
        </w:tc>
        <w:tc>
          <w:tcPr>
            <w:tcW w:w="44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0" w:type="dxa"/>
            <w:tcBorders/>
            <w:shd w:fill="CCEEFF" w:val="clear"/>
            <w:vAlign w:val="center"/>
          </w:tcPr>
          <w:p>
            <w:pPr>
              <w:pStyle w:val="TableContents"/>
              <w:spacing w:before="0" w:after="1"/>
              <w:ind w:left="0" w:right="0" w:hanging="0"/>
              <w:jc w:val="right"/>
              <w:rPr/>
            </w:pPr>
            <w:r>
              <w:rPr/>
              <w:t>—</w:t>
            </w:r>
          </w:p>
        </w:tc>
      </w:tr>
      <w:tr>
        <w:trPr/>
        <w:tc>
          <w:tcPr>
            <w:tcW w:w="378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Interest cost</w:t>
            </w:r>
            <w:r>
              <w:rPr>
                <w:rFonts w:ascii="Times New Roman;Times;serif" w:hAnsi="Times New Roman;Times;serif"/>
                <w:b w:val="false"/>
                <w:i w:val="false"/>
                <w:caps w:val="false"/>
                <w:smallCaps w:val="false"/>
                <w:sz w:val="15"/>
              </w:rPr>
              <w:t>(1)</w:t>
            </w:r>
          </w:p>
        </w:tc>
        <w:tc>
          <w:tcPr>
            <w:tcW w:w="326"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 </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7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 </w:t>
            </w:r>
          </w:p>
        </w:tc>
        <w:tc>
          <w:tcPr>
            <w:tcW w:w="50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1"/>
              <w:ind w:left="0" w:right="0" w:hanging="0"/>
              <w:rPr/>
            </w:pPr>
            <w:r>
              <w:rPr/>
              <w:t>​</w:t>
            </w:r>
          </w:p>
        </w:tc>
        <w:tc>
          <w:tcPr>
            <w:tcW w:w="440" w:type="dxa"/>
            <w:tcBorders/>
            <w:shd w:fill="auto" w:val="clear"/>
            <w:vAlign w:val="center"/>
          </w:tcPr>
          <w:p>
            <w:pPr>
              <w:pStyle w:val="TableContents"/>
              <w:spacing w:before="0" w:after="1"/>
              <w:ind w:left="0" w:right="0" w:hanging="0"/>
              <w:rPr/>
            </w:pPr>
            <w:r>
              <w:rPr/>
              <w:t> </w:t>
            </w:r>
          </w:p>
        </w:tc>
        <w:tc>
          <w:tcPr>
            <w:tcW w:w="723" w:type="dxa"/>
            <w:tcBorders/>
            <w:shd w:fill="auto" w:val="clear"/>
            <w:vAlign w:val="center"/>
          </w:tcPr>
          <w:p>
            <w:pPr>
              <w:pStyle w:val="TableContents"/>
              <w:spacing w:before="0" w:after="1"/>
              <w:ind w:left="0" w:right="0" w:hanging="0"/>
              <w:jc w:val="right"/>
              <w:rPr/>
            </w:pPr>
            <w:r>
              <w:rPr/>
              <w:t>—</w:t>
            </w:r>
          </w:p>
        </w:tc>
        <w:tc>
          <w:tcPr>
            <w:tcW w:w="681" w:type="dxa"/>
            <w:tcBorders/>
            <w:shd w:fill="auto" w:val="clear"/>
            <w:vAlign w:val="center"/>
          </w:tcPr>
          <w:p>
            <w:pPr>
              <w:pStyle w:val="TableContents"/>
              <w:spacing w:before="0" w:after="1"/>
              <w:ind w:left="0" w:right="0" w:hanging="0"/>
              <w:rPr/>
            </w:pPr>
            <w:r>
              <w:rPr/>
              <w:t>​</w:t>
            </w:r>
          </w:p>
        </w:tc>
        <w:tc>
          <w:tcPr>
            <w:tcW w:w="440"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8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Expected return on plan assets</w:t>
            </w:r>
            <w:r>
              <w:rPr>
                <w:rFonts w:ascii="Times New Roman;Times;serif" w:hAnsi="Times New Roman;Times;serif"/>
                <w:b w:val="false"/>
                <w:i w:val="false"/>
                <w:caps w:val="false"/>
                <w:smallCaps w:val="false"/>
                <w:sz w:val="15"/>
              </w:rPr>
              <w:t>(1)</w:t>
            </w:r>
          </w:p>
        </w:tc>
        <w:tc>
          <w:tcPr>
            <w:tcW w:w="326"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 </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47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 </w:t>
            </w:r>
          </w:p>
        </w:tc>
        <w:tc>
          <w:tcPr>
            <w:tcW w:w="5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spacing w:before="0" w:after="1"/>
              <w:ind w:left="0" w:right="0" w:hanging="0"/>
              <w:rPr/>
            </w:pPr>
            <w:r>
              <w:rPr/>
              <w:t>​</w:t>
            </w:r>
          </w:p>
        </w:tc>
        <w:tc>
          <w:tcPr>
            <w:tcW w:w="440" w:type="dxa"/>
            <w:tcBorders/>
            <w:shd w:fill="CCEEFF" w:val="clear"/>
            <w:vAlign w:val="center"/>
          </w:tcPr>
          <w:p>
            <w:pPr>
              <w:pStyle w:val="TableContents"/>
              <w:spacing w:before="0" w:after="1"/>
              <w:ind w:left="0" w:right="0" w:hanging="0"/>
              <w:rPr/>
            </w:pPr>
            <w:r>
              <w:rPr/>
              <w:t> </w:t>
            </w:r>
          </w:p>
        </w:tc>
        <w:tc>
          <w:tcPr>
            <w:tcW w:w="723" w:type="dxa"/>
            <w:tcBorders/>
            <w:shd w:fill="CCEEFF" w:val="clear"/>
            <w:vAlign w:val="center"/>
          </w:tcPr>
          <w:p>
            <w:pPr>
              <w:pStyle w:val="TableContents"/>
              <w:spacing w:before="0" w:after="1"/>
              <w:ind w:left="0" w:right="0" w:hanging="0"/>
              <w:jc w:val="right"/>
              <w:rPr/>
            </w:pPr>
            <w:r>
              <w:rPr/>
              <w:t>—</w:t>
            </w:r>
          </w:p>
        </w:tc>
        <w:tc>
          <w:tcPr>
            <w:tcW w:w="681" w:type="dxa"/>
            <w:tcBorders/>
            <w:shd w:fill="CCEEFF" w:val="clear"/>
            <w:vAlign w:val="center"/>
          </w:tcPr>
          <w:p>
            <w:pPr>
              <w:pStyle w:val="TableContents"/>
              <w:spacing w:before="0" w:after="1"/>
              <w:ind w:left="0" w:right="0" w:hanging="0"/>
              <w:rPr/>
            </w:pPr>
            <w:r>
              <w:rPr/>
              <w:t>​</w:t>
            </w:r>
          </w:p>
        </w:tc>
        <w:tc>
          <w:tcPr>
            <w:tcW w:w="440"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pPr>
            <w:r>
              <w:rPr/>
              <w:t>—</w:t>
            </w:r>
          </w:p>
        </w:tc>
      </w:tr>
      <w:tr>
        <w:trPr/>
        <w:tc>
          <w:tcPr>
            <w:tcW w:w="378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Amortization of prior service costs (credits)</w:t>
            </w:r>
            <w:r>
              <w:rPr>
                <w:rFonts w:ascii="Times New Roman;Times;serif" w:hAnsi="Times New Roman;Times;serif"/>
                <w:b w:val="false"/>
                <w:i w:val="false"/>
                <w:caps w:val="false"/>
                <w:smallCaps w:val="false"/>
                <w:sz w:val="15"/>
              </w:rPr>
              <w:t>(1)</w:t>
            </w:r>
          </w:p>
        </w:tc>
        <w:tc>
          <w:tcPr>
            <w:tcW w:w="326"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 </w:t>
            </w:r>
          </w:p>
        </w:tc>
        <w:tc>
          <w:tcPr>
            <w:tcW w:w="641" w:type="dxa"/>
            <w:tcBorders/>
            <w:shd w:fill="auto" w:val="clear"/>
            <w:vAlign w:val="center"/>
          </w:tcPr>
          <w:p>
            <w:pPr>
              <w:pStyle w:val="TableContents"/>
              <w:spacing w:before="0" w:after="1"/>
              <w:ind w:left="0" w:right="0" w:hanging="0"/>
              <w:jc w:val="right"/>
              <w:rPr/>
            </w:pPr>
            <w:r>
              <w:rPr/>
              <w:t>—</w:t>
            </w:r>
          </w:p>
        </w:tc>
        <w:tc>
          <w:tcPr>
            <w:tcW w:w="47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 </w:t>
            </w:r>
          </w:p>
        </w:tc>
        <w:tc>
          <w:tcPr>
            <w:tcW w:w="50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40" w:type="dxa"/>
            <w:tcBorders/>
            <w:shd w:fill="auto" w:val="clear"/>
            <w:vAlign w:val="center"/>
          </w:tcPr>
          <w:p>
            <w:pPr>
              <w:pStyle w:val="TableContents"/>
              <w:spacing w:before="0" w:after="1"/>
              <w:ind w:left="0" w:right="0" w:hanging="0"/>
              <w:rPr/>
            </w:pPr>
            <w:r>
              <w:rPr/>
              <w:t> </w:t>
            </w:r>
          </w:p>
        </w:tc>
        <w:tc>
          <w:tcPr>
            <w:tcW w:w="723" w:type="dxa"/>
            <w:tcBorders/>
            <w:shd w:fill="auto" w:val="clear"/>
            <w:vAlign w:val="center"/>
          </w:tcPr>
          <w:p>
            <w:pPr>
              <w:pStyle w:val="TableContents"/>
              <w:spacing w:before="0" w:after="1"/>
              <w:ind w:left="0" w:right="0" w:hanging="0"/>
              <w:jc w:val="right"/>
              <w:rPr/>
            </w:pPr>
            <w:r>
              <w:rPr/>
              <w:t>—</w:t>
            </w:r>
          </w:p>
        </w:tc>
        <w:tc>
          <w:tcPr>
            <w:tcW w:w="681" w:type="dxa"/>
            <w:tcBorders/>
            <w:shd w:fill="auto" w:val="clear"/>
            <w:vAlign w:val="center"/>
          </w:tcPr>
          <w:p>
            <w:pPr>
              <w:pStyle w:val="TableContents"/>
              <w:spacing w:before="0" w:after="1"/>
              <w:ind w:left="0" w:right="0" w:hanging="0"/>
              <w:rPr/>
            </w:pPr>
            <w:r>
              <w:rPr/>
              <w:t>​</w:t>
            </w:r>
          </w:p>
        </w:tc>
        <w:tc>
          <w:tcPr>
            <w:tcW w:w="440" w:type="dxa"/>
            <w:tcBorders/>
            <w:shd w:fill="auto" w:val="clear"/>
            <w:vAlign w:val="center"/>
          </w:tcPr>
          <w:p>
            <w:pPr>
              <w:pStyle w:val="TableContents"/>
              <w:spacing w:before="0" w:after="1"/>
              <w:ind w:left="0" w:right="0" w:hanging="0"/>
              <w:rPr/>
            </w:pPr>
            <w:r>
              <w:rPr/>
              <w:t> </w:t>
            </w:r>
          </w:p>
        </w:tc>
        <w:tc>
          <w:tcPr>
            <w:tcW w:w="820" w:type="dxa"/>
            <w:tcBorders/>
            <w:shd w:fill="auto" w:val="clear"/>
            <w:vAlign w:val="center"/>
          </w:tcPr>
          <w:p>
            <w:pPr>
              <w:pStyle w:val="TableContents"/>
              <w:spacing w:before="0" w:after="1"/>
              <w:ind w:left="0" w:right="0" w:hanging="0"/>
              <w:jc w:val="right"/>
              <w:rPr/>
            </w:pPr>
            <w:r>
              <w:rPr/>
              <w:t>—</w:t>
            </w:r>
          </w:p>
        </w:tc>
      </w:tr>
      <w:tr>
        <w:trPr/>
        <w:tc>
          <w:tcPr>
            <w:tcW w:w="378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Recognized actuarial losses (gains)</w:t>
            </w:r>
            <w:r>
              <w:rPr>
                <w:rFonts w:ascii="Times New Roman;Times;serif" w:hAnsi="Times New Roman;Times;serif"/>
                <w:b w:val="false"/>
                <w:i w:val="false"/>
                <w:caps w:val="false"/>
                <w:smallCaps w:val="false"/>
                <w:sz w:val="15"/>
              </w:rPr>
              <w:t>(1)</w:t>
            </w:r>
          </w:p>
        </w:tc>
        <w:tc>
          <w:tcPr>
            <w:tcW w:w="326"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 </w:t>
            </w:r>
          </w:p>
        </w:tc>
        <w:tc>
          <w:tcPr>
            <w:tcW w:w="64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79" w:type="dxa"/>
            <w:tcBorders/>
            <w:shd w:fill="CCEEFF" w:val="clear"/>
            <w:vAlign w:val="center"/>
          </w:tcPr>
          <w:p>
            <w:pPr>
              <w:pStyle w:val="TableContents"/>
              <w:spacing w:before="0" w:after="1"/>
              <w:ind w:left="0" w:right="0" w:hanging="0"/>
              <w:rPr/>
            </w:pPr>
            <w:r>
              <w:rPr/>
              <w:t>​</w:t>
            </w:r>
          </w:p>
        </w:tc>
        <w:tc>
          <w:tcPr>
            <w:tcW w:w="310" w:type="dxa"/>
            <w:tcBorders/>
            <w:shd w:fill="CCEEFF" w:val="clear"/>
            <w:vAlign w:val="center"/>
          </w:tcPr>
          <w:p>
            <w:pPr>
              <w:pStyle w:val="TableContents"/>
              <w:spacing w:before="0" w:after="1"/>
              <w:ind w:left="0" w:right="0" w:hanging="0"/>
              <w:rPr/>
            </w:pPr>
            <w:r>
              <w:rPr/>
              <w:t> </w:t>
            </w:r>
          </w:p>
        </w:tc>
        <w:tc>
          <w:tcPr>
            <w:tcW w:w="50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spacing w:before="0" w:after="1"/>
              <w:ind w:left="0" w:right="0" w:hanging="0"/>
              <w:rPr/>
            </w:pPr>
            <w:r>
              <w:rPr/>
              <w:t>​</w:t>
            </w:r>
          </w:p>
        </w:tc>
        <w:tc>
          <w:tcPr>
            <w:tcW w:w="440" w:type="dxa"/>
            <w:tcBorders/>
            <w:shd w:fill="CCEEFF" w:val="clear"/>
            <w:vAlign w:val="center"/>
          </w:tcPr>
          <w:p>
            <w:pPr>
              <w:pStyle w:val="TableContents"/>
              <w:spacing w:before="0" w:after="1"/>
              <w:ind w:left="0" w:right="0" w:hanging="0"/>
              <w:rPr/>
            </w:pPr>
            <w:r>
              <w:rPr/>
              <w:t> </w:t>
            </w:r>
          </w:p>
        </w:tc>
        <w:tc>
          <w:tcPr>
            <w:tcW w:w="723" w:type="dxa"/>
            <w:tcBorders/>
            <w:shd w:fill="CCEEFF" w:val="clear"/>
            <w:vAlign w:val="center"/>
          </w:tcPr>
          <w:p>
            <w:pPr>
              <w:pStyle w:val="TableContents"/>
              <w:spacing w:before="0" w:after="1"/>
              <w:ind w:left="0" w:right="0" w:hanging="0"/>
              <w:jc w:val="right"/>
              <w:rPr/>
            </w:pPr>
            <w:r>
              <w:rPr/>
              <w:t>—</w:t>
            </w:r>
          </w:p>
        </w:tc>
        <w:tc>
          <w:tcPr>
            <w:tcW w:w="681" w:type="dxa"/>
            <w:tcBorders/>
            <w:shd w:fill="CCEEFF" w:val="clear"/>
            <w:vAlign w:val="center"/>
          </w:tcPr>
          <w:p>
            <w:pPr>
              <w:pStyle w:val="TableContents"/>
              <w:spacing w:before="0" w:after="1"/>
              <w:ind w:left="0" w:right="0" w:hanging="0"/>
              <w:rPr/>
            </w:pPr>
            <w:r>
              <w:rPr/>
              <w:t>​</w:t>
            </w:r>
          </w:p>
        </w:tc>
        <w:tc>
          <w:tcPr>
            <w:tcW w:w="440" w:type="dxa"/>
            <w:tcBorders/>
            <w:shd w:fill="CCEEFF" w:val="clear"/>
            <w:vAlign w:val="center"/>
          </w:tcPr>
          <w:p>
            <w:pPr>
              <w:pStyle w:val="TableContents"/>
              <w:spacing w:before="0" w:after="1"/>
              <w:ind w:left="0" w:right="0" w:hanging="0"/>
              <w:rPr/>
            </w:pPr>
            <w:r>
              <w:rPr/>
              <w:t> </w:t>
            </w:r>
          </w:p>
        </w:tc>
        <w:tc>
          <w:tcPr>
            <w:tcW w:w="820" w:type="dxa"/>
            <w:tcBorders/>
            <w:shd w:fill="CCEEFF" w:val="clear"/>
            <w:vAlign w:val="center"/>
          </w:tcPr>
          <w:p>
            <w:pPr>
              <w:pStyle w:val="TableContents"/>
              <w:spacing w:before="0" w:after="1"/>
              <w:ind w:left="0" w:right="0" w:hanging="0"/>
              <w:jc w:val="right"/>
              <w:rPr/>
            </w:pPr>
            <w:r>
              <w:rPr/>
              <w:t>—</w:t>
            </w:r>
          </w:p>
        </w:tc>
      </w:tr>
      <w:tr>
        <w:trPr/>
        <w:tc>
          <w:tcPr>
            <w:tcW w:w="3781" w:type="dxa"/>
            <w:tcBorders/>
            <w:shd w:fill="auto"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b w:val="false"/>
                <w:i w:val="false"/>
                <w:caps w:val="false"/>
                <w:smallCaps w:val="false"/>
                <w:sz w:val="20"/>
              </w:rPr>
              <w:t>Curtailments and settlements</w:t>
            </w:r>
            <w:r>
              <w:rPr>
                <w:rFonts w:ascii="Times New Roman;Times;serif" w:hAnsi="Times New Roman;Times;serif"/>
                <w:b w:val="false"/>
                <w:i w:val="false"/>
                <w:caps w:val="false"/>
                <w:smallCaps w:val="false"/>
                <w:sz w:val="15"/>
              </w:rPr>
              <w:t>(1)</w:t>
            </w:r>
          </w:p>
        </w:tc>
        <w:tc>
          <w:tcPr>
            <w:tcW w:w="326"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64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79" w:type="dxa"/>
            <w:tcBorders/>
            <w:shd w:fill="auto" w:val="clear"/>
            <w:vAlign w:val="center"/>
          </w:tcPr>
          <w:p>
            <w:pPr>
              <w:pStyle w:val="TableContents"/>
              <w:spacing w:before="0" w:after="1"/>
              <w:ind w:left="0" w:right="0" w:hanging="0"/>
              <w:rPr/>
            </w:pPr>
            <w:r>
              <w:rPr/>
              <w:t>​</w:t>
            </w:r>
          </w:p>
        </w:tc>
        <w:tc>
          <w:tcPr>
            <w:tcW w:w="310" w:type="dxa"/>
            <w:tcBorders/>
            <w:shd w:fill="auto" w:val="clear"/>
            <w:vAlign w:val="center"/>
          </w:tcPr>
          <w:p>
            <w:pPr>
              <w:pStyle w:val="TableContents"/>
              <w:spacing w:before="0" w:after="1"/>
              <w:ind w:left="0" w:right="0" w:hanging="0"/>
              <w:rPr/>
            </w:pPr>
            <w:r>
              <w:rPr/>
              <w:t>​</w:t>
            </w:r>
          </w:p>
        </w:tc>
        <w:tc>
          <w:tcPr>
            <w:tcW w:w="50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440" w:type="dxa"/>
            <w:tcBorders/>
            <w:shd w:fill="auto" w:val="clear"/>
            <w:vAlign w:val="center"/>
          </w:tcPr>
          <w:p>
            <w:pPr>
              <w:pStyle w:val="TableContents"/>
              <w:spacing w:before="0" w:after="1"/>
              <w:ind w:left="0" w:right="0" w:hanging="0"/>
              <w:rPr/>
            </w:pPr>
            <w:r>
              <w:rPr/>
              <w:t>​</w:t>
            </w:r>
          </w:p>
        </w:tc>
        <w:tc>
          <w:tcPr>
            <w:tcW w:w="723" w:type="dxa"/>
            <w:tcBorders/>
            <w:shd w:fill="auto" w:val="clear"/>
            <w:vAlign w:val="center"/>
          </w:tcPr>
          <w:p>
            <w:pPr>
              <w:pStyle w:val="TableContents"/>
              <w:spacing w:before="0" w:after="1"/>
              <w:ind w:left="0" w:right="0" w:hanging="0"/>
              <w:jc w:val="right"/>
              <w:rPr/>
            </w:pPr>
            <w:r>
              <w:rPr/>
              <w:t>—</w:t>
            </w:r>
          </w:p>
        </w:tc>
        <w:tc>
          <w:tcPr>
            <w:tcW w:w="681" w:type="dxa"/>
            <w:tcBorders/>
            <w:shd w:fill="auto" w:val="clear"/>
            <w:vAlign w:val="center"/>
          </w:tcPr>
          <w:p>
            <w:pPr>
              <w:pStyle w:val="TableContents"/>
              <w:spacing w:before="0" w:after="1"/>
              <w:ind w:left="0" w:right="0" w:hanging="0"/>
              <w:rPr/>
            </w:pPr>
            <w:r>
              <w:rPr/>
              <w:t>​</w:t>
            </w:r>
          </w:p>
        </w:tc>
        <w:tc>
          <w:tcPr>
            <w:tcW w:w="440" w:type="dxa"/>
            <w:tcBorders/>
            <w:shd w:fill="auto" w:val="clear"/>
            <w:vAlign w:val="center"/>
          </w:tcPr>
          <w:p>
            <w:pPr>
              <w:pStyle w:val="TableContents"/>
              <w:spacing w:before="0" w:after="1"/>
              <w:ind w:left="0" w:right="0" w:hanging="0"/>
              <w:rPr/>
            </w:pPr>
            <w:r>
              <w:rPr/>
              <w:t>​</w:t>
            </w:r>
          </w:p>
        </w:tc>
        <w:tc>
          <w:tcPr>
            <w:tcW w:w="820" w:type="dxa"/>
            <w:tcBorders/>
            <w:shd w:fill="auto" w:val="clear"/>
            <w:vAlign w:val="center"/>
          </w:tcPr>
          <w:p>
            <w:pPr>
              <w:pStyle w:val="TableContents"/>
              <w:spacing w:before="0" w:after="1"/>
              <w:ind w:left="0" w:right="0" w:hanging="0"/>
              <w:jc w:val="right"/>
              <w:rPr/>
            </w:pPr>
            <w:r>
              <w:rPr/>
              <w:t>—</w:t>
            </w:r>
          </w:p>
        </w:tc>
      </w:tr>
      <w:tr>
        <w:trPr/>
        <w:tc>
          <w:tcPr>
            <w:tcW w:w="3781" w:type="dxa"/>
            <w:tcBorders/>
            <w:shd w:fill="CCEEFF" w:val="clear"/>
            <w:vAlign w:val="center"/>
          </w:tcPr>
          <w:p>
            <w:pPr>
              <w:pStyle w:val="TableContents"/>
              <w:spacing w:lineRule="auto" w:line="240" w:before="0" w:after="1"/>
              <w:ind w:left="0" w:right="0" w:hanging="0"/>
              <w:rPr>
                <w:rFonts w:ascii="Times New Roman;Times;serif" w:hAnsi="Times New Roman;Times;serif"/>
                <w:sz w:val="20"/>
              </w:rPr>
            </w:pPr>
            <w:r>
              <w:rPr>
                <w:rFonts w:ascii="Times New Roman;Times;serif" w:hAnsi="Times New Roman;Times;serif"/>
                <w:sz w:val="20"/>
              </w:rPr>
              <w:t>Multi-employer plans and other costs</w:t>
            </w:r>
            <w:r>
              <w:rPr>
                <w:rFonts w:ascii="Times New Roman;Times;serif" w:hAnsi="Times New Roman;Times;serif"/>
                <w:sz w:val="15"/>
              </w:rPr>
              <w:t>(2)</w:t>
            </w:r>
          </w:p>
        </w:tc>
        <w:tc>
          <w:tcPr>
            <w:tcW w:w="326" w:type="dxa"/>
            <w:tcBorders/>
            <w:shd w:fill="CCEEFF" w:val="clear"/>
            <w:vAlign w:val="center"/>
          </w:tcPr>
          <w:p>
            <w:pPr>
              <w:pStyle w:val="TableContents"/>
              <w:spacing w:before="0" w:after="1"/>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479" w:type="dxa"/>
            <w:tcBorders/>
            <w:shd w:fill="CCEEFF" w:val="clear"/>
            <w:vAlign w:val="center"/>
          </w:tcPr>
          <w:p>
            <w:pPr>
              <w:pStyle w:val="TableContents"/>
              <w:spacing w:before="0" w:after="1"/>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0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1"/>
              <w:ind w:left="0" w:right="0" w:hanging="0"/>
              <w:rPr/>
            </w:pPr>
            <w:r>
              <w:rPr/>
              <w:t>​</w:t>
            </w:r>
          </w:p>
        </w:tc>
        <w:tc>
          <w:tcPr>
            <w:tcW w:w="44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2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681" w:type="dxa"/>
            <w:tcBorders/>
            <w:shd w:fill="CCEEFF" w:val="clear"/>
            <w:vAlign w:val="center"/>
          </w:tcPr>
          <w:p>
            <w:pPr>
              <w:pStyle w:val="TableContents"/>
              <w:spacing w:before="0" w:after="1"/>
              <w:ind w:left="0" w:right="0" w:hanging="0"/>
              <w:rPr/>
            </w:pPr>
            <w:r>
              <w:rPr/>
              <w:t>​</w:t>
            </w:r>
          </w:p>
        </w:tc>
        <w:tc>
          <w:tcPr>
            <w:tcW w:w="440"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78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periodic benefit cost</w:t>
            </w:r>
          </w:p>
        </w:tc>
        <w:tc>
          <w:tcPr>
            <w:tcW w:w="326" w:type="dxa"/>
            <w:tcBorders/>
            <w:shd w:fill="auto" w:val="clear"/>
            <w:vAlign w:val="center"/>
          </w:tcPr>
          <w:p>
            <w:pPr>
              <w:pStyle w:val="TableContents"/>
              <w:spacing w:before="0" w:after="1"/>
              <w:ind w:left="0" w:right="0" w:hanging="0"/>
              <w:rPr/>
            </w:pPr>
            <w:r>
              <w:rPr/>
              <w:t> </w:t>
            </w:r>
          </w:p>
        </w:tc>
        <w:tc>
          <w:tcPr>
            <w:tcW w:w="31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479" w:type="dxa"/>
            <w:tcBorders/>
            <w:shd w:fill="auto" w:val="clear"/>
            <w:vAlign w:val="center"/>
          </w:tcPr>
          <w:p>
            <w:pPr>
              <w:pStyle w:val="TableContents"/>
              <w:spacing w:before="0" w:after="1"/>
              <w:ind w:left="0" w:right="0" w:hanging="0"/>
              <w:rPr/>
            </w:pPr>
            <w:r>
              <w:rPr/>
              <w:t> </w:t>
            </w:r>
          </w:p>
        </w:tc>
        <w:tc>
          <w:tcPr>
            <w:tcW w:w="31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0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1"/>
              <w:ind w:left="0" w:right="0" w:hanging="0"/>
              <w:rPr/>
            </w:pPr>
            <w:r>
              <w:rPr/>
              <w:t> </w:t>
            </w:r>
          </w:p>
        </w:tc>
        <w:tc>
          <w:tcPr>
            <w:tcW w:w="44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681" w:type="dxa"/>
            <w:tcBorders/>
            <w:shd w:fill="auto" w:val="clear"/>
            <w:vAlign w:val="center"/>
          </w:tcPr>
          <w:p>
            <w:pPr>
              <w:pStyle w:val="TableContents"/>
              <w:spacing w:before="0" w:after="1"/>
              <w:ind w:left="0" w:right="0" w:hanging="0"/>
              <w:rPr/>
            </w:pPr>
            <w:r>
              <w:rPr/>
              <w:t> </w:t>
            </w:r>
          </w:p>
        </w:tc>
        <w:tc>
          <w:tcPr>
            <w:tcW w:w="44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20" w:type="dxa"/>
            <w:tcBorders>
              <w:bottom w:val="double" w:sz="6" w:space="0" w:color="000000"/>
            </w:tcBorders>
            <w:shd w:fill="auto" w:val="clear"/>
            <w:tcMar>
              <w:bottom w:w="28" w:type="dxa"/>
            </w:tcM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1</w:t>
            </w:r>
          </w:p>
        </w:tc>
      </w:tr>
    </w:tbl>
    <w:tbl>
      <w:tblPr>
        <w:tblW w:w="9452" w:type="dxa"/>
        <w:jc w:val="left"/>
        <w:tblInd w:w="0" w:type="dxa"/>
        <w:tblCellMar>
          <w:top w:w="0" w:type="dxa"/>
          <w:left w:w="0" w:type="dxa"/>
          <w:bottom w:w="0" w:type="dxa"/>
          <w:right w:w="0" w:type="dxa"/>
        </w:tblCellMar>
      </w:tblPr>
      <w:tblGrid>
        <w:gridCol w:w="331"/>
        <w:gridCol w:w="9121"/>
      </w:tblGrid>
      <w:tr>
        <w:trPr/>
        <w:tc>
          <w:tcPr>
            <w:tcW w:w="331"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(1)</w:t>
            </w:r>
          </w:p>
        </w:tc>
        <w:tc>
          <w:tcPr>
            <w:tcW w:w="912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These components of net periodic benefit cost are included in other (income) and expense in the Consolidated Income Statement.</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(2)</w:t>
            </w:r>
          </w:p>
        </w:tc>
        <w:tc>
          <w:tcPr>
            <w:tcW w:w="990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16"/>
              </w:rPr>
              <w:t>Multi-employer plan costs represent required contributions for the period to multi-employer plans, which are plans sponsored by third parties. The Company recognizes expense in connection with multi-employer plans as operating costs as contributions are funded.</w:t>
            </w:r>
            <w:r>
              <w:rPr>
                <w:caps w:val="false"/>
                <w:smallCaps w:val="false"/>
              </w:rPr>
              <w:t xml:space="preserve"> </w:t>
            </w:r>
          </w:p>
        </w:tc>
      </w:tr>
    </w:tbl>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During the three months ended March 31, 2022, Company contributions paid to the defined benefit pension plans, multi-employer plans and nonpension postretirement benefit plans were not significantly different from amounts previously disclosed in our 2021 Annual Report.</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estimates contributions to its defined benefit pension plans, multi-employer plans and nonpension postretirement benefit plans for fiscal year 2023 to be approximately $27 million. These amounts generally represents legally mandated minimum contributions.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change to the fiscal year-end to March 31 from December 31, the Company performed an interim remeasurement of our retirement-related benefit plans at March 31, 2022, which resulted in a change in the discount rate from 1.19% at December 31, 2021, to 1.88% at March 31, 2022. Retirement and nonpension postretirement benefit obligations on the Consolidated Balance Sheet decreased by $140 million primarily due to this remeasurement.</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0"/>
        <w:ind w:left="0" w:right="0" w:hanging="0"/>
        <w:rPr>
          <w:rFonts w:ascii="Times New Roman;Times;serif" w:hAnsi="Times New Roman;Times;serif"/>
          <w:b/>
          <w:sz w:val="20"/>
        </w:rPr>
      </w:pPr>
      <w:bookmarkStart w:id="1163" w:name="_74e04073_d946_4393_857c_63aa0ee01eba"/>
      <w:bookmarkStart w:id="1164" w:name="_50aaf18d_8dce_49a0_bffb_d47bf841d402"/>
      <w:bookmarkStart w:id="1165" w:name="_ccbadf0b_0107_49f2_a02d_93a980f39868"/>
      <w:bookmarkStart w:id="1166" w:name="_5fe47ecf_7829_4b8e_8113_01fb0cfa7757"/>
      <w:bookmarkStart w:id="1167" w:name="_9fb6351b_7aa6_4dcb_a48c_95bf2beb7b29"/>
      <w:bookmarkStart w:id="1168" w:name="_71a52c8e_65e7_4547_811c_5647907190e3"/>
      <w:bookmarkStart w:id="1169" w:name="_423b2edd_35c5_46f1_b721_c4a8d454c58a"/>
      <w:bookmarkStart w:id="1170" w:name="_e73a5158_c717_4559_90c3_8113f08b92a2"/>
      <w:bookmarkStart w:id="1171" w:name="_Hlk96955882"/>
      <w:bookmarkStart w:id="1172" w:name="_0bdb4eac_c320_4ffc_8189_3375c08c2bbf"/>
      <w:bookmarkStart w:id="1173" w:name="_41a52f74_f81f_4c4a_bdc1_7d605d84ceb0"/>
      <w:bookmarkStart w:id="1174" w:name="_33a01ce5_5782_4319_851d_fb1dca439064"/>
      <w:bookmarkStart w:id="1175" w:name="_a89efe47_cf75_4cdb_88a1_a3ba74cadf0f"/>
      <w:bookmarkStart w:id="1176" w:name="_e77f91d4_8c55_494d_b84e_2535f3332f6c"/>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r>
        <w:rPr>
          <w:rFonts w:ascii="Times New Roman;Times;serif" w:hAnsi="Times New Roman;Times;serif"/>
          <w:b/>
          <w:sz w:val="20"/>
        </w:rPr>
        <w:t>NOTE 13. RELATED-PARTY TRANSACTIONS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Related-Party Revenue and Purchases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Kyndryl provides various services to IBM, including those related to hosting data centers and servicing IBM’s information technology infrastructure, which are reported as revenue in the Company’s Consolidated Income Statement. Revenue generated from these services was $236 million and $154 million for the three months ended March 31, 2022 and 2021, respectively.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Kyndryl utilizes various IBM products and services, recognized as costs of services, in the fulfillment of services contracts. Total cost of services recognized from these related-party transactions in the Company’s Consolidated Income Statement was $924 million and $1.0 billion for the three months ended March 31, 2022 and 2021, respectively. Related-party cost of $924 million for the current quarter includes outsourcing goods and services provided by the former Parent to Kyndryl’s customers post-Separation. Related-party cost of $1.0 billion for the quarter ended March 31, 2021, were related to pre-Separation services, including costs incurred by Kyndryl to provide services to the former Parent for networking and IT services of $121 million; costs for the usage of IBM-branded software allocated to Kyndryl by the former Parent of $762 million; and depreciation charges related to IBM hardware allocated to Kyndryl of $115 million.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Capital expenditures for purchases of IBM hardware were reflected as payments for property and equipment within the investing section of the Company’s Consolidated Statement of Cash Flows in the amounts of $25 million and $87 million for the three months ended March 31, 2022 and 2021, respectively. Additionally, as part of the Separation, IBM has committed to provide Kyndryl, at no cost, approximately $265 million of upgraded hardware over a two-year period. The amounts committed by IBM are reflected within other assets (noncurrent) within the Consolidated Balance Sheet at March 31, 2022. The expected average useful life of the upgraded hardware is approximately five years, and the Company intends to recognize total depreciation approximating $265 million over the useful life, consistent with our depreciation policy.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Related Party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On November 2, 2021, in connection with the Separation, the Company entered into several agreements with IBM that govern the relationship of the parties following the Separation. Such agreements were described in our 2021 Annual Report. </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Allocation of Corporate Expenses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Post-Separation, general corporate expenses from IBM were no longer allocated to Kyndryl; therefore, no related amounts were reflected on the Company’s financial statements for the three months ended March 31, 2022.</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Prior to the Separation, IBM allocated certain general corporate expenses that would have been incurred by Kyndryl had it been a separate, standalone company. These allocated general corporate expenses from IBM were recorded in the historical Consolidated Income Statement, Consolidated Statement of Comprehensive Income (Loss) and Consolidated Statement of Cash Flows. Allocations for management costs and corporate support services provided to Kyndryl for the three months ended March 31, 2021, totaled $337 million, consisting of $7 million of allocated other (income) and expense, $14 million of allocated interest expense and $317 million of allocated selling, general and administrative expense, which primarily represents expenses for corporate functions including, but not limited to, senior management, legal, human resources, finance and accounting, treasury, information technology and other shared services. All such amounts have been deemed to have been incurred and settled by Kyndryl through Net Parent investment in the period in which the costs were recorded. These costs were allocated based on direct usage as applicable, with the remainder allocated on a pro-rata basis of gross profit, headcount, assets or other measures.</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spacing w:before="0" w:after="240"/>
        <w:ind w:left="0" w:right="0" w:hanging="0"/>
        <w:rPr>
          <w:rFonts w:ascii="Times New Roman;Times;serif" w:hAnsi="Times New Roman;Times;serif"/>
          <w:b/>
          <w:sz w:val="20"/>
        </w:rPr>
      </w:pPr>
      <w:bookmarkStart w:id="1177" w:name="_Hlk101949819"/>
      <w:bookmarkEnd w:id="1177"/>
      <w:r>
        <w:rPr>
          <w:rFonts w:ascii="Times New Roman;Times;serif" w:hAnsi="Times New Roman;Times;serif"/>
          <w:b/>
          <w:sz w:val="20"/>
        </w:rPr>
        <w:t>Net Parent Investment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As a result of the Separation, Net Parent investment in the Consolidated Balance Sheet and Consolidated Statement of Equity was fully settled on November 3, 2021. As such, there was no balance in Net Parent investment at December 31, 2021, and there was no activity within the account during the three months ended March 31, 2022.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Prior to the Separation, Net Parent investment in the historical Balance Sheet and Statement of Equity represented IBM’s historical investment in Kyndryl, the net effect of transactions with and allocations from IBM, and Kyndryl’s accumulated earnings. The Net Parent investment balance at March 31, 2021, was $6 billion. The amount of transfers from Parent recorded within Net Parent investment during the three months ended March 31, 2021, was $498 million, which included cash pooling and general financing activities, allocation of IBM’s corporate expenses, related party sales and purchases, related party intangible asset fees and income taxes. During the three months ended March 31, 2021, there were $38 million of non-cash transfers from Parent, including income taxes, allocation of Parent’s stock-based compensation, depreciation and other non-cash items. This resulted in a net transfer from Parent of $460 million on the historical Statement of Cash Flows.</w:t>
      </w:r>
    </w:p>
    <w:p>
      <w:pPr>
        <w:pStyle w:val="TextBody"/>
        <w:spacing w:before="0" w:after="240"/>
        <w:ind w:left="0" w:right="0" w:firstLine="72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Assignment of Receivables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Historically, a portion of Kyndryl’s receivables with extended payment terms have been assigned to IBM’s Global Financing business. In October 2021, in preparation for the Separation, the Company entered into a Receivables Purchase Agreement with an unaffiliated bank. There were no amounts assigned to IBM Global Financing during the three months ended March 31, 2022. During the three months ended March 31, 2021, the gross amounts of Kyndryl receivables assigned to IBM Global Financing was $695 million. The fees and the net gains and losses associated with the assignment of receivables to IBM Global Finance were not material for any of the periods presented. Receivables assigned to IBM Global Finance were not recognized on the Company’s Combined Balance Sheet.</w:t>
        <w:br/>
        <w:br/>
      </w:r>
      <w:r>
        <w:rPr>
          <w:rFonts w:ascii="Times New Roman;Times;serif" w:hAnsi="Times New Roman;Times;serif"/>
          <w:b/>
          <w:sz w:val="20"/>
        </w:rPr>
        <w:t>Lease Guarantees</w:t>
      </w:r>
    </w:p>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Kyndryl has identified 66 lease agreements with third parties with an estimated aggregate lease liability guaranteed by IBM of $160 million as of March 31, 2022.</w:t>
      </w:r>
    </w:p>
    <w:p>
      <w:pPr>
        <w:pStyle w:val="TextBody"/>
        <w:pBdr/>
        <w:spacing w:before="0" w:after="240"/>
        <w:ind w:left="0" w:right="0" w:hanging="360"/>
        <w:rPr>
          <w:rFonts w:ascii="Times New Roman;Times;serif" w:hAnsi="Times New Roman;Times;serif"/>
          <w:b/>
          <w:sz w:val="20"/>
        </w:rPr>
      </w:pPr>
      <w:r>
        <w:rPr>
          <w:rFonts w:ascii="Times New Roman;Times;serif" w:hAnsi="Times New Roman;Times;serif"/>
          <w:b/>
          <w:sz w:val="20"/>
        </w:rPr>
        <w:t>NOTE 14. REVISION OF PRIOR-PERIOD FINANCIAL STATEMENTS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During the quarter ended March 31, 2022, the Company identified and corrected an $87 million over-accrual in its accrued contract costs balance that related to a majority-owned, consolidated joint venture in our Principal Markets segment. This over-accrual was principally built up over the pre-Separation periods of January 1, 2012, to November 3, 2021, resulting in overstatements of cost of services and accrued contract costs. The Company concluded that such impacts were not material to any prior annual or interim period. We further determined that the correction of the over-accrual within the transition period would be significant to the three-month results, and as a result it will be corrected as an immaterial revision to our 2021 Annual Report in a separate Form 8-K filing subsequent to the release of this Transition Report and will be reflected as a revision to prior interim periods in our subsequent Quarterly Reports on Form 10-Q. Because the majority of the over-accrual originated prior to 2019, we decreased the opening balance of accrued contract costs as of January 1, 2019, by $57 million and increased the opening balance of equity by $43 million, net of the tax effect of $14 million. </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 summary of the impact of the revision to the accompanying prior-period consolidated balance sheet and consolidated statement of equity is presented in the tables below. The impacts to the consolidated statements of operations, comprehensive income (loss) and cash flow for the period ended March 31, 2021, are considered immaterial.</w:t>
      </w:r>
    </w:p>
    <w:p>
      <w:pPr>
        <w:pStyle w:val="TextBody"/>
        <w:spacing w:before="0" w:after="240"/>
        <w:ind w:left="0" w:right="0" w:firstLine="720"/>
        <w:rPr/>
      </w:pPr>
      <w:r>
        <w:rPr/>
        <w:t>​</w:t>
      </w:r>
    </w:p>
    <w:p>
      <w:pPr>
        <w:pStyle w:val="TextBody"/>
        <w:spacing w:before="0" w:after="240"/>
        <w:ind w:left="0" w:right="0" w:firstLine="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spacing w:before="0" w:after="0"/>
        <w:rPr>
          <w:sz w:val="4"/>
          <w:szCs w:val="4"/>
        </w:rPr>
      </w:pPr>
      <w:r>
        <w:rPr>
          <w:sz w:val="4"/>
          <w:szCs w:val="4"/>
        </w:rPr>
      </w:r>
      <w:bookmarkStart w:id="1178" w:name="Tc_R4KNs5F2DUWEzeVvOcPReg_5_0"/>
      <w:bookmarkStart w:id="1179" w:name="Tc_p10ptj9NP0q4R-LCODY-nw_4_0"/>
      <w:bookmarkStart w:id="1180" w:name="Tc_gOqFxnTc2k2M0WEQbDe8yg_3_8"/>
      <w:bookmarkStart w:id="1181" w:name="Tc_JVleWtwnHUyHodIkuwAoYQ_3_5"/>
      <w:bookmarkStart w:id="1182" w:name="Tc_MoYfv0ZPpk2EbiF-nG0gJw_3_2"/>
      <w:bookmarkStart w:id="1183" w:name="Tc_dJSXWT-7AkGvNYh1ceJ9mQ_3_0"/>
      <w:bookmarkStart w:id="1184" w:name="Tc_8zEa7atL8kObuSozDc7uqg_2_8"/>
      <w:bookmarkStart w:id="1185" w:name="Tc_kRh6d8oma0mhZd2aeGQ96g_2_5"/>
      <w:bookmarkStart w:id="1186" w:name="Tc_wCitJucIgUKpZjanfr-Kog_2_2"/>
      <w:bookmarkStart w:id="1187" w:name="Tc_M9RwndYVcU-7UG4c0TzEFA_2_0"/>
      <w:bookmarkStart w:id="1188" w:name="Tc_PTQo8vhz4ked_htPlmanyQ_1_2"/>
      <w:bookmarkStart w:id="1189" w:name="_78290bec_0f17_4643_ae7f_7955128e2dd3"/>
      <w:bookmarkStart w:id="1190" w:name="Tc_N2nHDWn5lEeJZ01rbW-QOQ_5_0"/>
      <w:bookmarkStart w:id="1191" w:name="Tc_jnGw2J_M7kKRBPfEvZDokg_4_0"/>
      <w:bookmarkStart w:id="1192" w:name="Tc_HdPy04GZNUGPTCP7sjcvvg_3_8"/>
      <w:bookmarkStart w:id="1193" w:name="Tc_iWE1XnAnGkaE02QBbdpyVg_3_5"/>
      <w:bookmarkStart w:id="1194" w:name="Tc_ermlCsXg8ESlcFIeBq8bzg_3_2"/>
      <w:bookmarkStart w:id="1195" w:name="Tc_6ImyPNFK-EeijuJFuj8OCQ_3_0"/>
      <w:bookmarkStart w:id="1196" w:name="Tc_ES0mbMqa3U21cQmKQ0I57w_2_8"/>
      <w:bookmarkStart w:id="1197" w:name="Tc_uWcQYbHb0kWYFBt6qAypiw_2_5"/>
      <w:bookmarkStart w:id="1198" w:name="Tc_OlRwpYwik0OMKnAB3onCog_2_2"/>
      <w:bookmarkStart w:id="1199" w:name="Tc_o03PV50350-OdQNu3WnScQ_2_0"/>
      <w:bookmarkStart w:id="1200" w:name="Tc_LSMtS7xgjE-nSK6JFvlS1g_1_2"/>
      <w:bookmarkStart w:id="1201" w:name="_8f5b79e2_d91a_41bc_a9ae_795b808aa70e"/>
      <w:bookmarkStart w:id="1202" w:name="Tc_aCca0u3uY0OhT8VCXSCLyw_10_0"/>
      <w:bookmarkStart w:id="1203" w:name="Tc_LrFB0R0_B0KD_Z1tazDXew_9_0"/>
      <w:bookmarkStart w:id="1204" w:name="Tc_KFcgoHSrikSxBav-BeF0XA_8_0"/>
      <w:bookmarkStart w:id="1205" w:name="Tc_FOsI3i4SBEOzuI09pPQYow_7_0"/>
      <w:bookmarkStart w:id="1206" w:name="Tc_qMVAqwhMKUuWMrzIRRKUuw_6_0"/>
      <w:bookmarkStart w:id="1207" w:name="Tc_L-mkMEDX1EipH2g8AJ4ogg_5_0"/>
      <w:bookmarkStart w:id="1208" w:name="Tc_fm8oJenzOEi-hfTvD-1MJg_4_0"/>
      <w:bookmarkStart w:id="1209" w:name="Tc_ZzVY0WPepUaKCij1dzetiw_3_8"/>
      <w:bookmarkStart w:id="1210" w:name="Tc_mI-Fc46HXkGYfh5smPlCuQ_3_5"/>
      <w:bookmarkStart w:id="1211" w:name="Tc_jksEjxPFnEy0VpTS1yAn7Q_3_2"/>
      <w:bookmarkStart w:id="1212" w:name="Tc_tkl_1NiszkyjYtiTS239AQ_3_0"/>
      <w:bookmarkStart w:id="1213" w:name="Tc_OLkVtRpxrki1GFx7lqk8CQ_2_8"/>
      <w:bookmarkStart w:id="1214" w:name="Tc__ivvsi2UEUWjnHdXpyik6g_2_5"/>
      <w:bookmarkStart w:id="1215" w:name="Tc_d61x5MkZbkCo70tmWyUAZQ_2_2"/>
      <w:bookmarkStart w:id="1216" w:name="Tc_xsMjSiq7_0qZ0Gf6bFZ2Ig_2_0"/>
      <w:bookmarkStart w:id="1217" w:name="Tc_FL6de7N2w0aHKwxAPQlW4g_1_2"/>
      <w:bookmarkStart w:id="1218" w:name="_585f796e_7307_422a_a7dd_317f421169da"/>
      <w:bookmarkStart w:id="1219" w:name="Tc_R4KNs5F2DUWEzeVvOcPReg_5_0"/>
      <w:bookmarkStart w:id="1220" w:name="Tc_p10ptj9NP0q4R-LCODY-nw_4_0"/>
      <w:bookmarkStart w:id="1221" w:name="Tc_gOqFxnTc2k2M0WEQbDe8yg_3_8"/>
      <w:bookmarkStart w:id="1222" w:name="Tc_JVleWtwnHUyHodIkuwAoYQ_3_5"/>
      <w:bookmarkStart w:id="1223" w:name="Tc_MoYfv0ZPpk2EbiF-nG0gJw_3_2"/>
      <w:bookmarkStart w:id="1224" w:name="Tc_dJSXWT-7AkGvNYh1ceJ9mQ_3_0"/>
      <w:bookmarkStart w:id="1225" w:name="Tc_8zEa7atL8kObuSozDc7uqg_2_8"/>
      <w:bookmarkStart w:id="1226" w:name="Tc_kRh6d8oma0mhZd2aeGQ96g_2_5"/>
      <w:bookmarkStart w:id="1227" w:name="Tc_wCitJucIgUKpZjanfr-Kog_2_2"/>
      <w:bookmarkStart w:id="1228" w:name="Tc_M9RwndYVcU-7UG4c0TzEFA_2_0"/>
      <w:bookmarkStart w:id="1229" w:name="Tc_PTQo8vhz4ked_htPlmanyQ_1_2"/>
      <w:bookmarkStart w:id="1230" w:name="_78290bec_0f17_4643_ae7f_7955128e2dd3"/>
      <w:bookmarkStart w:id="1231" w:name="Tc_N2nHDWn5lEeJZ01rbW-QOQ_5_0"/>
      <w:bookmarkStart w:id="1232" w:name="Tc_jnGw2J_M7kKRBPfEvZDokg_4_0"/>
      <w:bookmarkStart w:id="1233" w:name="Tc_HdPy04GZNUGPTCP7sjcvvg_3_8"/>
      <w:bookmarkStart w:id="1234" w:name="Tc_iWE1XnAnGkaE02QBbdpyVg_3_5"/>
      <w:bookmarkStart w:id="1235" w:name="Tc_ermlCsXg8ESlcFIeBq8bzg_3_2"/>
      <w:bookmarkStart w:id="1236" w:name="Tc_6ImyPNFK-EeijuJFuj8OCQ_3_0"/>
      <w:bookmarkStart w:id="1237" w:name="Tc_ES0mbMqa3U21cQmKQ0I57w_2_8"/>
      <w:bookmarkStart w:id="1238" w:name="Tc_uWcQYbHb0kWYFBt6qAypiw_2_5"/>
      <w:bookmarkStart w:id="1239" w:name="Tc_OlRwpYwik0OMKnAB3onCog_2_2"/>
      <w:bookmarkStart w:id="1240" w:name="Tc_o03PV50350-OdQNu3WnScQ_2_0"/>
      <w:bookmarkStart w:id="1241" w:name="Tc_LSMtS7xgjE-nSK6JFvlS1g_1_2"/>
      <w:bookmarkStart w:id="1242" w:name="_8f5b79e2_d91a_41bc_a9ae_795b808aa70e"/>
      <w:bookmarkStart w:id="1243" w:name="Tc_aCca0u3uY0OhT8VCXSCLyw_10_0"/>
      <w:bookmarkStart w:id="1244" w:name="Tc_LrFB0R0_B0KD_Z1tazDXew_9_0"/>
      <w:bookmarkStart w:id="1245" w:name="Tc_KFcgoHSrikSxBav-BeF0XA_8_0"/>
      <w:bookmarkStart w:id="1246" w:name="Tc_FOsI3i4SBEOzuI09pPQYow_7_0"/>
      <w:bookmarkStart w:id="1247" w:name="Tc_qMVAqwhMKUuWMrzIRRKUuw_6_0"/>
      <w:bookmarkStart w:id="1248" w:name="Tc_L-mkMEDX1EipH2g8AJ4ogg_5_0"/>
      <w:bookmarkStart w:id="1249" w:name="Tc_fm8oJenzOEi-hfTvD-1MJg_4_0"/>
      <w:bookmarkStart w:id="1250" w:name="Tc_ZzVY0WPepUaKCij1dzetiw_3_8"/>
      <w:bookmarkStart w:id="1251" w:name="Tc_mI-Fc46HXkGYfh5smPlCuQ_3_5"/>
      <w:bookmarkStart w:id="1252" w:name="Tc_jksEjxPFnEy0VpTS1yAn7Q_3_2"/>
      <w:bookmarkStart w:id="1253" w:name="Tc_tkl_1NiszkyjYtiTS239AQ_3_0"/>
      <w:bookmarkStart w:id="1254" w:name="Tc_OLkVtRpxrki1GFx7lqk8CQ_2_8"/>
      <w:bookmarkStart w:id="1255" w:name="Tc__ivvsi2UEUWjnHdXpyik6g_2_5"/>
      <w:bookmarkStart w:id="1256" w:name="Tc_d61x5MkZbkCo70tmWyUAZQ_2_2"/>
      <w:bookmarkStart w:id="1257" w:name="Tc_xsMjSiq7_0qZ0Gf6bFZ2Ig_2_0"/>
      <w:bookmarkStart w:id="1258" w:name="Tc_FL6de7N2w0aHKwxAPQlW4g_1_2"/>
      <w:bookmarkStart w:id="1259" w:name="_585f796e_7307_422a_a7dd_317f421169da"/>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p>
    <w:tbl>
      <w:tblPr>
        <w:tblW w:w="10205" w:type="dxa"/>
        <w:jc w:val="left"/>
        <w:tblInd w:w="0" w:type="dxa"/>
        <w:tblCellMar>
          <w:top w:w="0" w:type="dxa"/>
          <w:left w:w="0" w:type="dxa"/>
          <w:bottom w:w="0" w:type="dxa"/>
          <w:right w:w="0" w:type="dxa"/>
        </w:tblCellMar>
      </w:tblPr>
      <w:tblGrid>
        <w:gridCol w:w="6065"/>
        <w:gridCol w:w="146"/>
        <w:gridCol w:w="327"/>
        <w:gridCol w:w="1067"/>
        <w:gridCol w:w="326"/>
        <w:gridCol w:w="361"/>
        <w:gridCol w:w="645"/>
        <w:gridCol w:w="326"/>
        <w:gridCol w:w="211"/>
        <w:gridCol w:w="731"/>
      </w:tblGrid>
      <w:tr>
        <w:trPr/>
        <w:tc>
          <w:tcPr>
            <w:tcW w:w="6065"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92710" cy="175260"/>
                      <wp:effectExtent l="0" t="0" r="0" b="0"/>
                      <wp:wrapNone/>
                      <wp:docPr id="205" name="Frame205"/>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645" cy="175260"/>
                      <wp:effectExtent l="0" t="0" r="0" b="0"/>
                      <wp:wrapNone/>
                      <wp:docPr id="206" name="Frame206"/>
                      <a:graphic xmlns:a="http://schemas.openxmlformats.org/drawingml/2006/main">
                        <a:graphicData uri="http://schemas.microsoft.com/office/word/2010/wordprocessingShape">
                          <wps:wsp>
                            <wps:cNvSpPr txBox="1"/>
                            <wps:spPr>
                              <a:xfrm>
                                <a:off x="0" y="0"/>
                                <a:ext cx="207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77545" cy="175260"/>
                      <wp:effectExtent l="0" t="0" r="0" b="0"/>
                      <wp:wrapNone/>
                      <wp:docPr id="207" name="Frame207"/>
                      <a:graphic xmlns:a="http://schemas.openxmlformats.org/drawingml/2006/main">
                        <a:graphicData uri="http://schemas.microsoft.com/office/word/2010/wordprocessingShape">
                          <wps:wsp>
                            <wps:cNvSpPr txBox="1"/>
                            <wps:spPr>
                              <a:xfrm>
                                <a:off x="0" y="0"/>
                                <a:ext cx="677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29235" cy="175260"/>
                      <wp:effectExtent l="0" t="0" r="0" b="0"/>
                      <wp:wrapNone/>
                      <wp:docPr id="209" name="Frame20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09575" cy="175260"/>
                      <wp:effectExtent l="0" t="0" r="0" b="0"/>
                      <wp:wrapNone/>
                      <wp:docPr id="210" name="Frame210"/>
                      <a:graphic xmlns:a="http://schemas.openxmlformats.org/drawingml/2006/main">
                        <a:graphicData uri="http://schemas.microsoft.com/office/word/2010/wordprocessingShape">
                          <wps:wsp>
                            <wps:cNvSpPr txBox="1"/>
                            <wps:spPr>
                              <a:xfrm>
                                <a:off x="0" y="0"/>
                                <a:ext cx="409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260"/>
                      <wp:effectExtent l="0" t="0" r="0" b="0"/>
                      <wp:wrapNone/>
                      <wp:docPr id="212" name="Frame2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64185" cy="175260"/>
                      <wp:effectExtent l="0" t="0" r="0" b="0"/>
                      <wp:wrapNone/>
                      <wp:docPr id="213" name="Frame213"/>
                      <a:graphic xmlns:a="http://schemas.openxmlformats.org/drawingml/2006/main">
                        <a:graphicData uri="http://schemas.microsoft.com/office/word/2010/wordprocessingShape">
                          <wps:wsp>
                            <wps:cNvSpPr txBox="1"/>
                            <wps:spPr>
                              <a:xfrm>
                                <a:off x="0" y="0"/>
                                <a:ext cx="46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6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3994"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2021</w:t>
            </w:r>
          </w:p>
        </w:tc>
      </w:tr>
      <w:tr>
        <w:trPr/>
        <w:tc>
          <w:tcPr>
            <w:tcW w:w="60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Consolidated Balance Sheet ($ in millions)</w:t>
            </w:r>
          </w:p>
        </w:tc>
        <w:tc>
          <w:tcPr>
            <w:tcW w:w="146" w:type="dxa"/>
            <w:tcBorders/>
            <w:shd w:fill="auto" w:val="clear"/>
            <w:vAlign w:val="center"/>
          </w:tcPr>
          <w:p>
            <w:pPr>
              <w:pStyle w:val="TableContents"/>
              <w:spacing w:before="0" w:after="0"/>
              <w:ind w:left="0" w:right="0" w:hanging="0"/>
              <w:rPr/>
            </w:pPr>
            <w:r>
              <w:rPr/>
              <w:t> </w:t>
            </w:r>
          </w:p>
        </w:tc>
        <w:tc>
          <w:tcPr>
            <w:tcW w:w="13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Previously Reported</w:t>
            </w:r>
          </w:p>
        </w:tc>
        <w:tc>
          <w:tcPr>
            <w:tcW w:w="326" w:type="dxa"/>
            <w:tcBorders/>
            <w:shd w:fill="auto" w:val="clear"/>
            <w:vAlign w:val="center"/>
          </w:tcPr>
          <w:p>
            <w:pPr>
              <w:pStyle w:val="TableContents"/>
              <w:spacing w:before="0" w:after="0"/>
              <w:ind w:left="0" w:right="0" w:hanging="0"/>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rPr/>
            </w:pPr>
            <w:r>
              <w:rPr/>
              <w:t>    </w:t>
            </w:r>
          </w:p>
        </w:tc>
        <w:tc>
          <w:tcPr>
            <w:tcW w:w="9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Revised</w:t>
            </w:r>
          </w:p>
        </w:tc>
      </w:tr>
      <w:tr>
        <w:trPr/>
        <w:tc>
          <w:tcPr>
            <w:tcW w:w="60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contract costs</w:t>
            </w:r>
          </w:p>
        </w:tc>
        <w:tc>
          <w:tcPr>
            <w:tcW w:w="14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2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r>
      <w:tr>
        <w:trPr/>
        <w:tc>
          <w:tcPr>
            <w:tcW w:w="60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14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0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4,544</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w:t>
            </w:r>
          </w:p>
        </w:tc>
      </w:tr>
      <w:tr>
        <w:trPr/>
        <w:tc>
          <w:tcPr>
            <w:tcW w:w="60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14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w:t>
            </w:r>
          </w:p>
        </w:tc>
        <w:tc>
          <w:tcPr>
            <w:tcW w:w="10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32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6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60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14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0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10,511</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10,446</w:t>
            </w:r>
          </w:p>
        </w:tc>
      </w:tr>
      <w:tr>
        <w:trPr/>
        <w:tc>
          <w:tcPr>
            <w:tcW w:w="60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Common stock, par value $0.01 per share, and additional paid-in capital (1,000.0 shares authorized, 224.2 shares issued) </w:t>
            </w:r>
          </w:p>
        </w:tc>
        <w:tc>
          <w:tcPr>
            <w:tcW w:w="14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w:t>
            </w:r>
          </w:p>
        </w:tc>
        <w:tc>
          <w:tcPr>
            <w:tcW w:w="10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4,218</w:t>
            </w:r>
          </w:p>
        </w:tc>
        <w:tc>
          <w:tcPr>
            <w:tcW w:w="32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6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4,284</w:t>
            </w:r>
          </w:p>
        </w:tc>
      </w:tr>
      <w:tr>
        <w:trPr/>
        <w:tc>
          <w:tcPr>
            <w:tcW w:w="60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income/(loss)</w:t>
            </w:r>
          </w:p>
        </w:tc>
        <w:tc>
          <w:tcPr>
            <w:tcW w:w="14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0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(1,143)</w:t>
            </w:r>
          </w:p>
        </w:tc>
      </w:tr>
      <w:tr>
        <w:trPr/>
        <w:tc>
          <w:tcPr>
            <w:tcW w:w="60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stockholders’ equity before non-controlling interests</w:t>
            </w:r>
          </w:p>
        </w:tc>
        <w:tc>
          <w:tcPr>
            <w:tcW w:w="14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w:t>
            </w:r>
          </w:p>
        </w:tc>
        <w:tc>
          <w:tcPr>
            <w:tcW w:w="106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2,700</w:t>
            </w:r>
          </w:p>
        </w:tc>
        <w:tc>
          <w:tcPr>
            <w:tcW w:w="326"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6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2,765</w:t>
            </w:r>
          </w:p>
        </w:tc>
      </w:tr>
      <w:tr>
        <w:trPr/>
        <w:tc>
          <w:tcPr>
            <w:tcW w:w="60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w:t>
            </w:r>
          </w:p>
        </w:tc>
        <w:tc>
          <w:tcPr>
            <w:tcW w:w="14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06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2,702</w:t>
            </w:r>
          </w:p>
        </w:tc>
        <w:tc>
          <w:tcPr>
            <w:tcW w:w="326" w:type="dxa"/>
            <w:tcBorders/>
            <w:shd w:fill="auto" w:val="clear"/>
            <w:vAlign w:val="center"/>
          </w:tcPr>
          <w:p>
            <w:pPr>
              <w:pStyle w:val="TableContents"/>
              <w:spacing w:before="0" w:after="0"/>
              <w:ind w:left="0" w:right="0" w:hanging="0"/>
              <w:rPr/>
            </w:pPr>
            <w:r>
              <w:rPr/>
              <w:t>​</w:t>
            </w:r>
          </w:p>
        </w:tc>
        <w:tc>
          <w:tcPr>
            <w:tcW w:w="361"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1" w:type="dxa"/>
            <w:tcBorders/>
            <w:shd w:fill="auto"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2,767</w:t>
            </w:r>
          </w:p>
        </w:tc>
      </w:tr>
    </w:tbl>
    <w:p>
      <w:pPr>
        <w:pStyle w:val="TextBody"/>
        <w:spacing w:before="0" w:after="0"/>
        <w:ind w:left="0" w:right="0" w:firstLine="720"/>
        <w:rPr/>
      </w:pPr>
      <w:r>
        <w:rPr/>
        <w:t>​</w:t>
      </w:r>
    </w:p>
    <w:tbl>
      <w:tblPr>
        <w:tblW w:w="8632" w:type="dxa"/>
        <w:jc w:val="left"/>
        <w:tblInd w:w="0" w:type="dxa"/>
        <w:tblCellMar>
          <w:top w:w="0" w:type="dxa"/>
          <w:left w:w="0" w:type="dxa"/>
          <w:bottom w:w="0" w:type="dxa"/>
          <w:right w:w="0" w:type="dxa"/>
        </w:tblCellMar>
      </w:tblPr>
      <w:tblGrid>
        <w:gridCol w:w="4066"/>
        <w:gridCol w:w="146"/>
        <w:gridCol w:w="424"/>
        <w:gridCol w:w="1391"/>
        <w:gridCol w:w="326"/>
        <w:gridCol w:w="402"/>
        <w:gridCol w:w="604"/>
        <w:gridCol w:w="326"/>
        <w:gridCol w:w="211"/>
        <w:gridCol w:w="736"/>
      </w:tblGrid>
      <w:tr>
        <w:trPr/>
        <w:tc>
          <w:tcPr>
            <w:tcW w:w="406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2710" cy="175260"/>
                      <wp:effectExtent l="0" t="0" r="0" b="0"/>
                      <wp:wrapNone/>
                      <wp:docPr id="214" name="Frame214"/>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69240" cy="175260"/>
                      <wp:effectExtent l="0" t="0" r="0" b="0"/>
                      <wp:wrapNone/>
                      <wp:docPr id="215" name="Frame215"/>
                      <a:graphic xmlns:a="http://schemas.openxmlformats.org/drawingml/2006/main">
                        <a:graphicData uri="http://schemas.microsoft.com/office/word/2010/wordprocessingShape">
                          <wps:wsp>
                            <wps:cNvSpPr txBox="1"/>
                            <wps:spPr>
                              <a:xfrm>
                                <a:off x="0" y="0"/>
                                <a:ext cx="269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83285" cy="175260"/>
                      <wp:effectExtent l="0" t="0" r="0" b="0"/>
                      <wp:wrapNone/>
                      <wp:docPr id="216" name="Frame216"/>
                      <a:graphic xmlns:a="http://schemas.openxmlformats.org/drawingml/2006/main">
                        <a:graphicData uri="http://schemas.microsoft.com/office/word/2010/wordprocessingShape">
                          <wps:wsp>
                            <wps:cNvSpPr txBox="1"/>
                            <wps:spPr>
                              <a:xfrm>
                                <a:off x="0" y="0"/>
                                <a:ext cx="883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55270" cy="175260"/>
                      <wp:effectExtent l="0" t="0" r="0" b="0"/>
                      <wp:wrapNone/>
                      <wp:docPr id="218" name="Frame218"/>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83540" cy="175260"/>
                      <wp:effectExtent l="0" t="0" r="0" b="0"/>
                      <wp:wrapNone/>
                      <wp:docPr id="219" name="Frame219"/>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67360" cy="175260"/>
                      <wp:effectExtent l="0" t="0" r="0" b="0"/>
                      <wp:wrapNone/>
                      <wp:docPr id="222" name="Frame222"/>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6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4420"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2021</w:t>
            </w:r>
          </w:p>
        </w:tc>
      </w:tr>
      <w:tr>
        <w:trPr/>
        <w:tc>
          <w:tcPr>
            <w:tcW w:w="40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Consolidated Statement of Equity ($ in millions)</w:t>
            </w:r>
          </w:p>
        </w:tc>
        <w:tc>
          <w:tcPr>
            <w:tcW w:w="146" w:type="dxa"/>
            <w:tcBorders/>
            <w:shd w:fill="auto" w:val="clear"/>
            <w:vAlign w:val="center"/>
          </w:tcPr>
          <w:p>
            <w:pPr>
              <w:pStyle w:val="TableContents"/>
              <w:spacing w:before="0" w:after="0"/>
              <w:ind w:left="0" w:right="0" w:hanging="0"/>
              <w:rPr/>
            </w:pPr>
            <w:r>
              <w:rPr/>
              <w:t> </w:t>
            </w:r>
          </w:p>
        </w:tc>
        <w:tc>
          <w:tcPr>
            <w:tcW w:w="1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Previously Reported</w:t>
            </w:r>
          </w:p>
        </w:tc>
        <w:tc>
          <w:tcPr>
            <w:tcW w:w="326" w:type="dxa"/>
            <w:tcBorders/>
            <w:shd w:fill="auto" w:val="clear"/>
            <w:vAlign w:val="center"/>
          </w:tcPr>
          <w:p>
            <w:pPr>
              <w:pStyle w:val="TableContents"/>
              <w:spacing w:before="0" w:after="0"/>
              <w:ind w:left="0" w:right="0" w:hanging="0"/>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Revised</w:t>
            </w:r>
          </w:p>
        </w:tc>
      </w:tr>
      <w:tr>
        <w:trPr/>
        <w:tc>
          <w:tcPr>
            <w:tcW w:w="4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parent investment</w:t>
            </w:r>
          </w:p>
        </w:tc>
        <w:tc>
          <w:tcPr>
            <w:tcW w:w="14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5,976</w:t>
            </w:r>
          </w:p>
        </w:tc>
        <w:tc>
          <w:tcPr>
            <w:tcW w:w="326" w:type="dxa"/>
            <w:tcBorders/>
            <w:shd w:fill="CCEEFF" w:val="clear"/>
            <w:vAlign w:val="center"/>
          </w:tcPr>
          <w:p>
            <w:pPr>
              <w:pStyle w:val="TableContents"/>
              <w:spacing w:before="0" w:after="0"/>
              <w:ind w:left="0" w:right="0" w:hanging="0"/>
              <w:rPr/>
            </w:pPr>
            <w:r>
              <w:rPr/>
              <w:t>​</w:t>
            </w:r>
          </w:p>
        </w:tc>
        <w:tc>
          <w:tcPr>
            <w:tcW w:w="4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6,027</w:t>
            </w:r>
          </w:p>
        </w:tc>
      </w:tr>
      <w:tr>
        <w:trPr/>
        <w:tc>
          <w:tcPr>
            <w:tcW w:w="4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 (loss)</w:t>
            </w:r>
          </w:p>
        </w:tc>
        <w:tc>
          <w:tcPr>
            <w:tcW w:w="146" w:type="dxa"/>
            <w:tcBorders/>
            <w:shd w:fill="auto" w:val="clear"/>
            <w:vAlign w:val="center"/>
          </w:tcPr>
          <w:p>
            <w:pPr>
              <w:pStyle w:val="TableContents"/>
              <w:spacing w:before="0" w:after="0"/>
              <w:ind w:left="0" w:right="0" w:hanging="0"/>
              <w:rPr/>
            </w:pPr>
            <w:r>
              <w:rPr/>
              <w:t>​</w:t>
            </w:r>
          </w:p>
        </w:tc>
        <w:tc>
          <w:tcPr>
            <w:tcW w:w="424" w:type="dxa"/>
            <w:tcBorders/>
            <w:shd w:fill="auto" w:val="clear"/>
            <w:vAlign w:val="center"/>
          </w:tcPr>
          <w:p>
            <w:pPr>
              <w:pStyle w:val="TableContents"/>
              <w:spacing w:before="0" w:after="0"/>
              <w:ind w:left="0" w:right="0" w:hanging="0"/>
              <w:rPr/>
            </w:pPr>
            <w:r>
              <w:rPr/>
              <w:t>​</w:t>
            </w:r>
          </w:p>
        </w:tc>
        <w:tc>
          <w:tcPr>
            <w:tcW w:w="13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(1,186)</w:t>
            </w:r>
          </w:p>
        </w:tc>
        <w:tc>
          <w:tcPr>
            <w:tcW w:w="326" w:type="dxa"/>
            <w:tcBorders/>
            <w:shd w:fill="auto" w:val="clear"/>
            <w:vAlign w:val="center"/>
          </w:tcPr>
          <w:p>
            <w:pPr>
              <w:pStyle w:val="TableContents"/>
              <w:spacing w:before="0" w:after="0"/>
              <w:ind w:left="0" w:right="0" w:hanging="0"/>
              <w:rPr/>
            </w:pPr>
            <w:r>
              <w:rPr/>
              <w:t>​</w:t>
            </w:r>
          </w:p>
        </w:tc>
        <w:tc>
          <w:tcPr>
            <w:tcW w:w="402" w:type="dxa"/>
            <w:tcBorders/>
            <w:shd w:fill="auto" w:val="clear"/>
            <w:vAlign w:val="center"/>
          </w:tcPr>
          <w:p>
            <w:pPr>
              <w:pStyle w:val="TableContents"/>
              <w:spacing w:before="0" w:after="0"/>
              <w:ind w:left="0" w:right="0" w:hanging="0"/>
              <w:rPr/>
            </w:pPr>
            <w:r>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r>
      <w:tr>
        <w:trPr/>
        <w:tc>
          <w:tcPr>
            <w:tcW w:w="4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w:t>
            </w:r>
          </w:p>
        </w:tc>
        <w:tc>
          <w:tcPr>
            <w:tcW w:w="14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pPr>
            <w:r>
              <w:rPr/>
              <w:t>​</w:t>
            </w:r>
          </w:p>
        </w:tc>
        <w:tc>
          <w:tcPr>
            <w:tcW w:w="13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326" w:type="dxa"/>
            <w:tcBorders/>
            <w:shd w:fill="CCEEFF" w:val="clear"/>
            <w:vAlign w:val="center"/>
          </w:tcPr>
          <w:p>
            <w:pPr>
              <w:pStyle w:val="TableContents"/>
              <w:spacing w:before="0" w:after="0"/>
              <w:ind w:left="0" w:right="0" w:hanging="0"/>
              <w:rPr/>
            </w:pPr>
            <w:r>
              <w:rPr/>
              <w:t>​</w:t>
            </w:r>
          </w:p>
        </w:tc>
        <w:tc>
          <w:tcPr>
            <w:tcW w:w="402" w:type="dxa"/>
            <w:tcBorders/>
            <w:shd w:fill="CCEEFF" w:val="clear"/>
            <w:vAlign w:val="center"/>
          </w:tcPr>
          <w:p>
            <w:pPr>
              <w:pStyle w:val="TableContents"/>
              <w:spacing w:before="0" w:after="0"/>
              <w:ind w:left="0" w:right="0" w:hanging="0"/>
              <w:rPr/>
            </w:pPr>
            <w:r>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4,902</w:t>
            </w:r>
          </w:p>
        </w:tc>
      </w:tr>
    </w:tbl>
    <w:p>
      <w:pPr>
        <w:pStyle w:val="TextBody"/>
        <w:spacing w:before="0" w:after="0"/>
        <w:ind w:left="0" w:right="0" w:firstLine="720"/>
        <w:rPr/>
      </w:pPr>
      <w:r>
        <w:rPr/>
        <w:t>​</w:t>
      </w:r>
    </w:p>
    <w:tbl>
      <w:tblPr>
        <w:tblW w:w="8632" w:type="dxa"/>
        <w:jc w:val="left"/>
        <w:tblInd w:w="0" w:type="dxa"/>
        <w:tblCellMar>
          <w:top w:w="0" w:type="dxa"/>
          <w:left w:w="0" w:type="dxa"/>
          <w:bottom w:w="0" w:type="dxa"/>
          <w:right w:w="0" w:type="dxa"/>
        </w:tblCellMar>
      </w:tblPr>
      <w:tblGrid>
        <w:gridCol w:w="4066"/>
        <w:gridCol w:w="146"/>
        <w:gridCol w:w="424"/>
        <w:gridCol w:w="1391"/>
        <w:gridCol w:w="326"/>
        <w:gridCol w:w="402"/>
        <w:gridCol w:w="604"/>
        <w:gridCol w:w="326"/>
        <w:gridCol w:w="211"/>
        <w:gridCol w:w="736"/>
      </w:tblGrid>
      <w:tr>
        <w:trPr/>
        <w:tc>
          <w:tcPr>
            <w:tcW w:w="406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2710" cy="175260"/>
                      <wp:effectExtent l="0" t="0" r="0" b="0"/>
                      <wp:wrapNone/>
                      <wp:docPr id="223" name="Frame22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69240" cy="175260"/>
                      <wp:effectExtent l="0" t="0" r="0" b="0"/>
                      <wp:wrapNone/>
                      <wp:docPr id="224" name="Frame224"/>
                      <a:graphic xmlns:a="http://schemas.openxmlformats.org/drawingml/2006/main">
                        <a:graphicData uri="http://schemas.microsoft.com/office/word/2010/wordprocessingShape">
                          <wps:wsp>
                            <wps:cNvSpPr txBox="1"/>
                            <wps:spPr>
                              <a:xfrm>
                                <a:off x="0" y="0"/>
                                <a:ext cx="269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83285" cy="175260"/>
                      <wp:effectExtent l="0" t="0" r="0" b="0"/>
                      <wp:wrapNone/>
                      <wp:docPr id="225" name="Frame225"/>
                      <a:graphic xmlns:a="http://schemas.openxmlformats.org/drawingml/2006/main">
                        <a:graphicData uri="http://schemas.microsoft.com/office/word/2010/wordprocessingShape">
                          <wps:wsp>
                            <wps:cNvSpPr txBox="1"/>
                            <wps:spPr>
                              <a:xfrm>
                                <a:off x="0" y="0"/>
                                <a:ext cx="883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55270" cy="175260"/>
                      <wp:effectExtent l="0" t="0" r="0" b="0"/>
                      <wp:wrapNone/>
                      <wp:docPr id="227" name="Frame227"/>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383540" cy="175260"/>
                      <wp:effectExtent l="0" t="0" r="0" b="0"/>
                      <wp:wrapNone/>
                      <wp:docPr id="228" name="Frame228"/>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67360" cy="175260"/>
                      <wp:effectExtent l="0" t="0" r="0" b="0"/>
                      <wp:wrapNone/>
                      <wp:docPr id="231" name="Frame231"/>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66"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4420"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At January 1, 2021</w:t>
            </w:r>
          </w:p>
        </w:tc>
      </w:tr>
      <w:tr>
        <w:trPr/>
        <w:tc>
          <w:tcPr>
            <w:tcW w:w="40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Consolidated Statement of Equity ($ in millions)</w:t>
            </w:r>
          </w:p>
        </w:tc>
        <w:tc>
          <w:tcPr>
            <w:tcW w:w="146" w:type="dxa"/>
            <w:tcBorders/>
            <w:shd w:fill="auto" w:val="clear"/>
            <w:vAlign w:val="center"/>
          </w:tcPr>
          <w:p>
            <w:pPr>
              <w:pStyle w:val="TableContents"/>
              <w:spacing w:before="0" w:after="0"/>
              <w:ind w:left="0" w:right="0" w:hanging="0"/>
              <w:rPr/>
            </w:pPr>
            <w:r>
              <w:rPr/>
              <w:t> </w:t>
            </w:r>
          </w:p>
        </w:tc>
        <w:tc>
          <w:tcPr>
            <w:tcW w:w="1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Previously Reported</w:t>
            </w:r>
          </w:p>
        </w:tc>
        <w:tc>
          <w:tcPr>
            <w:tcW w:w="326" w:type="dxa"/>
            <w:tcBorders/>
            <w:shd w:fill="auto" w:val="clear"/>
            <w:vAlign w:val="center"/>
          </w:tcPr>
          <w:p>
            <w:pPr>
              <w:pStyle w:val="TableContents"/>
              <w:spacing w:before="0" w:after="0"/>
              <w:ind w:left="0" w:right="0" w:hanging="0"/>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26" w:type="dxa"/>
            <w:tcBorders/>
            <w:shd w:fill="auto" w:val="clear"/>
            <w:vAlign w:val="center"/>
          </w:tcPr>
          <w:p>
            <w:pPr>
              <w:pStyle w:val="TableContents"/>
              <w:spacing w:before="0" w:after="0"/>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Revised</w:t>
            </w:r>
          </w:p>
        </w:tc>
      </w:tr>
      <w:tr>
        <w:trPr/>
        <w:tc>
          <w:tcPr>
            <w:tcW w:w="4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parent investment</w:t>
            </w:r>
          </w:p>
        </w:tc>
        <w:tc>
          <w:tcPr>
            <w:tcW w:w="14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5,972</w:t>
            </w:r>
          </w:p>
        </w:tc>
        <w:tc>
          <w:tcPr>
            <w:tcW w:w="326" w:type="dxa"/>
            <w:tcBorders/>
            <w:shd w:fill="CCEEFF" w:val="clear"/>
            <w:vAlign w:val="center"/>
          </w:tcPr>
          <w:p>
            <w:pPr>
              <w:pStyle w:val="TableContents"/>
              <w:spacing w:before="0" w:after="0"/>
              <w:ind w:left="0" w:right="0" w:hanging="0"/>
              <w:rPr/>
            </w:pPr>
            <w:r>
              <w:rPr/>
              <w:t>​</w:t>
            </w:r>
          </w:p>
        </w:tc>
        <w:tc>
          <w:tcPr>
            <w:tcW w:w="40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6,023</w:t>
            </w:r>
          </w:p>
        </w:tc>
      </w:tr>
      <w:tr>
        <w:trPr/>
        <w:tc>
          <w:tcPr>
            <w:tcW w:w="40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other comprehensive income (loss)</w:t>
            </w:r>
          </w:p>
        </w:tc>
        <w:tc>
          <w:tcPr>
            <w:tcW w:w="146" w:type="dxa"/>
            <w:tcBorders/>
            <w:shd w:fill="auto" w:val="clear"/>
            <w:vAlign w:val="center"/>
          </w:tcPr>
          <w:p>
            <w:pPr>
              <w:pStyle w:val="TableContents"/>
              <w:spacing w:before="0" w:after="0"/>
              <w:ind w:left="0" w:right="0" w:hanging="0"/>
              <w:rPr/>
            </w:pPr>
            <w:r>
              <w:rPr/>
              <w:t>​</w:t>
            </w:r>
          </w:p>
        </w:tc>
        <w:tc>
          <w:tcPr>
            <w:tcW w:w="424" w:type="dxa"/>
            <w:tcBorders/>
            <w:shd w:fill="auto" w:val="clear"/>
            <w:vAlign w:val="center"/>
          </w:tcPr>
          <w:p>
            <w:pPr>
              <w:pStyle w:val="TableContents"/>
              <w:spacing w:before="0" w:after="0"/>
              <w:ind w:left="0" w:right="0" w:hanging="0"/>
              <w:rPr/>
            </w:pPr>
            <w:r>
              <w:rPr/>
              <w:t>​</w:t>
            </w:r>
          </w:p>
        </w:tc>
        <w:tc>
          <w:tcPr>
            <w:tcW w:w="13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shd w:fill="auto" w:val="clear"/>
            <w:vAlign w:val="center"/>
          </w:tcPr>
          <w:p>
            <w:pPr>
              <w:pStyle w:val="TableContents"/>
              <w:spacing w:before="0" w:after="0"/>
              <w:ind w:left="0" w:right="0" w:hanging="0"/>
              <w:rPr/>
            </w:pPr>
            <w:r>
              <w:rPr/>
              <w:t>​</w:t>
            </w:r>
          </w:p>
        </w:tc>
        <w:tc>
          <w:tcPr>
            <w:tcW w:w="402" w:type="dxa"/>
            <w:tcBorders/>
            <w:shd w:fill="auto" w:val="clear"/>
            <w:vAlign w:val="center"/>
          </w:tcPr>
          <w:p>
            <w:pPr>
              <w:pStyle w:val="TableContents"/>
              <w:spacing w:before="0" w:after="0"/>
              <w:ind w:left="0" w:right="0" w:hanging="0"/>
              <w:rPr/>
            </w:pPr>
            <w:r>
              <w:rPr/>
              <w:t>​</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r>
      <w:tr>
        <w:trPr/>
        <w:tc>
          <w:tcPr>
            <w:tcW w:w="40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equity</w:t>
            </w:r>
          </w:p>
        </w:tc>
        <w:tc>
          <w:tcPr>
            <w:tcW w:w="146" w:type="dxa"/>
            <w:tcBorders/>
            <w:shd w:fill="CCEEFF" w:val="clear"/>
            <w:vAlign w:val="center"/>
          </w:tcPr>
          <w:p>
            <w:pPr>
              <w:pStyle w:val="TableContents"/>
              <w:spacing w:before="0" w:after="0"/>
              <w:ind w:left="0" w:right="0" w:hanging="0"/>
              <w:rPr/>
            </w:pPr>
            <w:r>
              <w:rPr/>
              <w:t>​</w:t>
            </w:r>
          </w:p>
        </w:tc>
        <w:tc>
          <w:tcPr>
            <w:tcW w:w="424" w:type="dxa"/>
            <w:tcBorders/>
            <w:shd w:fill="CCEEFF" w:val="clear"/>
            <w:vAlign w:val="center"/>
          </w:tcPr>
          <w:p>
            <w:pPr>
              <w:pStyle w:val="TableContents"/>
              <w:spacing w:before="0" w:after="0"/>
              <w:ind w:left="0" w:right="0" w:hanging="0"/>
              <w:rPr/>
            </w:pPr>
            <w:r>
              <w:rPr/>
              <w:t>​</w:t>
            </w:r>
          </w:p>
        </w:tc>
        <w:tc>
          <w:tcPr>
            <w:tcW w:w="13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4,931</w:t>
            </w:r>
          </w:p>
        </w:tc>
        <w:tc>
          <w:tcPr>
            <w:tcW w:w="326" w:type="dxa"/>
            <w:tcBorders/>
            <w:shd w:fill="CCEEFF" w:val="clear"/>
            <w:vAlign w:val="center"/>
          </w:tcPr>
          <w:p>
            <w:pPr>
              <w:pStyle w:val="TableContents"/>
              <w:spacing w:before="0" w:after="0"/>
              <w:ind w:left="0" w:right="0" w:hanging="0"/>
              <w:rPr/>
            </w:pPr>
            <w:r>
              <w:rPr/>
              <w:t>​</w:t>
            </w:r>
          </w:p>
        </w:tc>
        <w:tc>
          <w:tcPr>
            <w:tcW w:w="402" w:type="dxa"/>
            <w:tcBorders/>
            <w:shd w:fill="CCEEFF" w:val="clear"/>
            <w:vAlign w:val="center"/>
          </w:tcPr>
          <w:p>
            <w:pPr>
              <w:pStyle w:val="TableContents"/>
              <w:spacing w:before="0" w:after="0"/>
              <w:ind w:left="0" w:right="0" w:hanging="0"/>
              <w:rPr/>
            </w:pPr>
            <w:r>
              <w:rPr/>
              <w:t>​</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4,985</w:t>
            </w:r>
          </w:p>
        </w:tc>
      </w:tr>
    </w:tbl>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260" w:name="MANAGEMENTSDISCUSSIONANDANALYSISOFRESULT"/>
      <w:bookmarkStart w:id="1261" w:name="Item2_803900"/>
      <w:bookmarkStart w:id="1262" w:name="_a4412505_b68d_4fee_907c_2ffaa63566a7"/>
      <w:bookmarkEnd w:id="1260"/>
      <w:bookmarkEnd w:id="1261"/>
      <w:bookmarkEnd w:id="1262"/>
      <w:r>
        <w:rPr>
          <w:rFonts w:ascii="Times New Roman;Times;serif" w:hAnsi="Times New Roman;Times;serif"/>
          <w:b/>
          <w:sz w:val="20"/>
        </w:rPr>
        <w:t>Item 2.</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FINANCIAL CONDITION AND RESULTS OF OPERATIONS</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MONTHS ENDED MARCH 31, 2022</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hanging="0"/>
        <w:rPr/>
      </w:pPr>
      <w:r>
        <w:rPr/>
        <w:t>​</w:t>
      </w:r>
    </w:p>
    <w:p>
      <w:pPr>
        <w:pStyle w:val="Normal"/>
        <w:spacing w:before="0" w:after="0"/>
        <w:rPr>
          <w:sz w:val="4"/>
          <w:szCs w:val="4"/>
        </w:rPr>
      </w:pPr>
      <w:r>
        <w:rPr>
          <w:sz w:val="4"/>
          <w:szCs w:val="4"/>
        </w:rPr>
      </w:r>
      <w:bookmarkStart w:id="1263" w:name="_36d39cfd_8d39_4581_aefe_7b61196c9323"/>
      <w:bookmarkStart w:id="1264" w:name="_25045dc4_485f_448f_b516_114aed952185"/>
      <w:bookmarkStart w:id="1265" w:name="_f8c6080e_3bbf_49ca_8fe5_43b3ac106c95"/>
      <w:bookmarkStart w:id="1266" w:name="_456370ed_5682_442e_a556_1e084a2fe9ed"/>
      <w:bookmarkStart w:id="1267" w:name="_c72a6502_fdda_40a5_8453_ee53886eda52"/>
      <w:bookmarkStart w:id="1268" w:name="_6b79a378_84a1_4bb5_af7c_3a60153ecd9b"/>
      <w:bookmarkStart w:id="1269" w:name="_b3d19915_1292_47e2_9100_4df556b9b8fd"/>
      <w:bookmarkStart w:id="1270" w:name="_81c1cdc7_249b_4349_bc1a_f4f873d66f41"/>
      <w:bookmarkStart w:id="1271" w:name="_7601098a_bb0f_4acb_9e5e_368a0110d7df"/>
      <w:bookmarkStart w:id="1272" w:name="_7c99d293_bc9a_4fa5_b4c3_557c8257c39b"/>
      <w:bookmarkStart w:id="1273" w:name="_6a1d0fa2_5b4c_4985_85ed_d81a89534406"/>
      <w:bookmarkStart w:id="1274" w:name="_4b2fe346_d7be_4d41_8cfe_fe859f2a8770"/>
      <w:bookmarkStart w:id="1275" w:name="_222f82bb_89d6_4fae_bd43_cfddfceef6b8"/>
      <w:bookmarkStart w:id="1276" w:name="_33b5c6bc_c8af_44c6_a82d_36ada253003d"/>
      <w:bookmarkStart w:id="1277" w:name="_c8f279d3_a9f8_48cf_b01f_bc19cbb7f2f8"/>
      <w:bookmarkStart w:id="1278" w:name="_794b6b62_03a6_4b8b_9890_4b9ff33d9055"/>
      <w:bookmarkStart w:id="1279" w:name="_beec2c9d_f681_4fa0_a1d2_5e107c027bd0"/>
      <w:bookmarkStart w:id="1280" w:name="_9e7bed33_20af_496c_a286_009addec4488"/>
      <w:bookmarkStart w:id="1281" w:name="_36d39cfd_8d39_4581_aefe_7b61196c9323"/>
      <w:bookmarkStart w:id="1282" w:name="_25045dc4_485f_448f_b516_114aed952185"/>
      <w:bookmarkStart w:id="1283" w:name="_f8c6080e_3bbf_49ca_8fe5_43b3ac106c95"/>
      <w:bookmarkStart w:id="1284" w:name="_456370ed_5682_442e_a556_1e084a2fe9ed"/>
      <w:bookmarkStart w:id="1285" w:name="_c72a6502_fdda_40a5_8453_ee53886eda52"/>
      <w:bookmarkStart w:id="1286" w:name="_6b79a378_84a1_4bb5_af7c_3a60153ecd9b"/>
      <w:bookmarkStart w:id="1287" w:name="_b3d19915_1292_47e2_9100_4df556b9b8fd"/>
      <w:bookmarkStart w:id="1288" w:name="_81c1cdc7_249b_4349_bc1a_f4f873d66f41"/>
      <w:bookmarkStart w:id="1289" w:name="_7601098a_bb0f_4acb_9e5e_368a0110d7df"/>
      <w:bookmarkStart w:id="1290" w:name="_7c99d293_bc9a_4fa5_b4c3_557c8257c39b"/>
      <w:bookmarkStart w:id="1291" w:name="_6a1d0fa2_5b4c_4985_85ed_d81a89534406"/>
      <w:bookmarkStart w:id="1292" w:name="_4b2fe346_d7be_4d41_8cfe_fe859f2a8770"/>
      <w:bookmarkStart w:id="1293" w:name="_222f82bb_89d6_4fae_bd43_cfddfceef6b8"/>
      <w:bookmarkStart w:id="1294" w:name="_33b5c6bc_c8af_44c6_a82d_36ada253003d"/>
      <w:bookmarkStart w:id="1295" w:name="_c8f279d3_a9f8_48cf_b01f_bc19cbb7f2f8"/>
      <w:bookmarkStart w:id="1296" w:name="_794b6b62_03a6_4b8b_9890_4b9ff33d9055"/>
      <w:bookmarkStart w:id="1297" w:name="_beec2c9d_f681_4fa0_a1d2_5e107c027bd0"/>
      <w:bookmarkStart w:id="1298" w:name="_9e7bed33_20af_496c_a286_009addec4488"/>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p>
    <w:tbl>
      <w:tblPr>
        <w:tblW w:w="5913" w:type="dxa"/>
        <w:jc w:val="left"/>
        <w:tblInd w:w="0" w:type="dxa"/>
        <w:tblCellMar>
          <w:top w:w="0" w:type="dxa"/>
          <w:left w:w="0" w:type="dxa"/>
          <w:bottom w:w="0" w:type="dxa"/>
          <w:right w:w="0" w:type="dxa"/>
        </w:tblCellMar>
      </w:tblPr>
      <w:tblGrid>
        <w:gridCol w:w="3316"/>
        <w:gridCol w:w="109"/>
        <w:gridCol w:w="232"/>
        <w:gridCol w:w="629"/>
        <w:gridCol w:w="298"/>
        <w:gridCol w:w="120"/>
        <w:gridCol w:w="232"/>
        <w:gridCol w:w="629"/>
        <w:gridCol w:w="348"/>
      </w:tblGrid>
      <w:tr>
        <w:trPr/>
        <w:tc>
          <w:tcPr>
            <w:tcW w:w="3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47320" cy="175260"/>
                      <wp:effectExtent l="0" t="0" r="0" b="0"/>
                      <wp:wrapNone/>
                      <wp:docPr id="233" name="Frame233"/>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399415" cy="175260"/>
                      <wp:effectExtent l="0" t="0" r="0" b="0"/>
                      <wp:wrapNone/>
                      <wp:docPr id="234" name="Frame234"/>
                      <a:graphic xmlns:a="http://schemas.openxmlformats.org/drawingml/2006/main">
                        <a:graphicData uri="http://schemas.microsoft.com/office/word/2010/wordprocessingShape">
                          <wps:wsp>
                            <wps:cNvSpPr txBox="1"/>
                            <wps:spPr>
                              <a:xfrm>
                                <a:off x="0" y="0"/>
                                <a:ext cx="399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89230" cy="175260"/>
                      <wp:effectExtent l="0" t="0" r="0" b="0"/>
                      <wp:wrapNone/>
                      <wp:docPr id="235" name="Frame235"/>
                      <a:graphic xmlns:a="http://schemas.openxmlformats.org/drawingml/2006/main">
                        <a:graphicData uri="http://schemas.microsoft.com/office/word/2010/wordprocessingShape">
                          <wps:wsp>
                            <wps:cNvSpPr txBox="1"/>
                            <wps:spPr>
                              <a:xfrm>
                                <a:off x="0" y="0"/>
                                <a:ext cx="1892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76200" cy="175260"/>
                      <wp:effectExtent l="0" t="0" r="0" b="0"/>
                      <wp:wrapNone/>
                      <wp:docPr id="236" name="Frame236"/>
                      <a:graphic xmlns:a="http://schemas.openxmlformats.org/drawingml/2006/main">
                        <a:graphicData uri="http://schemas.microsoft.com/office/word/2010/wordprocessingShape">
                          <wps:wsp>
                            <wps:cNvSpPr txBox="1"/>
                            <wps:spPr>
                              <a:xfrm>
                                <a:off x="0" y="0"/>
                                <a:ext cx="76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7320" cy="175260"/>
                      <wp:effectExtent l="0" t="0" r="0" b="0"/>
                      <wp:wrapNone/>
                      <wp:docPr id="237" name="Frame237"/>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99415" cy="175260"/>
                      <wp:effectExtent l="0" t="0" r="0" b="0"/>
                      <wp:wrapNone/>
                      <wp:docPr id="238" name="Frame238"/>
                      <a:graphic xmlns:a="http://schemas.openxmlformats.org/drawingml/2006/main">
                        <a:graphicData uri="http://schemas.microsoft.com/office/word/2010/wordprocessingShape">
                          <wps:wsp>
                            <wps:cNvSpPr txBox="1"/>
                            <wps:spPr>
                              <a:xfrm>
                                <a:off x="0" y="0"/>
                                <a:ext cx="399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20980" cy="175260"/>
                      <wp:effectExtent l="0" t="0" r="0" b="0"/>
                      <wp:wrapNone/>
                      <wp:docPr id="239" name="Frame239"/>
                      <a:graphic xmlns:a="http://schemas.openxmlformats.org/drawingml/2006/main">
                        <a:graphicData uri="http://schemas.microsoft.com/office/word/2010/wordprocessingShape">
                          <wps:wsp>
                            <wps:cNvSpPr txBox="1"/>
                            <wps:spPr>
                              <a:xfrm>
                                <a:off x="0" y="0"/>
                                <a:ext cx="2209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488"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3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0"/>
              <w:ind w:left="0" w:right="0" w:hanging="0"/>
              <w:rPr/>
            </w:pPr>
            <w:r>
              <w:rPr/>
              <w:t>​</w:t>
            </w:r>
          </w:p>
        </w:tc>
        <w:tc>
          <w:tcPr>
            <w:tcW w:w="115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20" w:type="dxa"/>
            <w:tcBorders/>
            <w:shd w:fill="auto" w:val="clear"/>
            <w:vAlign w:val="center"/>
          </w:tcPr>
          <w:p>
            <w:pPr>
              <w:pStyle w:val="TableContents"/>
              <w:spacing w:before="0" w:after="0"/>
              <w:ind w:left="0" w:right="0" w:hanging="0"/>
              <w:rPr/>
            </w:pPr>
            <w:r>
              <w:rPr/>
              <w:t>​</w:t>
            </w:r>
          </w:p>
        </w:tc>
        <w:tc>
          <w:tcPr>
            <w:tcW w:w="120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4,431</w:t>
            </w:r>
          </w:p>
        </w:tc>
        <w:tc>
          <w:tcPr>
            <w:tcW w:w="298" w:type="dxa"/>
            <w:tcBorders/>
            <w:shd w:fill="CCEEFF" w:val="clear"/>
            <w:vAlign w:val="center"/>
          </w:tcPr>
          <w:p>
            <w:pPr>
              <w:pStyle w:val="TableContents"/>
              <w:spacing w:before="0" w:after="0"/>
              <w:ind w:left="0" w:right="0" w:hanging="0"/>
              <w:rPr/>
            </w:pPr>
            <w:r>
              <w:rPr/>
              <w:t>​</w:t>
            </w:r>
          </w:p>
        </w:tc>
        <w:tc>
          <w:tcPr>
            <w:tcW w:w="120"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348" w:type="dxa"/>
            <w:tcBorders/>
            <w:shd w:fill="CCEEFF" w:val="clear"/>
            <w:vAlign w:val="center"/>
          </w:tcPr>
          <w:p>
            <w:pPr>
              <w:pStyle w:val="TableContents"/>
              <w:spacing w:before="0" w:after="0"/>
              <w:ind w:left="0" w:right="0" w:hanging="0"/>
              <w:rPr/>
            </w:pPr>
            <w:r>
              <w:rPr/>
              <w:t>​</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growth (GAAP)</w:t>
            </w:r>
          </w:p>
        </w:tc>
        <w:tc>
          <w:tcPr>
            <w:tcW w:w="109"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9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0"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Revenue growth in constant currency</w:t>
            </w: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9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w:t>
            </w:r>
          </w:p>
        </w:tc>
        <w:tc>
          <w:tcPr>
            <w:tcW w:w="109"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298" w:type="dxa"/>
            <w:tcBorders/>
            <w:shd w:fill="auto" w:val="clear"/>
            <w:vAlign w:val="center"/>
          </w:tcPr>
          <w:p>
            <w:pPr>
              <w:pStyle w:val="TableContents"/>
              <w:spacing w:before="0" w:after="0"/>
              <w:ind w:left="0" w:right="0" w:hanging="0"/>
              <w:jc w:val="right"/>
              <w:rPr/>
            </w:pPr>
            <w:r>
              <w:rPr/>
              <w:t>​</w:t>
            </w:r>
          </w:p>
        </w:tc>
        <w:tc>
          <w:tcPr>
            <w:tcW w:w="120"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c>
          <w:tcPr>
            <w:tcW w:w="348" w:type="dxa"/>
            <w:tcBorders/>
            <w:shd w:fill="auto" w:val="clear"/>
            <w:vAlign w:val="center"/>
          </w:tcPr>
          <w:p>
            <w:pPr>
              <w:pStyle w:val="TableContents"/>
              <w:spacing w:before="0" w:after="0"/>
              <w:ind w:left="0" w:right="0" w:hanging="0"/>
              <w:jc w:val="right"/>
              <w:rPr/>
            </w:pPr>
            <w:r>
              <w:rPr/>
              <w:t>​</w:t>
            </w:r>
          </w:p>
        </w:tc>
      </w:tr>
      <w:tr>
        <w:trPr/>
        <w:tc>
          <w:tcPr>
            <w:tcW w:w="331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sz w:val="15"/>
              </w:rPr>
              <w:t>(1)</w:t>
            </w:r>
          </w:p>
        </w:tc>
        <w:tc>
          <w:tcPr>
            <w:tcW w:w="109"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298" w:type="dxa"/>
            <w:tcBorders/>
            <w:shd w:fill="CCEEFF" w:val="clear"/>
            <w:vAlign w:val="center"/>
          </w:tcPr>
          <w:p>
            <w:pPr>
              <w:pStyle w:val="TableContents"/>
              <w:spacing w:before="0" w:after="0"/>
              <w:ind w:left="0" w:right="0" w:hanging="0"/>
              <w:rPr/>
            </w:pPr>
            <w:r>
              <w:rPr/>
              <w:t>​</w:t>
            </w:r>
          </w:p>
        </w:tc>
        <w:tc>
          <w:tcPr>
            <w:tcW w:w="120"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8" w:type="dxa"/>
            <w:tcBorders/>
            <w:shd w:fill="CCEEFF" w:val="clear"/>
            <w:vAlign w:val="center"/>
          </w:tcPr>
          <w:p>
            <w:pPr>
              <w:pStyle w:val="TableContents"/>
              <w:spacing w:before="0" w:after="0"/>
              <w:ind w:left="0" w:right="0" w:hanging="0"/>
              <w:rPr/>
            </w:pPr>
            <w:r>
              <w:rPr/>
              <w:t>​</w:t>
            </w:r>
          </w:p>
        </w:tc>
      </w:tr>
    </w:tbl>
    <w:p>
      <w:pPr>
        <w:pStyle w:val="TextBody"/>
        <w:pBdr/>
        <w:spacing w:before="0" w:after="0"/>
        <w:ind w:left="0" w:right="0" w:hanging="360"/>
        <w:rPr>
          <w:rFonts w:ascii="Times New Roman;Times;serif" w:hAnsi="Times New Roman;Times;serif"/>
          <w:sz w:val="16"/>
        </w:rPr>
      </w:pPr>
      <w:r>
        <w:rPr>
          <w:rFonts w:ascii="Times New Roman;Times;serif" w:hAnsi="Times New Roman;Times;serif"/>
          <w:sz w:val="16"/>
        </w:rPr>
        <w:t>(1)    Revenue growth in constant currency and adjusted EBITDA are non-GAAP financial metrics. For definitions of these metrics and a reconciliation of adjusted EBITDA to the most directly comparable financial measure calculated and presented in accordance with GAAP, see “⸺Segment Results.”</w:t>
      </w:r>
    </w:p>
    <w:p>
      <w:pPr>
        <w:pStyle w:val="TextBody"/>
        <w:spacing w:before="0" w:after="0"/>
        <w:ind w:left="0" w:right="0" w:hanging="0"/>
        <w:rPr/>
      </w:pPr>
      <w:r>
        <w:rPr/>
        <w:t>​</w:t>
      </w:r>
    </w:p>
    <w:p>
      <w:pPr>
        <w:pStyle w:val="Normal"/>
        <w:spacing w:before="0" w:after="0"/>
        <w:rPr>
          <w:sz w:val="4"/>
          <w:szCs w:val="4"/>
        </w:rPr>
      </w:pPr>
      <w:r>
        <w:rPr>
          <w:sz w:val="4"/>
          <w:szCs w:val="4"/>
        </w:rPr>
      </w:r>
      <w:bookmarkStart w:id="1299" w:name="_aefeb35b_5a5a_43ff_81b0_c64fc03b28fd"/>
      <w:bookmarkStart w:id="1300" w:name="_365afe6c_3177_4972_aafc_0f942aec7fab"/>
      <w:bookmarkStart w:id="1301" w:name="_d565a122_f816_4fec_8dd6_e71ad72b753a"/>
      <w:bookmarkStart w:id="1302" w:name="_f6ef8c74_4e9c_4e71_8047_8e19afb4450c"/>
      <w:bookmarkStart w:id="1303" w:name="_53ee5955_c3d3_4691_9c70_a7cb1e6f534c"/>
      <w:bookmarkStart w:id="1304" w:name="_be7d5818_9fee_434c_975e_c9b9999e45b7"/>
      <w:bookmarkStart w:id="1305" w:name="_4db6a481_ef44_4a2c_845e_5ae4608da5c7"/>
      <w:bookmarkStart w:id="1306" w:name="_ad636ca5_29d9_48f3_842c_0a671081bf7d"/>
      <w:bookmarkStart w:id="1307" w:name="_789e3934_d1a6_431f_994b_1fc642baedc5"/>
      <w:bookmarkStart w:id="1308" w:name="_db59ad7c_595d_4072_b2df_826f1adfabc0"/>
      <w:bookmarkStart w:id="1309" w:name="_6aeb3018_5649_4d32_91cf_b95afc3299d5"/>
      <w:bookmarkStart w:id="1310" w:name="_182e94bf_33a4_4eb2_a942_f20bab343f97"/>
      <w:bookmarkStart w:id="1311" w:name="_341ff9eb_6825_4a2f_8dc1_34114b738106"/>
      <w:bookmarkStart w:id="1312" w:name="_615d9728_e3d0_48b7_8269_baa147f2446a"/>
      <w:bookmarkStart w:id="1313" w:name="_aefeb35b_5a5a_43ff_81b0_c64fc03b28fd"/>
      <w:bookmarkStart w:id="1314" w:name="_365afe6c_3177_4972_aafc_0f942aec7fab"/>
      <w:bookmarkStart w:id="1315" w:name="_d565a122_f816_4fec_8dd6_e71ad72b753a"/>
      <w:bookmarkStart w:id="1316" w:name="_f6ef8c74_4e9c_4e71_8047_8e19afb4450c"/>
      <w:bookmarkStart w:id="1317" w:name="_53ee5955_c3d3_4691_9c70_a7cb1e6f534c"/>
      <w:bookmarkStart w:id="1318" w:name="_be7d5818_9fee_434c_975e_c9b9999e45b7"/>
      <w:bookmarkStart w:id="1319" w:name="_4db6a481_ef44_4a2c_845e_5ae4608da5c7"/>
      <w:bookmarkStart w:id="1320" w:name="_ad636ca5_29d9_48f3_842c_0a671081bf7d"/>
      <w:bookmarkStart w:id="1321" w:name="_789e3934_d1a6_431f_994b_1fc642baedc5"/>
      <w:bookmarkStart w:id="1322" w:name="_db59ad7c_595d_4072_b2df_826f1adfabc0"/>
      <w:bookmarkStart w:id="1323" w:name="_6aeb3018_5649_4d32_91cf_b95afc3299d5"/>
      <w:bookmarkStart w:id="1324" w:name="_182e94bf_33a4_4eb2_a942_f20bab343f97"/>
      <w:bookmarkStart w:id="1325" w:name="_341ff9eb_6825_4a2f_8dc1_34114b738106"/>
      <w:bookmarkStart w:id="1326" w:name="_615d9728_e3d0_48b7_8269_baa147f2446a"/>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p>
    <w:tbl>
      <w:tblPr>
        <w:tblW w:w="4238" w:type="dxa"/>
        <w:jc w:val="left"/>
        <w:tblInd w:w="0" w:type="dxa"/>
        <w:tblCellMar>
          <w:top w:w="0" w:type="dxa"/>
          <w:left w:w="0" w:type="dxa"/>
          <w:bottom w:w="0" w:type="dxa"/>
          <w:right w:w="0" w:type="dxa"/>
        </w:tblCellMar>
      </w:tblPr>
      <w:tblGrid>
        <w:gridCol w:w="1546"/>
        <w:gridCol w:w="326"/>
        <w:gridCol w:w="214"/>
        <w:gridCol w:w="686"/>
        <w:gridCol w:w="326"/>
        <w:gridCol w:w="258"/>
        <w:gridCol w:w="882"/>
      </w:tblGrid>
      <w:tr>
        <w:trPr/>
        <w:tc>
          <w:tcPr>
            <w:tcW w:w="15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pPr>
            <w:r>
              <w:rPr/>
              <w:t>​</w:t>
            </w:r>
          </w:p>
        </w:tc>
        <w:tc>
          <w:tcPr>
            <w:tcW w:w="882" w:type="dxa"/>
            <w:tcBorders/>
            <w:shd w:fill="auto" w:val="clear"/>
            <w:vAlign w:val="center"/>
          </w:tcPr>
          <w:p>
            <w:pPr>
              <w:pStyle w:val="TableContents"/>
              <w:spacing w:before="0" w:after="1"/>
              <w:ind w:left="0" w:right="0" w:hanging="0"/>
              <w:rPr/>
            </w:pPr>
            <w:r>
              <w:rPr/>
              <w:t>​</w:t>
            </w:r>
          </w:p>
        </w:tc>
      </w:tr>
      <w:tr>
        <w:trPr/>
        <w:tc>
          <w:tcPr>
            <w:tcW w:w="15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pPr>
            <w:r>
              <w:rPr/>
              <w:t>​</w:t>
            </w:r>
          </w:p>
        </w:tc>
        <w:tc>
          <w:tcPr>
            <w:tcW w:w="882" w:type="dxa"/>
            <w:tcBorders/>
            <w:shd w:fill="auto" w:val="clear"/>
            <w:vAlign w:val="center"/>
          </w:tcPr>
          <w:p>
            <w:pPr>
              <w:pStyle w:val="TableContents"/>
              <w:spacing w:before="0" w:after="1"/>
              <w:ind w:left="0" w:right="0" w:hanging="0"/>
              <w:rPr/>
            </w:pPr>
            <w:r>
              <w:rPr/>
              <w:t>​</w:t>
            </w:r>
          </w:p>
        </w:tc>
      </w:tr>
      <w:tr>
        <w:trPr/>
        <w:tc>
          <w:tcPr>
            <w:tcW w:w="15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11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4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90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jc w:val="center"/>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5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13,442</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13,213</w:t>
            </w:r>
          </w:p>
        </w:tc>
      </w:tr>
      <w:tr>
        <w:trPr/>
        <w:tc>
          <w:tcPr>
            <w:tcW w:w="15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8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10,730</w:t>
            </w:r>
          </w:p>
        </w:tc>
        <w:tc>
          <w:tcPr>
            <w:tcW w:w="326" w:type="dxa"/>
            <w:tcBorders/>
            <w:shd w:fill="auto" w:val="clear"/>
            <w:vAlign w:val="center"/>
          </w:tcPr>
          <w:p>
            <w:pPr>
              <w:pStyle w:val="TableContents"/>
              <w:spacing w:before="0" w:after="1"/>
              <w:ind w:left="0" w:right="0" w:hanging="0"/>
              <w:rPr/>
            </w:pPr>
            <w:r>
              <w:rPr/>
              <w:t>​</w:t>
            </w:r>
          </w:p>
        </w:tc>
        <w:tc>
          <w:tcPr>
            <w:tcW w:w="258" w:type="dxa"/>
            <w:tcBorders/>
            <w:shd w:fill="auto" w:val="clear"/>
            <w:vAlign w:val="center"/>
          </w:tcPr>
          <w:p>
            <w:pPr>
              <w:pStyle w:val="TableContents"/>
              <w:spacing w:before="0" w:after="1"/>
              <w:ind w:left="0" w:right="0" w:hanging="0"/>
              <w:rPr/>
            </w:pPr>
            <w:r>
              <w:rPr/>
              <w:t>​</w:t>
            </w:r>
          </w:p>
        </w:tc>
        <w:tc>
          <w:tcPr>
            <w:tcW w:w="8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10,446</w:t>
            </w:r>
          </w:p>
        </w:tc>
      </w:tr>
      <w:tr>
        <w:trPr/>
        <w:tc>
          <w:tcPr>
            <w:tcW w:w="15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Equity</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68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2,711</w:t>
            </w:r>
          </w:p>
        </w:tc>
        <w:tc>
          <w:tcPr>
            <w:tcW w:w="326" w:type="dxa"/>
            <w:tcBorders/>
            <w:shd w:fill="CCEEFF" w:val="clear"/>
            <w:vAlign w:val="center"/>
          </w:tcPr>
          <w:p>
            <w:pPr>
              <w:pStyle w:val="TableContents"/>
              <w:spacing w:before="0" w:after="1"/>
              <w:ind w:left="0" w:right="0" w:hanging="0"/>
              <w:rPr/>
            </w:pPr>
            <w:r>
              <w:rPr/>
              <w:t>​</w:t>
            </w:r>
          </w:p>
        </w:tc>
        <w:tc>
          <w:tcPr>
            <w:tcW w:w="258" w:type="dxa"/>
            <w:tcBorders/>
            <w:shd w:fill="CCEEFF" w:val="clear"/>
            <w:vAlign w:val="center"/>
          </w:tcPr>
          <w:p>
            <w:pPr>
              <w:pStyle w:val="TableContents"/>
              <w:spacing w:before="0" w:after="1"/>
              <w:ind w:left="0" w:right="0" w:hanging="0"/>
              <w:rPr/>
            </w:pPr>
            <w:r>
              <w:rPr/>
              <w:t>​</w:t>
            </w:r>
          </w:p>
        </w:tc>
        <w:tc>
          <w:tcPr>
            <w:tcW w:w="882" w:type="dxa"/>
            <w:tcBorders/>
            <w:shd w:fill="CCEEFF"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2,767</w:t>
            </w:r>
          </w:p>
        </w:tc>
      </w:tr>
    </w:tbl>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Organization of Information</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Kyndryl Holdings, Inc. was formed as a wholly-owned subsidiary of IBM in September 2021 to hold the operations of the managed infrastructure services unit of IBM’s Global Technology Services segment. On November 3, 2021, IBM distributed shares representing 80.1% of Kyndryl’s outstanding common stock to holders of record of IBM’s common stock as of the close of business on October 25, 2021, in a Spin-off that is tax-free for U.S. federal tax purposes. Following the distribution, Kyndryl became an independent, publicly-traded company and is the world’s leading managed infrastructure services provider.</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Kyndryl utilized allocations and carve-out methodologies through November 3, 2021, to prepare historical financial statements. The consolidated financial statements for the pre-Separation periods herein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“Basis of Presentation” in Note 1 – Significant Accounting Policies to the accompanying Consolidated Financial Statements.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Financial Performance Summary</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Macro Dynamics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In 2021, we saw a broad-based macroeconomic recovery in most regions of the world. Demand for technology services rebounded, as large organizations again demonstrated a need for assistance in designing, building, managing and modernizing their technology systems. Thus far in 2022, we have seen continued global economic growth and continuing demand for information technology services, despite increased geopolitical tensions, lingering effects of the COVID-19 pandemic, inflationary pressures and belated government efforts to stem inflation. Most economists, including the International Monetary Fund, expect global macroeconomic growth to continue in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2022 Financial Performance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2022, we reported $4.4 billion in revenue, a decline of 7 percent when compared to the prior year, primarily driven by a four-point negative impact from currency. United States revenue declined 5 percent, Japan revenue declined 7 percent, Principal Markets revenue declined 14 percent and Strategic Markets revenue increased 2 percent compared to the three months ended March 31, 2021. Net loss of $229 million improved by $265 million versus the prior year, primarily driven by cost reductions, including the benefit from workforce actions taken in prior periods.</w:t>
      </w:r>
    </w:p>
    <w:p>
      <w:pPr>
        <w:pStyle w:val="TextBody"/>
        <w:spacing w:before="0" w:after="240"/>
        <w:ind w:left="0" w:right="0" w:hanging="0"/>
        <w:rPr>
          <w:rFonts w:ascii="Times New Roman;Times;serif" w:hAnsi="Times New Roman;Times;serif"/>
          <w:b/>
          <w:i/>
          <w:sz w:val="20"/>
        </w:rPr>
      </w:pPr>
      <w:bookmarkStart w:id="1327" w:name="_Hlk100915138"/>
      <w:bookmarkEnd w:id="1327"/>
      <w:r>
        <w:rPr>
          <w:rFonts w:ascii="Times New Roman;Times;serif" w:hAnsi="Times New Roman;Times;serif"/>
          <w:b/>
          <w:i/>
          <w:sz w:val="20"/>
        </w:rPr>
        <w:t>Segment Results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As a result of the Separation, in the fourth quarter of 2021, the Company implemented a new operating model and reporting structure resulting in four reportable segments: United States, Japan, Principal Markets and Strategic Markets. Principal Markets consists of our operations in Australia/New Zealand, Canada, France, Germany, Italy, India, Spain/Portugal and United Kingdom/Ireland. Strategic Markets consists of our operations in all other countries in which we operate. In addition to this change, the measures of segment operating performance changed to revenue and adjusted EBITDA. The Company has recast the prior-period results to reflect this change in segment structure. During the current quarter, the Company updated certain allocation methodologies among segments related to its measure of adjusted EBITDA and has accordingly recast the prior-period information to reflect these updates, which did not change the aggregate amount of adjusted EBITDA.</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presents our reportable segments’ revenue and adjusted EBITDA for the three months ended March 31, 2022 and 2021. Segment revenue and revenue growth in constant currency exclude any transactions between the segments.</w:t>
      </w:r>
    </w:p>
    <w:p>
      <w:pPr>
        <w:pStyle w:val="TextBody"/>
        <w:spacing w:before="0" w:after="240"/>
        <w:ind w:left="0" w:right="0" w:firstLine="720"/>
        <w:rPr/>
      </w:pPr>
      <w:r>
        <w:rPr/>
        <w:t>​</w:t>
      </w:r>
    </w:p>
    <w:p>
      <w:pPr>
        <w:pStyle w:val="Normal"/>
        <w:spacing w:before="0" w:after="0"/>
        <w:rPr>
          <w:sz w:val="4"/>
          <w:szCs w:val="4"/>
        </w:rPr>
      </w:pPr>
      <w:r>
        <w:rPr>
          <w:sz w:val="4"/>
          <w:szCs w:val="4"/>
        </w:rPr>
      </w:r>
      <w:bookmarkStart w:id="1328" w:name="_35e29650_fd13_4616_a11a_8318df7e3632"/>
      <w:bookmarkStart w:id="1329" w:name="_cbff8750_61e2_4e1a_9098_e05c1275bb48"/>
      <w:bookmarkStart w:id="1330" w:name="_16226e0c_6b81_47ee_95e0_3b94518dad32"/>
      <w:bookmarkStart w:id="1331" w:name="_394915a4_20ba_42b0_8b5d_99125ad5e052"/>
      <w:bookmarkStart w:id="1332" w:name="_c9b69608_c3df_4b10_84aa_4eaa8d598022"/>
      <w:bookmarkStart w:id="1333" w:name="_13ea3930_c78f_4a21_87a4_554a8ff7c5df"/>
      <w:bookmarkStart w:id="1334" w:name="_c2f3da83_1ab4_4117_887e_7d7d1ffda314"/>
      <w:bookmarkStart w:id="1335" w:name="_1f67e22f_8237_4b69_9d59_a7fd2bf9cb76"/>
      <w:bookmarkStart w:id="1336" w:name="_7eae220e_2265_4421_8a5b_15f6bfdd1731"/>
      <w:bookmarkStart w:id="1337" w:name="_b522fd14_0a92_4371_85b7_39b9b405ae8f"/>
      <w:bookmarkStart w:id="1338" w:name="_fa364fe5_fcfa_498f_9412_014c495a64f0"/>
      <w:bookmarkStart w:id="1339" w:name="_a823fcea_a4bf_43a4_bcb3_e57b708b9a6e"/>
      <w:bookmarkStart w:id="1340" w:name="_7ed714d3_d4ad_4ae4_89ac_b13e79e05fe7"/>
      <w:bookmarkStart w:id="1341" w:name="_e3a5166f_64d8_47c4_951f_4a40a7aac516"/>
      <w:bookmarkStart w:id="1342" w:name="_72d740fc_acd3_44e5_85c8_b393d4e3ab94"/>
      <w:bookmarkStart w:id="1343" w:name="_3920b47a_5af5_472d_abb2_43e0283f20e8"/>
      <w:bookmarkStart w:id="1344" w:name="_85b8dcd1_3d71_4c09_8c58_5ea9e90db4f4"/>
      <w:bookmarkStart w:id="1345" w:name="_afa7ebcc_d0a4_4f44_b388_cb1fd568cb0a"/>
      <w:bookmarkStart w:id="1346" w:name="_9c464186_00e9_40ee_a2e8_852f63f3ab86"/>
      <w:bookmarkStart w:id="1347" w:name="_cf35b52e_e3c9_4206_8289_1b79c6b3611a"/>
      <w:bookmarkStart w:id="1348" w:name="_52062487_52f1_4fa3_abaf_e1d771972fae"/>
      <w:bookmarkStart w:id="1349" w:name="_4e3a7793_b030_4fca_a695_209d602a5869"/>
      <w:bookmarkStart w:id="1350" w:name="_46f262d3_03be_4842_82ba_55254ac41887"/>
      <w:bookmarkStart w:id="1351" w:name="_e9d75a9e_3151_4091_aa9a_dc79b4d306d4"/>
      <w:bookmarkStart w:id="1352" w:name="_ca9bbb23_dca8_49f6_bed3_6c63ab2c283e"/>
      <w:bookmarkStart w:id="1353" w:name="_ba13ed94_c1c7_4255_bff9_c3a49e4c8fd1"/>
      <w:bookmarkStart w:id="1354" w:name="_38c008fa_cdf7_47ff_88f5_15972c27b28e"/>
      <w:bookmarkStart w:id="1355" w:name="_5984901e_b9cc_4b27_9b8f_f2735c47087d"/>
      <w:bookmarkStart w:id="1356" w:name="_dfb8ca3d_7b96_4e73_ab4a_a168157e50ea"/>
      <w:bookmarkStart w:id="1357" w:name="_35e29650_fd13_4616_a11a_8318df7e3632"/>
      <w:bookmarkStart w:id="1358" w:name="_cbff8750_61e2_4e1a_9098_e05c1275bb48"/>
      <w:bookmarkStart w:id="1359" w:name="_16226e0c_6b81_47ee_95e0_3b94518dad32"/>
      <w:bookmarkStart w:id="1360" w:name="_394915a4_20ba_42b0_8b5d_99125ad5e052"/>
      <w:bookmarkStart w:id="1361" w:name="_c9b69608_c3df_4b10_84aa_4eaa8d598022"/>
      <w:bookmarkStart w:id="1362" w:name="_13ea3930_c78f_4a21_87a4_554a8ff7c5df"/>
      <w:bookmarkStart w:id="1363" w:name="_c2f3da83_1ab4_4117_887e_7d7d1ffda314"/>
      <w:bookmarkStart w:id="1364" w:name="_1f67e22f_8237_4b69_9d59_a7fd2bf9cb76"/>
      <w:bookmarkStart w:id="1365" w:name="_7eae220e_2265_4421_8a5b_15f6bfdd1731"/>
      <w:bookmarkStart w:id="1366" w:name="_b522fd14_0a92_4371_85b7_39b9b405ae8f"/>
      <w:bookmarkStart w:id="1367" w:name="_fa364fe5_fcfa_498f_9412_014c495a64f0"/>
      <w:bookmarkStart w:id="1368" w:name="_a823fcea_a4bf_43a4_bcb3_e57b708b9a6e"/>
      <w:bookmarkStart w:id="1369" w:name="_7ed714d3_d4ad_4ae4_89ac_b13e79e05fe7"/>
      <w:bookmarkStart w:id="1370" w:name="_e3a5166f_64d8_47c4_951f_4a40a7aac516"/>
      <w:bookmarkStart w:id="1371" w:name="_72d740fc_acd3_44e5_85c8_b393d4e3ab94"/>
      <w:bookmarkStart w:id="1372" w:name="_3920b47a_5af5_472d_abb2_43e0283f20e8"/>
      <w:bookmarkStart w:id="1373" w:name="_85b8dcd1_3d71_4c09_8c58_5ea9e90db4f4"/>
      <w:bookmarkStart w:id="1374" w:name="_afa7ebcc_d0a4_4f44_b388_cb1fd568cb0a"/>
      <w:bookmarkStart w:id="1375" w:name="_9c464186_00e9_40ee_a2e8_852f63f3ab86"/>
      <w:bookmarkStart w:id="1376" w:name="_cf35b52e_e3c9_4206_8289_1b79c6b3611a"/>
      <w:bookmarkStart w:id="1377" w:name="_52062487_52f1_4fa3_abaf_e1d771972fae"/>
      <w:bookmarkStart w:id="1378" w:name="_4e3a7793_b030_4fca_a695_209d602a5869"/>
      <w:bookmarkStart w:id="1379" w:name="_46f262d3_03be_4842_82ba_55254ac41887"/>
      <w:bookmarkStart w:id="1380" w:name="_e9d75a9e_3151_4091_aa9a_dc79b4d306d4"/>
      <w:bookmarkStart w:id="1381" w:name="_ca9bbb23_dca8_49f6_bed3_6c63ab2c283e"/>
      <w:bookmarkStart w:id="1382" w:name="_ba13ed94_c1c7_4255_bff9_c3a49e4c8fd1"/>
      <w:bookmarkStart w:id="1383" w:name="_38c008fa_cdf7_47ff_88f5_15972c27b28e"/>
      <w:bookmarkStart w:id="1384" w:name="_5984901e_b9cc_4b27_9b8f_f2735c47087d"/>
      <w:bookmarkStart w:id="1385" w:name="_dfb8ca3d_7b96_4e73_ab4a_a168157e50ea"/>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p>
    <w:tbl>
      <w:tblPr>
        <w:tblW w:w="8172" w:type="dxa"/>
        <w:jc w:val="left"/>
        <w:tblInd w:w="0" w:type="dxa"/>
        <w:tblCellMar>
          <w:top w:w="0" w:type="dxa"/>
          <w:left w:w="0" w:type="dxa"/>
          <w:bottom w:w="0" w:type="dxa"/>
          <w:right w:w="0" w:type="dxa"/>
        </w:tblCellMar>
      </w:tblPr>
      <w:tblGrid>
        <w:gridCol w:w="3421"/>
        <w:gridCol w:w="326"/>
        <w:gridCol w:w="228"/>
        <w:gridCol w:w="618"/>
        <w:gridCol w:w="293"/>
        <w:gridCol w:w="118"/>
        <w:gridCol w:w="228"/>
        <w:gridCol w:w="618"/>
        <w:gridCol w:w="293"/>
        <w:gridCol w:w="109"/>
        <w:gridCol w:w="1096"/>
        <w:gridCol w:w="824"/>
      </w:tblGrid>
      <w:tr>
        <w:trPr/>
        <w:tc>
          <w:tcPr>
            <w:tcW w:w="3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72335" cy="175260"/>
                      <wp:effectExtent l="0" t="0" r="0" b="0"/>
                      <wp:wrapNone/>
                      <wp:docPr id="240" name="Frame240"/>
                      <a:graphic xmlns:a="http://schemas.openxmlformats.org/drawingml/2006/main">
                        <a:graphicData uri="http://schemas.microsoft.com/office/word/2010/wordprocessingShape">
                          <wps:wsp>
                            <wps:cNvSpPr txBox="1"/>
                            <wps:spPr>
                              <a:xfrm>
                                <a:off x="0" y="0"/>
                                <a:ext cx="2172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44780" cy="175260"/>
                      <wp:effectExtent l="0" t="0" r="0" b="0"/>
                      <wp:wrapNone/>
                      <wp:docPr id="241" name="Frame241"/>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92430" cy="175260"/>
                      <wp:effectExtent l="0" t="0" r="0" b="0"/>
                      <wp:wrapNone/>
                      <wp:docPr id="242" name="Frame242"/>
                      <a:graphic xmlns:a="http://schemas.openxmlformats.org/drawingml/2006/main">
                        <a:graphicData uri="http://schemas.microsoft.com/office/word/2010/wordprocessingShape">
                          <wps:wsp>
                            <wps:cNvSpPr txBox="1"/>
                            <wps:spPr>
                              <a:xfrm>
                                <a:off x="0" y="0"/>
                                <a:ext cx="392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6055" cy="175260"/>
                      <wp:effectExtent l="0" t="0" r="0" b="0"/>
                      <wp:wrapNone/>
                      <wp:docPr id="243" name="Frame243"/>
                      <a:graphic xmlns:a="http://schemas.openxmlformats.org/drawingml/2006/main">
                        <a:graphicData uri="http://schemas.microsoft.com/office/word/2010/wordprocessingShape">
                          <wps:wsp>
                            <wps:cNvSpPr txBox="1"/>
                            <wps:spPr>
                              <a:xfrm>
                                <a:off x="0" y="0"/>
                                <a:ext cx="186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74930" cy="175260"/>
                      <wp:effectExtent l="0" t="0" r="0" b="0"/>
                      <wp:wrapNone/>
                      <wp:docPr id="244" name="Frame244"/>
                      <a:graphic xmlns:a="http://schemas.openxmlformats.org/drawingml/2006/main">
                        <a:graphicData uri="http://schemas.microsoft.com/office/word/2010/wordprocessingShape">
                          <wps:wsp>
                            <wps:cNvSpPr txBox="1"/>
                            <wps:spPr>
                              <a:xfrm>
                                <a:off x="0" y="0"/>
                                <a:ext cx="74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44780" cy="175260"/>
                      <wp:effectExtent l="0" t="0" r="0" b="0"/>
                      <wp:wrapNone/>
                      <wp:docPr id="245" name="Frame245"/>
                      <a:graphic xmlns:a="http://schemas.openxmlformats.org/drawingml/2006/main">
                        <a:graphicData uri="http://schemas.microsoft.com/office/word/2010/wordprocessingShape">
                          <wps:wsp>
                            <wps:cNvSpPr txBox="1"/>
                            <wps:spPr>
                              <a:xfrm>
                                <a:off x="0" y="0"/>
                                <a:ext cx="144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92430" cy="175260"/>
                      <wp:effectExtent l="0" t="0" r="0" b="0"/>
                      <wp:wrapNone/>
                      <wp:docPr id="246" name="Frame246"/>
                      <a:graphic xmlns:a="http://schemas.openxmlformats.org/drawingml/2006/main">
                        <a:graphicData uri="http://schemas.microsoft.com/office/word/2010/wordprocessingShape">
                          <wps:wsp>
                            <wps:cNvSpPr txBox="1"/>
                            <wps:spPr>
                              <a:xfrm>
                                <a:off x="0" y="0"/>
                                <a:ext cx="392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86055" cy="175260"/>
                      <wp:effectExtent l="0" t="0" r="0" b="0"/>
                      <wp:wrapNone/>
                      <wp:docPr id="247" name="Frame247"/>
                      <a:graphic xmlns:a="http://schemas.openxmlformats.org/drawingml/2006/main">
                        <a:graphicData uri="http://schemas.microsoft.com/office/word/2010/wordprocessingShape">
                          <wps:wsp>
                            <wps:cNvSpPr txBox="1"/>
                            <wps:spPr>
                              <a:xfrm>
                                <a:off x="0" y="0"/>
                                <a:ext cx="186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9215" cy="175260"/>
                      <wp:effectExtent l="0" t="0" r="0" b="0"/>
                      <wp:wrapNone/>
                      <wp:docPr id="248" name="Frame2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95960" cy="175260"/>
                      <wp:effectExtent l="0" t="0" r="0" b="0"/>
                      <wp:wrapNone/>
                      <wp:docPr id="249" name="Frame249"/>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23240" cy="175260"/>
                      <wp:effectExtent l="0" t="0" r="0" b="0"/>
                      <wp:wrapNone/>
                      <wp:docPr id="250" name="Frame250"/>
                      <a:graphic xmlns:a="http://schemas.openxmlformats.org/drawingml/2006/main">
                        <a:graphicData uri="http://schemas.microsoft.com/office/word/2010/wordprocessingShape">
                          <wps:wsp>
                            <wps:cNvSpPr txBox="1"/>
                            <wps:spPr>
                              <a:xfrm>
                                <a:off x="0" y="0"/>
                                <a:ext cx="523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96"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09" w:type="dxa"/>
            <w:tcBorders/>
            <w:shd w:fill="auto" w:val="clear"/>
            <w:vAlign w:val="center"/>
          </w:tcPr>
          <w:p>
            <w:pPr>
              <w:pStyle w:val="TableContents"/>
              <w:spacing w:before="0" w:after="0"/>
              <w:ind w:left="0" w:right="0" w:hanging="0"/>
              <w:rPr/>
            </w:pPr>
            <w:r>
              <w:rPr/>
              <w:t>​</w:t>
            </w:r>
          </w:p>
        </w:tc>
        <w:tc>
          <w:tcPr>
            <w:tcW w:w="19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342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13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18" w:type="dxa"/>
            <w:tcBorders/>
            <w:shd w:fill="auto" w:val="clear"/>
            <w:vAlign w:val="center"/>
          </w:tcPr>
          <w:p>
            <w:pPr>
              <w:pStyle w:val="TableContents"/>
              <w:spacing w:before="0" w:after="0"/>
              <w:ind w:left="0" w:right="0" w:hanging="0"/>
              <w:jc w:val="center"/>
              <w:rPr/>
            </w:pPr>
            <w:r>
              <w:rPr/>
              <w:t>​</w:t>
            </w:r>
          </w:p>
        </w:tc>
        <w:tc>
          <w:tcPr>
            <w:tcW w:w="113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jc w:val="center"/>
              <w:rPr/>
            </w:pPr>
            <w:r>
              <w:rPr/>
              <w:t>​</w:t>
            </w:r>
          </w:p>
        </w:tc>
        <w:tc>
          <w:tcPr>
            <w:tcW w:w="19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 vs. 2021</w:t>
            </w:r>
          </w:p>
        </w:tc>
      </w:tr>
      <w:tr>
        <w:trPr/>
        <w:tc>
          <w:tcPr>
            <w:tcW w:w="342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618" w:type="dxa"/>
            <w:tcBorders/>
            <w:shd w:fill="CCEEFF" w:val="clear"/>
            <w:vAlign w:val="center"/>
          </w:tcPr>
          <w:p>
            <w:pPr>
              <w:pStyle w:val="TableContents"/>
              <w:spacing w:before="0" w:after="0"/>
              <w:ind w:left="0" w:right="0" w:hanging="0"/>
              <w:rPr/>
            </w:pPr>
            <w:r>
              <w:rPr/>
              <w:t>​</w:t>
            </w:r>
          </w:p>
        </w:tc>
        <w:tc>
          <w:tcPr>
            <w:tcW w:w="293" w:type="dxa"/>
            <w:tcBorders/>
            <w:shd w:fill="CCEEFF" w:val="clear"/>
            <w:vAlign w:val="center"/>
          </w:tcPr>
          <w:p>
            <w:pPr>
              <w:pStyle w:val="TableContents"/>
              <w:spacing w:before="0" w:after="0"/>
              <w:ind w:left="0" w:right="0" w:hanging="0"/>
              <w:rPr/>
            </w:pPr>
            <w:r>
              <w:rPr/>
              <w:t>​</w:t>
            </w:r>
          </w:p>
        </w:tc>
        <w:tc>
          <w:tcPr>
            <w:tcW w:w="118"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618" w:type="dxa"/>
            <w:tcBorders/>
            <w:shd w:fill="CCEEFF" w:val="clear"/>
            <w:vAlign w:val="center"/>
          </w:tcPr>
          <w:p>
            <w:pPr>
              <w:pStyle w:val="TableContents"/>
              <w:spacing w:before="0" w:after="0"/>
              <w:ind w:left="0" w:right="0" w:hanging="0"/>
              <w:rPr/>
            </w:pPr>
            <w:r>
              <w:rPr/>
              <w:t>​</w:t>
            </w:r>
          </w:p>
        </w:tc>
        <w:tc>
          <w:tcPr>
            <w:tcW w:w="29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rPr/>
            </w:pPr>
            <w:r>
              <w:rPr/>
              <w:t>​</w:t>
            </w:r>
          </w:p>
        </w:tc>
        <w:tc>
          <w:tcPr>
            <w:tcW w:w="824" w:type="dxa"/>
            <w:tcBorders/>
            <w:shd w:fill="CCEEFF" w:val="clear"/>
            <w:vAlign w:val="center"/>
          </w:tcPr>
          <w:p>
            <w:pPr>
              <w:pStyle w:val="TableContents"/>
              <w:spacing w:before="0" w:after="0"/>
              <w:ind w:left="0" w:right="0" w:hanging="0"/>
              <w:rPr/>
            </w:pPr>
            <w:r>
              <w:rPr/>
              <w:t>​</w:t>
            </w:r>
          </w:p>
        </w:tc>
      </w:tr>
      <w:tr>
        <w:trPr/>
        <w:tc>
          <w:tcPr>
            <w:tcW w:w="3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1,169</w:t>
            </w:r>
          </w:p>
        </w:tc>
        <w:tc>
          <w:tcPr>
            <w:tcW w:w="293" w:type="dxa"/>
            <w:tcBorders/>
            <w:shd w:fill="auto" w:val="clear"/>
            <w:vAlign w:val="center"/>
          </w:tcPr>
          <w:p>
            <w:pPr>
              <w:pStyle w:val="TableContents"/>
              <w:spacing w:before="0" w:after="0"/>
              <w:ind w:left="0" w:right="0" w:hanging="0"/>
              <w:rPr/>
            </w:pPr>
            <w:r>
              <w:rPr/>
              <w:t>​</w:t>
            </w:r>
          </w:p>
        </w:tc>
        <w:tc>
          <w:tcPr>
            <w:tcW w:w="118"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c>
          <w:tcPr>
            <w:tcW w:w="29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293" w:type="dxa"/>
            <w:tcBorders/>
            <w:shd w:fill="CCEEFF" w:val="clear"/>
            <w:vAlign w:val="center"/>
          </w:tcPr>
          <w:p>
            <w:pPr>
              <w:pStyle w:val="TableContents"/>
              <w:spacing w:before="0" w:after="0"/>
              <w:ind w:left="0" w:right="0" w:hanging="0"/>
              <w:rPr/>
            </w:pPr>
            <w:r>
              <w:rPr/>
              <w:t>​</w:t>
            </w:r>
          </w:p>
        </w:tc>
        <w:tc>
          <w:tcPr>
            <w:tcW w:w="118" w:type="dxa"/>
            <w:tcBorders/>
            <w:shd w:fill="CCEEFF" w:val="clear"/>
            <w:vAlign w:val="center"/>
          </w:tcPr>
          <w:p>
            <w:pPr>
              <w:pStyle w:val="TableContents"/>
              <w:spacing w:before="0" w:after="0"/>
              <w:ind w:left="0" w:right="0" w:hanging="0"/>
              <w:jc w:val="right"/>
              <w:rPr/>
            </w:pPr>
            <w:r>
              <w:rPr/>
              <w:t>​</w:t>
            </w:r>
          </w:p>
        </w:tc>
        <w:tc>
          <w:tcPr>
            <w:tcW w:w="228" w:type="dxa"/>
            <w:tcBorders/>
            <w:shd w:fill="CCEEFF" w:val="clear"/>
            <w:vAlign w:val="center"/>
          </w:tcPr>
          <w:p>
            <w:pPr>
              <w:pStyle w:val="TableContents"/>
              <w:spacing w:before="0" w:after="0"/>
              <w:ind w:left="0" w:right="0" w:hanging="0"/>
              <w:rPr/>
            </w:pPr>
            <w:r>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763</w:t>
            </w:r>
          </w:p>
        </w:tc>
        <w:tc>
          <w:tcPr>
            <w:tcW w:w="29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8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1,579</w:t>
            </w:r>
          </w:p>
        </w:tc>
        <w:tc>
          <w:tcPr>
            <w:tcW w:w="293" w:type="dxa"/>
            <w:tcBorders/>
            <w:shd w:fill="auto" w:val="clear"/>
            <w:vAlign w:val="center"/>
          </w:tcPr>
          <w:p>
            <w:pPr>
              <w:pStyle w:val="TableContents"/>
              <w:spacing w:before="0" w:after="0"/>
              <w:ind w:left="0" w:right="0" w:hanging="0"/>
              <w:rPr/>
            </w:pPr>
            <w:r>
              <w:rPr/>
              <w:t>​</w:t>
            </w:r>
          </w:p>
        </w:tc>
        <w:tc>
          <w:tcPr>
            <w:tcW w:w="118"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29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8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29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8"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29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824"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4,431</w:t>
            </w:r>
          </w:p>
        </w:tc>
        <w:tc>
          <w:tcPr>
            <w:tcW w:w="293"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18" w:type="dxa"/>
            <w:tcBorders/>
            <w:shd w:fill="auto" w:val="clear"/>
            <w:vAlign w:val="center"/>
          </w:tcPr>
          <w:p>
            <w:pPr>
              <w:pStyle w:val="TableContents"/>
              <w:spacing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4,771</w:t>
            </w:r>
          </w:p>
        </w:tc>
        <w:tc>
          <w:tcPr>
            <w:tcW w:w="293"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8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Revenue growth in constant currency</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9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rPr/>
            </w:pPr>
            <w:r>
              <w:rPr/>
              <w:t>​</w:t>
            </w:r>
          </w:p>
        </w:tc>
        <w:tc>
          <w:tcPr>
            <w:tcW w:w="824" w:type="dxa"/>
            <w:tcBorders/>
            <w:shd w:fill="CCEEFF" w:val="clear"/>
            <w:vAlign w:val="center"/>
          </w:tcPr>
          <w:p>
            <w:pPr>
              <w:pStyle w:val="TableContents"/>
              <w:spacing w:before="0" w:after="0"/>
              <w:ind w:left="0" w:right="0" w:hanging="0"/>
              <w:rPr/>
            </w:pPr>
            <w:r>
              <w:rPr/>
              <w:t>​</w:t>
            </w:r>
          </w:p>
        </w:tc>
      </w:tr>
      <w:tr>
        <w:trPr/>
        <w:tc>
          <w:tcPr>
            <w:tcW w:w="342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Adjusted EBITDA</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pPr>
            <w:r>
              <w:rPr/>
              <w:t>​</w:t>
            </w:r>
          </w:p>
        </w:tc>
        <w:tc>
          <w:tcPr>
            <w:tcW w:w="293" w:type="dxa"/>
            <w:tcBorders/>
            <w:shd w:fill="auto" w:val="clear"/>
            <w:vAlign w:val="center"/>
          </w:tcPr>
          <w:p>
            <w:pPr>
              <w:pStyle w:val="TableContents"/>
              <w:spacing w:before="0" w:after="0"/>
              <w:ind w:left="0" w:right="0" w:hanging="0"/>
              <w:rPr/>
            </w:pPr>
            <w:r>
              <w:rPr/>
              <w:t>​</w:t>
            </w:r>
          </w:p>
        </w:tc>
        <w:tc>
          <w:tcPr>
            <w:tcW w:w="118"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pPr>
            <w:r>
              <w:rPr/>
              <w:t>​</w:t>
            </w:r>
          </w:p>
        </w:tc>
        <w:tc>
          <w:tcPr>
            <w:tcW w:w="29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rPr/>
            </w:pPr>
            <w:r>
              <w:rPr/>
              <w:t>​</w:t>
            </w:r>
          </w:p>
        </w:tc>
        <w:tc>
          <w:tcPr>
            <w:tcW w:w="824" w:type="dxa"/>
            <w:tcBorders/>
            <w:shd w:fill="auto" w:val="clear"/>
            <w:vAlign w:val="center"/>
          </w:tcPr>
          <w:p>
            <w:pPr>
              <w:pStyle w:val="TableContents"/>
              <w:spacing w:before="0" w:after="0"/>
              <w:ind w:left="0" w:right="0" w:hanging="0"/>
              <w:rPr/>
            </w:pPr>
            <w:r>
              <w:rPr/>
              <w:t>​</w:t>
            </w:r>
          </w:p>
        </w:tc>
      </w:tr>
      <w:tr>
        <w:trPr/>
        <w:tc>
          <w:tcPr>
            <w:tcW w:w="34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293" w:type="dxa"/>
            <w:tcBorders/>
            <w:shd w:fill="CCEEFF" w:val="clear"/>
            <w:vAlign w:val="center"/>
          </w:tcPr>
          <w:p>
            <w:pPr>
              <w:pStyle w:val="TableContents"/>
              <w:spacing w:before="0" w:after="0"/>
              <w:ind w:left="0" w:right="0" w:hanging="0"/>
              <w:rPr/>
            </w:pPr>
            <w:r>
              <w:rPr/>
              <w:t>​</w:t>
            </w:r>
          </w:p>
        </w:tc>
        <w:tc>
          <w:tcPr>
            <w:tcW w:w="118"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29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38 </w:t>
            </w:r>
          </w:p>
        </w:tc>
        <w:tc>
          <w:tcPr>
            <w:tcW w:w="8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Japan</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293" w:type="dxa"/>
            <w:tcBorders/>
            <w:shd w:fill="auto" w:val="clear"/>
            <w:vAlign w:val="center"/>
          </w:tcPr>
          <w:p>
            <w:pPr>
              <w:pStyle w:val="TableContents"/>
              <w:spacing w:before="0" w:after="0"/>
              <w:ind w:left="0" w:right="0" w:hanging="0"/>
              <w:rPr/>
            </w:pPr>
            <w:r>
              <w:rPr/>
              <w:t>​</w:t>
            </w:r>
          </w:p>
        </w:tc>
        <w:tc>
          <w:tcPr>
            <w:tcW w:w="118"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29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 </w:t>
            </w:r>
          </w:p>
        </w:tc>
        <w:tc>
          <w:tcPr>
            <w:tcW w:w="8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Markets</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293" w:type="dxa"/>
            <w:tcBorders/>
            <w:shd w:fill="CCEEFF" w:val="clear"/>
            <w:vAlign w:val="center"/>
          </w:tcPr>
          <w:p>
            <w:pPr>
              <w:pStyle w:val="TableContents"/>
              <w:spacing w:before="0" w:after="0"/>
              <w:ind w:left="0" w:right="0" w:hanging="0"/>
              <w:rPr/>
            </w:pPr>
            <w:r>
              <w:rPr/>
              <w:t>​</w:t>
            </w:r>
          </w:p>
        </w:tc>
        <w:tc>
          <w:tcPr>
            <w:tcW w:w="118"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pPr>
            <w:r>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29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 </w:t>
            </w:r>
          </w:p>
        </w:tc>
        <w:tc>
          <w:tcPr>
            <w:tcW w:w="8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Markets</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293" w:type="dxa"/>
            <w:tcBorders/>
            <w:shd w:fill="auto" w:val="clear"/>
            <w:vAlign w:val="center"/>
          </w:tcPr>
          <w:p>
            <w:pPr>
              <w:pStyle w:val="TableContents"/>
              <w:spacing w:before="0" w:after="0"/>
              <w:ind w:left="0" w:right="0" w:hanging="0"/>
              <w:rPr/>
            </w:pPr>
            <w:r>
              <w:rPr/>
              <w:t>​</w:t>
            </w:r>
          </w:p>
        </w:tc>
        <w:tc>
          <w:tcPr>
            <w:tcW w:w="118"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29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2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42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Corporate and other</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29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8" w:type="dxa"/>
            <w:tcBorders/>
            <w:shd w:fill="CCEEFF" w:val="clear"/>
            <w:vAlign w:val="center"/>
          </w:tcPr>
          <w:p>
            <w:pPr>
              <w:pStyle w:val="TableContents"/>
              <w:spacing w:before="0" w:after="0"/>
              <w:ind w:left="0" w:right="0" w:hanging="0"/>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29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82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r>
        <w:trPr/>
        <w:tc>
          <w:tcPr>
            <w:tcW w:w="342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b/>
                <w:sz w:val="20"/>
              </w:rPr>
              <w:t>Total adjusted EBITDA</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293"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18" w:type="dxa"/>
            <w:tcBorders/>
            <w:shd w:fill="auto" w:val="clear"/>
            <w:vAlign w:val="center"/>
          </w:tcPr>
          <w:p>
            <w:pPr>
              <w:pStyle w:val="TableContents"/>
              <w:spacing w:before="0" w:after="0"/>
              <w:ind w:left="0" w:right="0" w:hanging="0"/>
              <w:rPr/>
            </w:pPr>
            <w:r>
              <w:rPr/>
              <w:t>​</w:t>
            </w:r>
          </w:p>
        </w:tc>
        <w:tc>
          <w:tcPr>
            <w:tcW w:w="22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293"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 </w:t>
            </w:r>
          </w:p>
        </w:tc>
        <w:tc>
          <w:tcPr>
            <w:tcW w:w="82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NM – not meaningful</w:t>
      </w:r>
    </w:p>
    <w:p>
      <w:pPr>
        <w:pStyle w:val="Normal"/>
        <w:spacing w:before="0" w:after="0"/>
        <w:rPr>
          <w:sz w:val="4"/>
          <w:szCs w:val="4"/>
        </w:rPr>
      </w:pPr>
      <w:r>
        <w:rPr>
          <w:sz w:val="4"/>
          <w:szCs w:val="4"/>
        </w:rPr>
      </w:r>
      <w:bookmarkStart w:id="1386" w:name="_Hlk96354565"/>
      <w:bookmarkStart w:id="1387" w:name="_Hlk96354565"/>
      <w:bookmarkEnd w:id="1387"/>
    </w:p>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(1)</w:t>
            </w:r>
          </w:p>
        </w:tc>
        <w:tc>
          <w:tcPr>
            <w:tcW w:w="990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See the information below for definitions of these metrics and a reconciliation of adjusted EBITDA to the most directly comparable financial measure calculated and presented in accordance with GAAP.</w:t>
            </w:r>
          </w:p>
        </w:tc>
      </w:tr>
    </w:tbl>
    <w:tbl>
      <w:tblPr>
        <w:tblW w:w="3887" w:type="dxa"/>
        <w:jc w:val="left"/>
        <w:tblInd w:w="0" w:type="dxa"/>
        <w:tblCellMar>
          <w:top w:w="0" w:type="dxa"/>
          <w:left w:w="0" w:type="dxa"/>
          <w:bottom w:w="0" w:type="dxa"/>
          <w:right w:w="0" w:type="dxa"/>
        </w:tblCellMar>
      </w:tblPr>
      <w:tblGrid>
        <w:gridCol w:w="331"/>
        <w:gridCol w:w="3556"/>
      </w:tblGrid>
      <w:tr>
        <w:trPr/>
        <w:tc>
          <w:tcPr>
            <w:tcW w:w="331" w:type="dxa"/>
            <w:tcBorders/>
            <w:shd w:fill="auto" w:val="clear"/>
            <w:vAlign w:val="center"/>
          </w:tcPr>
          <w:p>
            <w:pPr>
              <w:pStyle w:val="TableContents"/>
              <w:spacing w:before="0" w:after="283"/>
              <w:rPr>
                <w:rFonts w:ascii="Times New Roman;Times;serif" w:hAnsi="Times New Roman;Times;serif"/>
                <w:sz w:val="16"/>
              </w:rPr>
            </w:pPr>
            <w:r>
              <w:rPr>
                <w:rFonts w:ascii="Times New Roman;Times;serif" w:hAnsi="Times New Roman;Times;serif"/>
                <w:sz w:val="16"/>
              </w:rPr>
              <w:t>(2)</w:t>
            </w:r>
          </w:p>
        </w:tc>
        <w:tc>
          <w:tcPr>
            <w:tcW w:w="35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net amounts not allocated to segments</w:t>
            </w:r>
          </w:p>
        </w:tc>
      </w:tr>
    </w:tbl>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We report our financial results in accordance with GAAP. We also present certain non-GAAP financial measures to provide useful supplemental information to investors. We provide these non-GAAP financial measures as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we believe it improves visibility to underlying results and the impact of management decisions on operational performance and enables better comparison to peer companies.</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Additionally, management uses adjusted EBITDA to evaluate our performance. Adjusted EBITDA is a non-GAAP measure and defined as net income (loss) excluding net interest expense, depreciation and amortization (excluding depreciation of right-of-use assets and amortization of capitalized contract costs), pension costs other than pension servicing costs and multi-employer plan costs, early extinguishment of debt charges, workforce rebalancing and restructuring charges, transaction-related and integration-related items, goodwill and long-lived asset impairment charges, foreign currency impacts of highly inflationary countries, significant litigation costs, stock-based compensation expense and income taxes.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improves visibility to underlying results and the impact of management decisions on operational performance, enables better comparison to peer companies and allows us to provide a long-term strategic view of the business.</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These disclosures are provided in addition to and not as a substitute for the percentage change in revenue and profit or loss measures on a GAAP basis compared to the corresponding period in the prior year. Other companies may calculate and define similarly labeled items differently, which may limit the usefulness of this measure for comparative purposes.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following table provides a reconciliation of GAAP net income (loss) to adjusted EBITDA:</w:t>
      </w:r>
    </w:p>
    <w:p>
      <w:pPr>
        <w:pStyle w:val="TextBody"/>
        <w:spacing w:before="0" w:after="240"/>
        <w:ind w:left="0" w:right="0" w:firstLine="720"/>
        <w:rPr/>
      </w:pPr>
      <w:r>
        <w:rPr/>
        <w:t>​</w:t>
      </w:r>
    </w:p>
    <w:p>
      <w:pPr>
        <w:pStyle w:val="Normal"/>
        <w:spacing w:before="0" w:after="0"/>
        <w:rPr>
          <w:sz w:val="4"/>
          <w:szCs w:val="4"/>
        </w:rPr>
      </w:pPr>
      <w:r>
        <w:rPr>
          <w:sz w:val="4"/>
          <w:szCs w:val="4"/>
        </w:rPr>
      </w:r>
      <w:bookmarkStart w:id="1388" w:name="_b91638cd_23de_4864_ba5e_d1473aae737e"/>
      <w:bookmarkStart w:id="1389" w:name="_1ec5f890_13a2_4acf_ad80_3e57fcec5727"/>
      <w:bookmarkStart w:id="1390" w:name="_9e95fd5e_c247_4b87_be7b_1125947efdcc"/>
      <w:bookmarkStart w:id="1391" w:name="_ed19cbcf_f00d_4151_a834_3e33eef2d1a5"/>
      <w:bookmarkStart w:id="1392" w:name="_9429401c_8aaa_4138_991c_66ffa12e0bb6"/>
      <w:bookmarkStart w:id="1393" w:name="_e46a6bae_c170_482c_9e65_b4b1035c0f8c"/>
      <w:bookmarkStart w:id="1394" w:name="_9e35d3ba_09f6_4611_a292_c6fe2cb7d4e2"/>
      <w:bookmarkStart w:id="1395" w:name="_444908d7_5642_4d55_87a7_d10903ddbf13"/>
      <w:bookmarkStart w:id="1396" w:name="_4fd2fc4c_374d_4e22_8e22_f25b2cebc88b"/>
      <w:bookmarkStart w:id="1397" w:name="_a29c1dad_839b_4ec4_9410_04d8d4fc52c2"/>
      <w:bookmarkStart w:id="1398" w:name="_3dad1b6c_5442_4c04_b2e6_eab2bc9ae65f"/>
      <w:bookmarkStart w:id="1399" w:name="_1c227116_9d27_42aa_b19a_4cce43495d27"/>
      <w:bookmarkStart w:id="1400" w:name="_de061517_1790_4353_ae70_afbdc8c2ef17"/>
      <w:bookmarkStart w:id="1401" w:name="_b7ca54a2_f75d_4dc6_8211_312c2d5196b0"/>
      <w:bookmarkStart w:id="1402" w:name="_758d26b8_00db_4cef_9af0_1a277c2ff497"/>
      <w:bookmarkStart w:id="1403" w:name="_7f58853a_1a42_4c2d_aec7_f962f977ac58"/>
      <w:bookmarkStart w:id="1404" w:name="_917b22a0_a2c4_41f6_898e_95e945d5dc41"/>
      <w:bookmarkStart w:id="1405" w:name="_3303f331_0ec6_421e_857d_31e97b7071c1"/>
      <w:bookmarkStart w:id="1406" w:name="_4877460c_ddf9_47b7_894f_41277ff13b31"/>
      <w:bookmarkStart w:id="1407" w:name="_3debb1d6_feac_4d74_834d_e1e8999c909d"/>
      <w:bookmarkStart w:id="1408" w:name="_b91638cd_23de_4864_ba5e_d1473aae737e"/>
      <w:bookmarkStart w:id="1409" w:name="_1ec5f890_13a2_4acf_ad80_3e57fcec5727"/>
      <w:bookmarkStart w:id="1410" w:name="_9e95fd5e_c247_4b87_be7b_1125947efdcc"/>
      <w:bookmarkStart w:id="1411" w:name="_ed19cbcf_f00d_4151_a834_3e33eef2d1a5"/>
      <w:bookmarkStart w:id="1412" w:name="_9429401c_8aaa_4138_991c_66ffa12e0bb6"/>
      <w:bookmarkStart w:id="1413" w:name="_e46a6bae_c170_482c_9e65_b4b1035c0f8c"/>
      <w:bookmarkStart w:id="1414" w:name="_9e35d3ba_09f6_4611_a292_c6fe2cb7d4e2"/>
      <w:bookmarkStart w:id="1415" w:name="_444908d7_5642_4d55_87a7_d10903ddbf13"/>
      <w:bookmarkStart w:id="1416" w:name="_4fd2fc4c_374d_4e22_8e22_f25b2cebc88b"/>
      <w:bookmarkStart w:id="1417" w:name="_a29c1dad_839b_4ec4_9410_04d8d4fc52c2"/>
      <w:bookmarkStart w:id="1418" w:name="_3dad1b6c_5442_4c04_b2e6_eab2bc9ae65f"/>
      <w:bookmarkStart w:id="1419" w:name="_1c227116_9d27_42aa_b19a_4cce43495d27"/>
      <w:bookmarkStart w:id="1420" w:name="_de061517_1790_4353_ae70_afbdc8c2ef17"/>
      <w:bookmarkStart w:id="1421" w:name="_b7ca54a2_f75d_4dc6_8211_312c2d5196b0"/>
      <w:bookmarkStart w:id="1422" w:name="_758d26b8_00db_4cef_9af0_1a277c2ff497"/>
      <w:bookmarkStart w:id="1423" w:name="_7f58853a_1a42_4c2d_aec7_f962f977ac58"/>
      <w:bookmarkStart w:id="1424" w:name="_917b22a0_a2c4_41f6_898e_95e945d5dc41"/>
      <w:bookmarkStart w:id="1425" w:name="_3303f331_0ec6_421e_857d_31e97b7071c1"/>
      <w:bookmarkStart w:id="1426" w:name="_4877460c_ddf9_47b7_894f_41277ff13b31"/>
      <w:bookmarkStart w:id="1427" w:name="_3debb1d6_feac_4d74_834d_e1e8999c909d"/>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p>
    <w:tbl>
      <w:tblPr>
        <w:tblW w:w="5771" w:type="dxa"/>
        <w:jc w:val="left"/>
        <w:tblInd w:w="0" w:type="dxa"/>
        <w:tblCellMar>
          <w:top w:w="0" w:type="dxa"/>
          <w:left w:w="0" w:type="dxa"/>
          <w:bottom w:w="0" w:type="dxa"/>
          <w:right w:w="0" w:type="dxa"/>
        </w:tblCellMar>
      </w:tblPr>
      <w:tblGrid>
        <w:gridCol w:w="3001"/>
        <w:gridCol w:w="326"/>
        <w:gridCol w:w="275"/>
        <w:gridCol w:w="705"/>
        <w:gridCol w:w="425"/>
        <w:gridCol w:w="275"/>
        <w:gridCol w:w="764"/>
      </w:tblGrid>
      <w:tr>
        <w:trPr/>
        <w:tc>
          <w:tcPr>
            <w:tcW w:w="3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905635" cy="175260"/>
                      <wp:effectExtent l="0" t="0" r="0" b="0"/>
                      <wp:wrapNone/>
                      <wp:docPr id="251" name="Frame251"/>
                      <a:graphic xmlns:a="http://schemas.openxmlformats.org/drawingml/2006/main">
                        <a:graphicData uri="http://schemas.microsoft.com/office/word/2010/wordprocessingShape">
                          <wps:wsp>
                            <wps:cNvSpPr txBox="1"/>
                            <wps:spPr>
                              <a:xfrm>
                                <a:off x="0" y="0"/>
                                <a:ext cx="1905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74625" cy="175260"/>
                      <wp:effectExtent l="0" t="0" r="0" b="0"/>
                      <wp:wrapNone/>
                      <wp:docPr id="253" name="Frame253"/>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47675" cy="175260"/>
                      <wp:effectExtent l="0" t="0" r="0" b="0"/>
                      <wp:wrapNone/>
                      <wp:docPr id="254" name="Frame254"/>
                      <a:graphic xmlns:a="http://schemas.openxmlformats.org/drawingml/2006/main">
                        <a:graphicData uri="http://schemas.microsoft.com/office/word/2010/wordprocessingShape">
                          <wps:wsp>
                            <wps:cNvSpPr txBox="1"/>
                            <wps:spPr>
                              <a:xfrm>
                                <a:off x="0" y="0"/>
                                <a:ext cx="4476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69875" cy="175260"/>
                      <wp:effectExtent l="0" t="0" r="0" b="0"/>
                      <wp:wrapNone/>
                      <wp:docPr id="255" name="Frame255"/>
                      <a:graphic xmlns:a="http://schemas.openxmlformats.org/drawingml/2006/main">
                        <a:graphicData uri="http://schemas.microsoft.com/office/word/2010/wordprocessingShape">
                          <wps:wsp>
                            <wps:cNvSpPr txBox="1"/>
                            <wps:spPr>
                              <a:xfrm>
                                <a:off x="0" y="0"/>
                                <a:ext cx="269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74625" cy="175260"/>
                      <wp:effectExtent l="0" t="0" r="0" b="0"/>
                      <wp:wrapNone/>
                      <wp:docPr id="256" name="Frame256"/>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85140" cy="175260"/>
                      <wp:effectExtent l="0" t="0" r="0" b="0"/>
                      <wp:wrapNone/>
                      <wp:docPr id="257" name="Frame257"/>
                      <a:graphic xmlns:a="http://schemas.openxmlformats.org/drawingml/2006/main">
                        <a:graphicData uri="http://schemas.microsoft.com/office/word/2010/wordprocessingShape">
                          <wps:wsp>
                            <wps:cNvSpPr txBox="1"/>
                            <wps:spPr>
                              <a:xfrm>
                                <a:off x="0" y="0"/>
                                <a:ext cx="485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0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jc w:val="center"/>
              <w:rPr/>
            </w:pPr>
            <w:r>
              <w:rPr/>
              <w:t>    </w:t>
            </w:r>
          </w:p>
        </w:tc>
        <w:tc>
          <w:tcPr>
            <w:tcW w:w="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25" w:type="dxa"/>
            <w:tcBorders/>
            <w:shd w:fill="auto" w:val="clear"/>
            <w:vAlign w:val="center"/>
          </w:tcPr>
          <w:p>
            <w:pPr>
              <w:pStyle w:val="TableContents"/>
              <w:spacing w:before="0" w:after="0"/>
              <w:ind w:left="0" w:right="0" w:hanging="0"/>
              <w:rPr/>
            </w:pPr>
            <w:r>
              <w:rPr/>
              <w:t>    </w:t>
            </w:r>
          </w:p>
        </w:tc>
        <w:tc>
          <w:tcPr>
            <w:tcW w:w="10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 xml:space="preserve">Net income (loss) </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425"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(494)</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425"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jc w:val="right"/>
              <w:rPr/>
            </w:pPr>
            <w:r>
              <w:rPr/>
              <w:t>—</w:t>
            </w:r>
          </w:p>
        </w:tc>
        <w:tc>
          <w:tcPr>
            <w:tcW w:w="425"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425"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425"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rPr/>
            </w:pPr>
            <w:r>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jc w:val="center"/>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25"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jc w:val="center"/>
              <w:rPr/>
            </w:pPr>
            <w:r>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expense</w:t>
            </w:r>
          </w:p>
        </w:tc>
        <w:tc>
          <w:tcPr>
            <w:tcW w:w="326" w:type="dxa"/>
            <w:tcBorders/>
            <w:shd w:fill="CCEEFF" w:val="clear"/>
            <w:vAlign w:val="center"/>
          </w:tcPr>
          <w:p>
            <w:pPr>
              <w:pStyle w:val="TableContents"/>
              <w:spacing w:before="0" w:after="0"/>
              <w:ind w:left="0" w:right="0" w:hanging="0"/>
              <w:rPr/>
            </w:pPr>
            <w:r>
              <w:rPr/>
              <w:t>​</w:t>
            </w:r>
          </w:p>
        </w:tc>
        <w:tc>
          <w:tcPr>
            <w:tcW w:w="275" w:type="dxa"/>
            <w:tcBorders/>
            <w:shd w:fill="CCEEFF" w:val="clear"/>
            <w:vAlign w:val="center"/>
          </w:tcPr>
          <w:p>
            <w:pPr>
              <w:pStyle w:val="TableContents"/>
              <w:spacing w:before="0" w:after="0"/>
              <w:ind w:left="0" w:right="0" w:hanging="0"/>
              <w:jc w:val="center"/>
              <w:rPr/>
            </w:pPr>
            <w:r>
              <w:rPr/>
              <w:t>​</w:t>
            </w:r>
          </w:p>
        </w:tc>
        <w:tc>
          <w:tcPr>
            <w:tcW w:w="70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425" w:type="dxa"/>
            <w:tcBorders/>
            <w:shd w:fill="CCEEFF" w:val="clear"/>
            <w:vAlign w:val="center"/>
          </w:tcPr>
          <w:p>
            <w:pPr>
              <w:pStyle w:val="TableContents"/>
              <w:spacing w:before="0" w:after="0"/>
              <w:ind w:left="0" w:right="0" w:hanging="0"/>
              <w:jc w:val="center"/>
              <w:rPr/>
            </w:pPr>
            <w:r>
              <w:rPr/>
              <w:t>​</w:t>
            </w:r>
          </w:p>
        </w:tc>
        <w:tc>
          <w:tcPr>
            <w:tcW w:w="275" w:type="dxa"/>
            <w:tcBorders/>
            <w:shd w:fill="CCEEFF" w:val="clear"/>
            <w:vAlign w:val="center"/>
          </w:tcPr>
          <w:p>
            <w:pPr>
              <w:pStyle w:val="TableContents"/>
              <w:spacing w:before="0" w:after="0"/>
              <w:ind w:left="0" w:right="0" w:hanging="0"/>
              <w:jc w:val="center"/>
              <w:rPr/>
            </w:pPr>
            <w:r>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jc w:val="center"/>
              <w:rPr/>
            </w:pPr>
            <w:r>
              <w:rPr/>
              <w:t>​</w:t>
            </w:r>
          </w:p>
        </w:tc>
        <w:tc>
          <w:tcPr>
            <w:tcW w:w="70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425" w:type="dxa"/>
            <w:tcBorders/>
            <w:shd w:fill="auto" w:val="clear"/>
            <w:vAlign w:val="center"/>
          </w:tcPr>
          <w:p>
            <w:pPr>
              <w:pStyle w:val="TableContents"/>
              <w:spacing w:before="0" w:after="0"/>
              <w:ind w:left="0" w:right="0" w:hanging="0"/>
              <w:jc w:val="center"/>
              <w:rPr/>
            </w:pPr>
            <w:r>
              <w:rPr/>
              <w:t>​</w:t>
            </w:r>
          </w:p>
        </w:tc>
        <w:tc>
          <w:tcPr>
            <w:tcW w:w="275" w:type="dxa"/>
            <w:tcBorders/>
            <w:shd w:fill="auto" w:val="clear"/>
            <w:vAlign w:val="center"/>
          </w:tcPr>
          <w:p>
            <w:pPr>
              <w:pStyle w:val="TableContents"/>
              <w:spacing w:before="0" w:after="0"/>
              <w:ind w:left="0" w:right="0" w:hanging="0"/>
              <w:jc w:val="center"/>
              <w:rPr/>
            </w:pPr>
            <w:r>
              <w:rPr/>
              <w:t>​</w:t>
            </w:r>
          </w:p>
        </w:tc>
        <w:tc>
          <w:tcPr>
            <w:tcW w:w="76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3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adjustments *</w:t>
            </w:r>
          </w:p>
        </w:tc>
        <w:tc>
          <w:tcPr>
            <w:tcW w:w="326" w:type="dxa"/>
            <w:tcBorders/>
            <w:shd w:fill="CCEEFF" w:val="clear"/>
            <w:vAlign w:val="center"/>
          </w:tcPr>
          <w:p>
            <w:pPr>
              <w:pStyle w:val="TableContents"/>
              <w:spacing w:before="0" w:after="0"/>
              <w:ind w:left="0" w:right="0" w:hanging="0"/>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0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25" w:type="dxa"/>
            <w:tcBorders/>
            <w:shd w:fill="CCEEFF" w:val="clear"/>
            <w:vAlign w:val="center"/>
          </w:tcPr>
          <w:p>
            <w:pPr>
              <w:pStyle w:val="TableContents"/>
              <w:spacing w:before="0" w:after="0"/>
              <w:ind w:left="0" w:right="0" w:hanging="0"/>
              <w:jc w:val="center"/>
              <w:rPr/>
            </w:pPr>
            <w:r>
              <w:rPr/>
              <w:t>​</w:t>
            </w:r>
          </w:p>
        </w:tc>
        <w:tc>
          <w:tcPr>
            <w:tcW w:w="275" w:type="dxa"/>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t>​</w:t>
            </w:r>
          </w:p>
        </w:tc>
        <w:tc>
          <w:tcPr>
            <w:tcW w:w="76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0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 (non-GAAP)</w:t>
            </w:r>
          </w:p>
        </w:tc>
        <w:tc>
          <w:tcPr>
            <w:tcW w:w="326"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425" w:type="dxa"/>
            <w:tcBorders/>
            <w:shd w:fill="auto" w:val="clear"/>
            <w:vAlign w:val="center"/>
          </w:tcPr>
          <w:p>
            <w:pPr>
              <w:pStyle w:val="TableContents"/>
              <w:spacing w:before="0" w:after="0"/>
              <w:ind w:left="0" w:right="0" w:hanging="0"/>
              <w:rPr/>
            </w:pPr>
            <w:r>
              <w:rPr/>
              <w:t>​</w:t>
            </w:r>
          </w:p>
        </w:tc>
        <w:tc>
          <w:tcPr>
            <w:tcW w:w="2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bottom w:val="double" w:sz="6" w:space="0" w:color="000000"/>
            </w:tcBorders>
            <w:shd w:fill="auto" w:val="clear"/>
            <w:tcMar>
              <w:bottom w:w="28" w:type="dxa"/>
            </w:tcM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410</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Symbol" w:hAnsi="Symbol"/>
                <w:sz w:val="16"/>
              </w:rPr>
            </w:pPr>
            <w:r>
              <w:rPr>
                <w:rFonts w:ascii="Symbol" w:hAnsi="Symbol"/>
                <w:sz w:val="16"/>
              </w:rPr>
              <w:t>*</w:t>
            </w:r>
          </w:p>
        </w:tc>
        <w:tc>
          <w:tcPr>
            <w:tcW w:w="999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 other than pension servicing costs and multi-employer plan costs, significant litigation costs and currency impacts of highly inflationary countries.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United States</w:t>
      </w:r>
    </w:p>
    <w:p>
      <w:pPr>
        <w:pStyle w:val="TextBody"/>
        <w:spacing w:before="0" w:after="240"/>
        <w:ind w:left="0" w:right="0" w:firstLine="720"/>
        <w:rPr/>
      </w:pPr>
      <w:r>
        <w:rPr/>
        <w:t>​</w:t>
      </w:r>
    </w:p>
    <w:p>
      <w:pPr>
        <w:pStyle w:val="Normal"/>
        <w:spacing w:before="0" w:after="0"/>
        <w:rPr>
          <w:sz w:val="4"/>
          <w:szCs w:val="4"/>
        </w:rPr>
      </w:pPr>
      <w:r>
        <w:rPr>
          <w:sz w:val="4"/>
          <w:szCs w:val="4"/>
        </w:rPr>
      </w:r>
      <w:bookmarkStart w:id="1428" w:name="_4d1d0289_0599_4cb7_a2f7_3bb88288399b"/>
      <w:bookmarkStart w:id="1429" w:name="_6c29c51a_f905_44fc_9498_de854048aafa"/>
      <w:bookmarkStart w:id="1430" w:name="_4e88e213_4b03_480c_a42a_590d97b218e1"/>
      <w:bookmarkStart w:id="1431" w:name="_4c4079da_d63c_4c90_a319_74b87c6ffad0"/>
      <w:bookmarkStart w:id="1432" w:name="_da8317f7_1da4_4c7c_ab50_0e2eeb51dbda"/>
      <w:bookmarkStart w:id="1433" w:name="_5b26ab01_098f_4c87_86e6_1d997a5da0cc"/>
      <w:bookmarkStart w:id="1434" w:name="_3523a533_0c04_4826_99cf_8f2258a0d433"/>
      <w:bookmarkStart w:id="1435" w:name="_09c5e29c_f2db_40b0_8c05_1702ae2ed8a6"/>
      <w:bookmarkStart w:id="1436" w:name="_9891d33c_1d78_4212_8d13_cc3859736674"/>
      <w:bookmarkStart w:id="1437" w:name="_c0bffd25_10f6_4c76_9e04_56ebd6201f51"/>
      <w:bookmarkStart w:id="1438" w:name="_0c4abce1_7287_48df_bb08_9af099bdd42d"/>
      <w:bookmarkStart w:id="1439" w:name="_50accddb_bd22_45a2_9e04_f3f151405309"/>
      <w:bookmarkStart w:id="1440" w:name="_e2d07f79_7e8c_40b3_9a99_6bcf97d70bb2"/>
      <w:bookmarkStart w:id="1441" w:name="_60891320_5a50_4f39_a20c_74c4899d70de"/>
      <w:bookmarkStart w:id="1442" w:name="_a9b3faa1_3953_4f3a_af52_6b06e0f66c2c"/>
      <w:bookmarkStart w:id="1443" w:name="_099ccd31_4dee_4ba4_84c2_c2aeda84d94c"/>
      <w:bookmarkStart w:id="1444" w:name="_9646a921_a775_41bb_8a4e_e2b86ef1f2dc"/>
      <w:bookmarkStart w:id="1445" w:name="_4d1d0289_0599_4cb7_a2f7_3bb88288399b"/>
      <w:bookmarkStart w:id="1446" w:name="_6c29c51a_f905_44fc_9498_de854048aafa"/>
      <w:bookmarkStart w:id="1447" w:name="_4e88e213_4b03_480c_a42a_590d97b218e1"/>
      <w:bookmarkStart w:id="1448" w:name="_4c4079da_d63c_4c90_a319_74b87c6ffad0"/>
      <w:bookmarkStart w:id="1449" w:name="_da8317f7_1da4_4c7c_ab50_0e2eeb51dbda"/>
      <w:bookmarkStart w:id="1450" w:name="_5b26ab01_098f_4c87_86e6_1d997a5da0cc"/>
      <w:bookmarkStart w:id="1451" w:name="_3523a533_0c04_4826_99cf_8f2258a0d433"/>
      <w:bookmarkStart w:id="1452" w:name="_09c5e29c_f2db_40b0_8c05_1702ae2ed8a6"/>
      <w:bookmarkStart w:id="1453" w:name="_9891d33c_1d78_4212_8d13_cc3859736674"/>
      <w:bookmarkStart w:id="1454" w:name="_c0bffd25_10f6_4c76_9e04_56ebd6201f51"/>
      <w:bookmarkStart w:id="1455" w:name="_0c4abce1_7287_48df_bb08_9af099bdd42d"/>
      <w:bookmarkStart w:id="1456" w:name="_50accddb_bd22_45a2_9e04_f3f151405309"/>
      <w:bookmarkStart w:id="1457" w:name="_e2d07f79_7e8c_40b3_9a99_6bcf97d70bb2"/>
      <w:bookmarkStart w:id="1458" w:name="_60891320_5a50_4f39_a20c_74c4899d70de"/>
      <w:bookmarkStart w:id="1459" w:name="_a9b3faa1_3953_4f3a_af52_6b06e0f66c2c"/>
      <w:bookmarkStart w:id="1460" w:name="_099ccd31_4dee_4ba4_84c2_c2aeda84d94c"/>
      <w:bookmarkStart w:id="1461" w:name="_9646a921_a775_41bb_8a4e_e2b86ef1f2dc"/>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p>
    <w:tbl>
      <w:tblPr>
        <w:tblW w:w="5758" w:type="dxa"/>
        <w:jc w:val="left"/>
        <w:tblInd w:w="0" w:type="dxa"/>
        <w:tblCellMar>
          <w:top w:w="0" w:type="dxa"/>
          <w:left w:w="0" w:type="dxa"/>
          <w:bottom w:w="0" w:type="dxa"/>
          <w:right w:w="0" w:type="dxa"/>
        </w:tblCellMar>
      </w:tblPr>
      <w:tblGrid>
        <w:gridCol w:w="1606"/>
        <w:gridCol w:w="326"/>
        <w:gridCol w:w="267"/>
        <w:gridCol w:w="724"/>
        <w:gridCol w:w="138"/>
        <w:gridCol w:w="138"/>
        <w:gridCol w:w="267"/>
        <w:gridCol w:w="724"/>
        <w:gridCol w:w="138"/>
        <w:gridCol w:w="109"/>
        <w:gridCol w:w="660"/>
        <w:gridCol w:w="661"/>
      </w:tblGrid>
      <w:tr>
        <w:trPr/>
        <w:tc>
          <w:tcPr>
            <w:tcW w:w="1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7" w:type="dxa"/>
            <w:tcBorders/>
            <w:shd w:fill="auto" w:val="clear"/>
            <w:vAlign w:val="center"/>
          </w:tcPr>
          <w:p>
            <w:pPr>
              <w:pStyle w:val="TableContents"/>
              <w:spacing w:before="0" w:after="1"/>
              <w:ind w:left="0" w:right="0" w:hanging="0"/>
              <w:rPr/>
            </w:pPr>
            <w:r>
              <w:rPr/>
              <w:t>​</w: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459740" cy="175260"/>
                      <wp:effectExtent l="0" t="0" r="0" b="0"/>
                      <wp:wrapNone/>
                      <wp:docPr id="258" name="Frame258"/>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87630" cy="175260"/>
                      <wp:effectExtent l="0" t="0" r="0" b="0"/>
                      <wp:wrapNone/>
                      <wp:docPr id="259" name="Frame259"/>
                      <a:graphic xmlns:a="http://schemas.openxmlformats.org/drawingml/2006/main">
                        <a:graphicData uri="http://schemas.microsoft.com/office/word/2010/wordprocessingShape">
                          <wps:wsp>
                            <wps:cNvSpPr txBox="1"/>
                            <wps:spPr>
                              <a:xfrm>
                                <a:off x="0" y="0"/>
                                <a:ext cx="87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 w:type="dxa"/>
            <w:tcBorders/>
            <w:shd w:fill="auto" w:val="clear"/>
            <w:vAlign w:val="center"/>
          </w:tcPr>
          <w:p>
            <w:pPr>
              <w:pStyle w:val="TableContents"/>
              <w:spacing w:before="0" w:after="1"/>
              <w:ind w:left="0" w:right="0" w:hanging="0"/>
              <w:rPr/>
            </w:pPr>
            <w:r>
              <w:rPr/>
              <w:t>​</w:t>
            </w:r>
          </w:p>
        </w:tc>
        <w:tc>
          <w:tcPr>
            <w:tcW w:w="267" w:type="dxa"/>
            <w:tcBorders/>
            <w:shd w:fill="auto" w:val="clear"/>
            <w:vAlign w:val="center"/>
          </w:tcPr>
          <w:p>
            <w:pPr>
              <w:pStyle w:val="TableContents"/>
              <w:spacing w:before="0" w:after="1"/>
              <w:ind w:left="0" w:right="0" w:hanging="0"/>
              <w:rPr/>
            </w:pPr>
            <w:r>
              <w:rPr/>
              <w:t>​</w: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59740" cy="175260"/>
                      <wp:effectExtent l="0" t="0" r="0" b="0"/>
                      <wp:wrapNone/>
                      <wp:docPr id="260" name="Frame260"/>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87630" cy="175260"/>
                      <wp:effectExtent l="0" t="0" r="0" b="0"/>
                      <wp:wrapNone/>
                      <wp:docPr id="261" name="Frame261"/>
                      <a:graphic xmlns:a="http://schemas.openxmlformats.org/drawingml/2006/main">
                        <a:graphicData uri="http://schemas.microsoft.com/office/word/2010/wordprocessingShape">
                          <wps:wsp>
                            <wps:cNvSpPr txBox="1"/>
                            <wps:spPr>
                              <a:xfrm>
                                <a:off x="0" y="0"/>
                                <a:ext cx="876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1"/>
              <w:ind w:left="0" w:right="0" w:hanging="0"/>
              <w:rPr/>
            </w:pPr>
            <w:r>
              <w:rPr/>
              <w:t>​</w:t>
            </w:r>
          </w:p>
        </w:tc>
        <w:tc>
          <w:tcPr>
            <w:tcW w:w="6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19100" cy="175260"/>
                      <wp:effectExtent l="0" t="0" r="0" b="0"/>
                      <wp:wrapNone/>
                      <wp:docPr id="262" name="Frame262"/>
                      <a:graphic xmlns:a="http://schemas.openxmlformats.org/drawingml/2006/main">
                        <a:graphicData uri="http://schemas.microsoft.com/office/word/2010/wordprocessingShape">
                          <wps:wsp>
                            <wps:cNvSpPr txBox="1"/>
                            <wps:spPr>
                              <a:xfrm>
                                <a:off x="0" y="0"/>
                                <a:ext cx="419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19735" cy="175260"/>
                      <wp:effectExtent l="0" t="0" r="0" b="0"/>
                      <wp:wrapNone/>
                      <wp:docPr id="263" name="Frame263"/>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6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396"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09"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Year-over-Year</w:t>
            </w:r>
          </w:p>
        </w:tc>
      </w:tr>
      <w:tr>
        <w:trPr/>
        <w:tc>
          <w:tcPr>
            <w:tcW w:w="160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129"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38" w:type="dxa"/>
            <w:tcBorders/>
            <w:shd w:fill="auto" w:val="clear"/>
            <w:vAlign w:val="center"/>
          </w:tcPr>
          <w:p>
            <w:pPr>
              <w:pStyle w:val="TableContents"/>
              <w:spacing w:before="0" w:after="1"/>
              <w:ind w:left="0" w:right="0" w:hanging="0"/>
              <w:jc w:val="center"/>
              <w:rPr/>
            </w:pPr>
            <w:r>
              <w:rPr/>
              <w:t>​</w:t>
            </w:r>
          </w:p>
        </w:tc>
        <w:tc>
          <w:tcPr>
            <w:tcW w:w="1129"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jc w:val="center"/>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60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w:t>
            </w:r>
          </w:p>
        </w:tc>
        <w:tc>
          <w:tcPr>
            <w:tcW w:w="2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1,169</w:t>
            </w:r>
          </w:p>
        </w:tc>
        <w:tc>
          <w:tcPr>
            <w:tcW w:w="138" w:type="dxa"/>
            <w:tcBorders/>
            <w:shd w:fill="CCEEFF" w:val="clear"/>
            <w:vAlign w:val="center"/>
          </w:tcPr>
          <w:p>
            <w:pPr>
              <w:pStyle w:val="TableContents"/>
              <w:spacing w:before="0" w:after="1"/>
              <w:ind w:left="0" w:right="0" w:hanging="0"/>
              <w:rPr/>
            </w:pPr>
            <w:r>
              <w:rPr/>
              <w:t>​</w:t>
            </w:r>
          </w:p>
        </w:tc>
        <w:tc>
          <w:tcPr>
            <w:tcW w:w="138" w:type="dxa"/>
            <w:tcBorders/>
            <w:shd w:fill="CCEEFF" w:val="clear"/>
            <w:vAlign w:val="center"/>
          </w:tcPr>
          <w:p>
            <w:pPr>
              <w:pStyle w:val="TableContents"/>
              <w:spacing w:before="0" w:after="1"/>
              <w:ind w:left="0" w:right="0" w:hanging="0"/>
              <w:jc w:val="right"/>
              <w:rPr/>
            </w:pPr>
            <w:r>
              <w:rPr/>
              <w:t>​</w:t>
            </w:r>
          </w:p>
        </w:tc>
        <w:tc>
          <w:tcPr>
            <w:tcW w:w="26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1,228</w:t>
            </w:r>
          </w:p>
        </w:tc>
        <w:tc>
          <w:tcPr>
            <w:tcW w:w="138"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6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6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160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auto" w:val="clear"/>
            <w:vAlign w:val="center"/>
          </w:tcPr>
          <w:p>
            <w:pPr>
              <w:pStyle w:val="TableContents"/>
              <w:spacing w:before="0" w:after="1"/>
              <w:ind w:left="0" w:right="0" w:hanging="0"/>
              <w:rPr/>
            </w:pPr>
            <w:r>
              <w:rPr/>
              <w:t>​</w:t>
            </w:r>
          </w:p>
        </w:tc>
        <w:tc>
          <w:tcPr>
            <w:tcW w:w="267" w:type="dxa"/>
            <w:tcBorders/>
            <w:shd w:fill="auto" w:val="clear"/>
            <w:vAlign w:val="center"/>
          </w:tcPr>
          <w:p>
            <w:pPr>
              <w:pStyle w:val="TableContents"/>
              <w:spacing w:before="0" w:after="1"/>
              <w:ind w:left="0" w:right="0" w:hanging="0"/>
              <w:rPr/>
            </w:pPr>
            <w:r>
              <w:rPr/>
              <w:t>​</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138" w:type="dxa"/>
            <w:tcBorders/>
            <w:shd w:fill="auto" w:val="clear"/>
            <w:vAlign w:val="center"/>
          </w:tcPr>
          <w:p>
            <w:pPr>
              <w:pStyle w:val="TableContents"/>
              <w:spacing w:before="0" w:after="1"/>
              <w:ind w:left="0" w:right="0" w:hanging="0"/>
              <w:rPr/>
            </w:pPr>
            <w:r>
              <w:rPr/>
              <w:t>​</w:t>
            </w:r>
          </w:p>
        </w:tc>
        <w:tc>
          <w:tcPr>
            <w:tcW w:w="138" w:type="dxa"/>
            <w:tcBorders/>
            <w:shd w:fill="auto" w:val="clear"/>
            <w:vAlign w:val="center"/>
          </w:tcPr>
          <w:p>
            <w:pPr>
              <w:pStyle w:val="TableContents"/>
              <w:spacing w:before="0" w:after="1"/>
              <w:ind w:left="0" w:right="0" w:hanging="0"/>
              <w:rPr/>
            </w:pPr>
            <w:r>
              <w:rPr/>
              <w:t>​</w:t>
            </w:r>
          </w:p>
        </w:tc>
        <w:tc>
          <w:tcPr>
            <w:tcW w:w="267" w:type="dxa"/>
            <w:tcBorders/>
            <w:shd w:fill="auto" w:val="clear"/>
            <w:vAlign w:val="center"/>
          </w:tcPr>
          <w:p>
            <w:pPr>
              <w:pStyle w:val="TableContents"/>
              <w:spacing w:before="0" w:after="1"/>
              <w:ind w:left="0" w:right="0" w:hanging="0"/>
              <w:rPr/>
            </w:pPr>
            <w:r>
              <w:rPr/>
              <w:t>​</w:t>
            </w:r>
          </w:p>
        </w:tc>
        <w:tc>
          <w:tcPr>
            <w:tcW w:w="724"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138"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6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66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For the three months ended March 31, 2022, United States revenue of $1.2 billion decreased 5 percent as compared to the prior-year quarter, primarily driven by reduced signings in the prior year. Adjusted EBITDA increased $68 million from the prior year, primarily driven by lower costs from our post-Separation commercial agreements with IBM, partially offset by lower revenues.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Japan</w:t>
      </w:r>
    </w:p>
    <w:p>
      <w:pPr>
        <w:pStyle w:val="TextBody"/>
        <w:spacing w:before="0" w:after="240"/>
        <w:ind w:left="0" w:right="0" w:firstLine="720"/>
        <w:rPr/>
      </w:pPr>
      <w:r>
        <w:rPr/>
        <w:t>​</w:t>
      </w:r>
    </w:p>
    <w:p>
      <w:pPr>
        <w:pStyle w:val="Normal"/>
        <w:spacing w:before="0" w:after="0"/>
        <w:rPr>
          <w:sz w:val="4"/>
          <w:szCs w:val="4"/>
        </w:rPr>
      </w:pPr>
      <w:r>
        <w:rPr>
          <w:sz w:val="4"/>
          <w:szCs w:val="4"/>
        </w:rPr>
      </w:r>
      <w:bookmarkStart w:id="1462" w:name="_cb3305e7_64db_4d20_8be1_015a1adeeb92"/>
      <w:bookmarkStart w:id="1463" w:name="_ec7f3ef7_0088_49be_a6b6_3992bbe3fdb5"/>
      <w:bookmarkStart w:id="1464" w:name="_5fc7227a_40b9_4fa6_8f39_b02f8a34fc28"/>
      <w:bookmarkStart w:id="1465" w:name="_a0f403a0_1956_44b7_8d4a_96be469b6490"/>
      <w:bookmarkStart w:id="1466" w:name="_6d3d60db_9a8c_42de_bdfb_a25aab6fbfa3"/>
      <w:bookmarkStart w:id="1467" w:name="_32822125_5fb8_4b72_a010_8dd1f867bb67"/>
      <w:bookmarkStart w:id="1468" w:name="_896bec5e_04ca_40b6_a555_4fd64422f35f"/>
      <w:bookmarkStart w:id="1469" w:name="_d5b667e3_584e_4ee9_b5a6_305a33892999"/>
      <w:bookmarkStart w:id="1470" w:name="_9f7f98e6_673f_46ee_96a9_f7a748828032"/>
      <w:bookmarkStart w:id="1471" w:name="_b3d3a257_757a_4893_bd7f_2b7f38245c39"/>
      <w:bookmarkStart w:id="1472" w:name="_8b12b9af_b173_4a8d_93e9_4c9712df2087"/>
      <w:bookmarkStart w:id="1473" w:name="_5991793a_fa59_491e_bfa4_cd4a19cd2f23"/>
      <w:bookmarkStart w:id="1474" w:name="_1875324f_3304_4cb6_b4cb_74e19c80b2fd"/>
      <w:bookmarkStart w:id="1475" w:name="_f3ff9de0_b509_46c5_9c08_61fc0bfac67b"/>
      <w:bookmarkStart w:id="1476" w:name="_5093235d_ae85_4dc2_aa0a_c16b8ee24e2c"/>
      <w:bookmarkStart w:id="1477" w:name="_3ac8df4e_839f_4a14_8c8c_56eec335a325"/>
      <w:bookmarkStart w:id="1478" w:name="_7ff2fa87_4053_4243_b2e5_208d359c2c26"/>
      <w:bookmarkStart w:id="1479" w:name="_b090d238_c012_4b6f_82c6_fe05c7c33d39"/>
      <w:bookmarkStart w:id="1480" w:name="_cb3305e7_64db_4d20_8be1_015a1adeeb92"/>
      <w:bookmarkStart w:id="1481" w:name="_ec7f3ef7_0088_49be_a6b6_3992bbe3fdb5"/>
      <w:bookmarkStart w:id="1482" w:name="_5fc7227a_40b9_4fa6_8f39_b02f8a34fc28"/>
      <w:bookmarkStart w:id="1483" w:name="_a0f403a0_1956_44b7_8d4a_96be469b6490"/>
      <w:bookmarkStart w:id="1484" w:name="_6d3d60db_9a8c_42de_bdfb_a25aab6fbfa3"/>
      <w:bookmarkStart w:id="1485" w:name="_32822125_5fb8_4b72_a010_8dd1f867bb67"/>
      <w:bookmarkStart w:id="1486" w:name="_896bec5e_04ca_40b6_a555_4fd64422f35f"/>
      <w:bookmarkStart w:id="1487" w:name="_d5b667e3_584e_4ee9_b5a6_305a33892999"/>
      <w:bookmarkStart w:id="1488" w:name="_9f7f98e6_673f_46ee_96a9_f7a748828032"/>
      <w:bookmarkStart w:id="1489" w:name="_b3d3a257_757a_4893_bd7f_2b7f38245c39"/>
      <w:bookmarkStart w:id="1490" w:name="_8b12b9af_b173_4a8d_93e9_4c9712df2087"/>
      <w:bookmarkStart w:id="1491" w:name="_5991793a_fa59_491e_bfa4_cd4a19cd2f23"/>
      <w:bookmarkStart w:id="1492" w:name="_1875324f_3304_4cb6_b4cb_74e19c80b2fd"/>
      <w:bookmarkStart w:id="1493" w:name="_f3ff9de0_b509_46c5_9c08_61fc0bfac67b"/>
      <w:bookmarkStart w:id="1494" w:name="_5093235d_ae85_4dc2_aa0a_c16b8ee24e2c"/>
      <w:bookmarkStart w:id="1495" w:name="_3ac8df4e_839f_4a14_8c8c_56eec335a325"/>
      <w:bookmarkStart w:id="1496" w:name="_7ff2fa87_4053_4243_b2e5_208d359c2c26"/>
      <w:bookmarkStart w:id="1497" w:name="_b090d238_c012_4b6f_82c6_fe05c7c33d3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p>
    <w:tbl>
      <w:tblPr>
        <w:tblW w:w="7303" w:type="dxa"/>
        <w:jc w:val="left"/>
        <w:tblInd w:w="0" w:type="dxa"/>
        <w:tblCellMar>
          <w:top w:w="0" w:type="dxa"/>
          <w:left w:w="0" w:type="dxa"/>
          <w:bottom w:w="0" w:type="dxa"/>
          <w:right w:w="0" w:type="dxa"/>
        </w:tblCellMar>
      </w:tblPr>
      <w:tblGrid>
        <w:gridCol w:w="3151"/>
        <w:gridCol w:w="326"/>
        <w:gridCol w:w="264"/>
        <w:gridCol w:w="527"/>
        <w:gridCol w:w="339"/>
        <w:gridCol w:w="136"/>
        <w:gridCol w:w="264"/>
        <w:gridCol w:w="527"/>
        <w:gridCol w:w="339"/>
        <w:gridCol w:w="109"/>
        <w:gridCol w:w="660"/>
        <w:gridCol w:w="661"/>
      </w:tblGrid>
      <w:tr>
        <w:trPr/>
        <w:tc>
          <w:tcPr>
            <w:tcW w:w="31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5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34645" cy="175260"/>
                      <wp:effectExtent l="0" t="0" r="0" b="0"/>
                      <wp:wrapNone/>
                      <wp:docPr id="264" name="Frame264"/>
                      <a:graphic xmlns:a="http://schemas.openxmlformats.org/drawingml/2006/main">
                        <a:graphicData uri="http://schemas.microsoft.com/office/word/2010/wordprocessingShape">
                          <wps:wsp>
                            <wps:cNvSpPr txBox="1"/>
                            <wps:spPr>
                              <a:xfrm>
                                <a:off x="0" y="0"/>
                                <a:ext cx="3346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5265" cy="175260"/>
                      <wp:effectExtent l="0" t="0" r="0" b="0"/>
                      <wp:wrapNone/>
                      <wp:docPr id="265" name="Frame265"/>
                      <a:graphic xmlns:a="http://schemas.openxmlformats.org/drawingml/2006/main">
                        <a:graphicData uri="http://schemas.microsoft.com/office/word/2010/wordprocessingShape">
                          <wps:wsp>
                            <wps:cNvSpPr txBox="1"/>
                            <wps:spPr>
                              <a:xfrm>
                                <a:off x="0" y="0"/>
                                <a:ext cx="2152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5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34645" cy="175260"/>
                      <wp:effectExtent l="0" t="0" r="0" b="0"/>
                      <wp:wrapNone/>
                      <wp:docPr id="266" name="Frame266"/>
                      <a:graphic xmlns:a="http://schemas.openxmlformats.org/drawingml/2006/main">
                        <a:graphicData uri="http://schemas.microsoft.com/office/word/2010/wordprocessingShape">
                          <wps:wsp>
                            <wps:cNvSpPr txBox="1"/>
                            <wps:spPr>
                              <a:xfrm>
                                <a:off x="0" y="0"/>
                                <a:ext cx="33464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5265" cy="175260"/>
                      <wp:effectExtent l="0" t="0" r="0" b="0"/>
                      <wp:wrapNone/>
                      <wp:docPr id="267" name="Frame267"/>
                      <a:graphic xmlns:a="http://schemas.openxmlformats.org/drawingml/2006/main">
                        <a:graphicData uri="http://schemas.microsoft.com/office/word/2010/wordprocessingShape">
                          <wps:wsp>
                            <wps:cNvSpPr txBox="1"/>
                            <wps:spPr>
                              <a:xfrm>
                                <a:off x="0" y="0"/>
                                <a:ext cx="2152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1"/>
              <w:ind w:left="0" w:right="0" w:hanging="0"/>
              <w:rPr/>
            </w:pPr>
            <w:r>
              <w:rPr/>
              <w:t>​</w:t>
            </w:r>
          </w:p>
        </w:tc>
        <w:tc>
          <w:tcPr>
            <w:tcW w:w="6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19100" cy="175260"/>
                      <wp:effectExtent l="0" t="0" r="0" b="0"/>
                      <wp:wrapNone/>
                      <wp:docPr id="268" name="Frame268"/>
                      <a:graphic xmlns:a="http://schemas.openxmlformats.org/drawingml/2006/main">
                        <a:graphicData uri="http://schemas.microsoft.com/office/word/2010/wordprocessingShape">
                          <wps:wsp>
                            <wps:cNvSpPr txBox="1"/>
                            <wps:spPr>
                              <a:xfrm>
                                <a:off x="0" y="0"/>
                                <a:ext cx="419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19735" cy="175260"/>
                      <wp:effectExtent l="0" t="0" r="0" b="0"/>
                      <wp:wrapNone/>
                      <wp:docPr id="269" name="Frame269"/>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2396" w:type="dxa"/>
            <w:gridSpan w:val="7"/>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09" w:type="dxa"/>
            <w:tcBorders/>
            <w:shd w:fill="auto" w:val="clear"/>
            <w:vAlign w:val="center"/>
          </w:tcPr>
          <w:p>
            <w:pPr>
              <w:pStyle w:val="TableContents"/>
              <w:spacing w:before="0" w:after="1"/>
              <w:ind w:left="0" w:right="0" w:hanging="0"/>
              <w:rPr/>
            </w:pPr>
            <w:r>
              <w:rPr/>
              <w:t>​</w:t>
            </w:r>
          </w:p>
        </w:tc>
        <w:tc>
          <w:tcPr>
            <w:tcW w:w="13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Year-over-Year</w:t>
            </w:r>
          </w:p>
        </w:tc>
      </w:tr>
      <w:tr>
        <w:trPr/>
        <w:tc>
          <w:tcPr>
            <w:tcW w:w="315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130"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36" w:type="dxa"/>
            <w:tcBorders/>
            <w:shd w:fill="auto" w:val="clear"/>
            <w:vAlign w:val="center"/>
          </w:tcPr>
          <w:p>
            <w:pPr>
              <w:pStyle w:val="TableContents"/>
              <w:spacing w:before="0" w:after="1"/>
              <w:ind w:left="0" w:right="0" w:hanging="0"/>
              <w:jc w:val="center"/>
              <w:rPr/>
            </w:pPr>
            <w:r>
              <w:rPr/>
              <w:t>​</w:t>
            </w:r>
          </w:p>
        </w:tc>
        <w:tc>
          <w:tcPr>
            <w:tcW w:w="1130"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jc w:val="center"/>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706</w:t>
            </w:r>
          </w:p>
        </w:tc>
        <w:tc>
          <w:tcPr>
            <w:tcW w:w="339" w:type="dxa"/>
            <w:tcBorders/>
            <w:shd w:fill="CCEEFF" w:val="clear"/>
            <w:vAlign w:val="center"/>
          </w:tcPr>
          <w:p>
            <w:pPr>
              <w:pStyle w:val="TableContents"/>
              <w:spacing w:before="0" w:after="1"/>
              <w:ind w:left="0" w:right="0" w:hanging="0"/>
              <w:rPr/>
            </w:pPr>
            <w:r>
              <w:rPr/>
              <w:t>​</w:t>
            </w:r>
          </w:p>
        </w:tc>
        <w:tc>
          <w:tcPr>
            <w:tcW w:w="136" w:type="dxa"/>
            <w:tcBorders/>
            <w:shd w:fill="CCEEFF" w:val="clear"/>
            <w:vAlign w:val="center"/>
          </w:tcPr>
          <w:p>
            <w:pPr>
              <w:pStyle w:val="TableContents"/>
              <w:spacing w:before="0" w:after="1"/>
              <w:ind w:left="0" w:right="0" w:hanging="0"/>
              <w:jc w:val="right"/>
              <w:rPr/>
            </w:pPr>
            <w:r>
              <w:rPr/>
              <w:t>​</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763</w:t>
            </w:r>
          </w:p>
        </w:tc>
        <w:tc>
          <w:tcPr>
            <w:tcW w:w="33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jc w:val="right"/>
              <w:rPr/>
            </w:pPr>
            <w:r>
              <w:rPr/>
              <w:t>​</w:t>
            </w:r>
          </w:p>
        </w:tc>
        <w:tc>
          <w:tcPr>
            <w:tcW w:w="6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6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5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3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36" w:type="dxa"/>
            <w:tcBorders/>
            <w:shd w:fill="auto" w:val="clear"/>
            <w:vAlign w:val="center"/>
          </w:tcPr>
          <w:p>
            <w:pPr>
              <w:pStyle w:val="TableContents"/>
              <w:spacing w:before="0" w:after="1"/>
              <w:ind w:left="0" w:right="0" w:hanging="0"/>
              <w:rPr/>
            </w:pPr>
            <w:r>
              <w:rPr/>
              <w:t>​</w:t>
            </w:r>
          </w:p>
        </w:tc>
        <w:tc>
          <w:tcPr>
            <w:tcW w:w="264" w:type="dxa"/>
            <w:tcBorders/>
            <w:shd w:fill="auto" w:val="clear"/>
            <w:vAlign w:val="center"/>
          </w:tcPr>
          <w:p>
            <w:pPr>
              <w:pStyle w:val="TableContents"/>
              <w:spacing w:before="0" w:after="1"/>
              <w:ind w:left="0" w:right="0" w:hanging="0"/>
              <w:rPr/>
            </w:pPr>
            <w:r>
              <w:rPr/>
              <w:t>​</w:t>
            </w:r>
          </w:p>
        </w:tc>
        <w:tc>
          <w:tcPr>
            <w:tcW w:w="52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3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660" w:type="dxa"/>
            <w:tcBorders/>
            <w:shd w:fill="auto" w:val="clear"/>
            <w:vAlign w:val="center"/>
          </w:tcPr>
          <w:p>
            <w:pPr>
              <w:pStyle w:val="TableContents"/>
              <w:spacing w:before="0" w:after="1"/>
              <w:ind w:left="0" w:right="0" w:hanging="0"/>
              <w:jc w:val="right"/>
              <w:rPr/>
            </w:pPr>
            <w:r>
              <w:rPr/>
              <w:t>​</w:t>
            </w:r>
          </w:p>
        </w:tc>
        <w:tc>
          <w:tcPr>
            <w:tcW w:w="661" w:type="dxa"/>
            <w:tcBorders/>
            <w:shd w:fill="auto" w:val="clear"/>
            <w:vAlign w:val="center"/>
          </w:tcPr>
          <w:p>
            <w:pPr>
              <w:pStyle w:val="TableContents"/>
              <w:spacing w:before="0" w:after="1"/>
              <w:ind w:left="0" w:right="0" w:hanging="0"/>
              <w:rPr/>
            </w:pPr>
            <w:r>
              <w:rPr/>
              <w:t>​</w:t>
            </w:r>
          </w:p>
        </w:tc>
      </w:tr>
      <w:tr>
        <w:trPr/>
        <w:tc>
          <w:tcPr>
            <w:tcW w:w="31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spacing w:before="0" w:after="1"/>
              <w:ind w:left="0" w:right="0" w:hanging="0"/>
              <w:rPr/>
            </w:pPr>
            <w:r>
              <w:rPr/>
              <w:t>​</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39" w:type="dxa"/>
            <w:tcBorders/>
            <w:shd w:fill="CCEEFF" w:val="clear"/>
            <w:vAlign w:val="center"/>
          </w:tcPr>
          <w:p>
            <w:pPr>
              <w:pStyle w:val="TableContents"/>
              <w:spacing w:before="0" w:after="1"/>
              <w:ind w:left="0" w:right="0" w:hanging="0"/>
              <w:rPr/>
            </w:pPr>
            <w:r>
              <w:rPr/>
              <w:t>​</w:t>
            </w:r>
          </w:p>
        </w:tc>
        <w:tc>
          <w:tcPr>
            <w:tcW w:w="136" w:type="dxa"/>
            <w:tcBorders/>
            <w:shd w:fill="CCEEFF" w:val="clear"/>
            <w:vAlign w:val="center"/>
          </w:tcPr>
          <w:p>
            <w:pPr>
              <w:pStyle w:val="TableContents"/>
              <w:spacing w:before="0" w:after="1"/>
              <w:ind w:left="0" w:right="0" w:hanging="0"/>
              <w:jc w:val="right"/>
              <w:rPr/>
            </w:pPr>
            <w:r>
              <w:rPr/>
              <w:t>​</w:t>
            </w:r>
          </w:p>
        </w:tc>
        <w:tc>
          <w:tcPr>
            <w:tcW w:w="26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3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66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25 </w:t>
            </w:r>
          </w:p>
        </w:tc>
        <w:tc>
          <w:tcPr>
            <w:tcW w:w="66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4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three months ended March 31, 2022, Japan revenue of $706 million decreased 7 percent as compared to the prior-year quarter. Revenue decreased primarily due to unfavorable currency impacts, as well as a delay in the transfer of a joint venture from IBM that was finalized mid-quarter, which was captured in the operating results of the pre-Separation period under the carve-out assumptions of our former Parent. Adjusted EBITDA increased $31 million from the prior-year quarter, primarily driven by lower costs from our post-Separation commercial agreements with IBM, partially offset by unfavorable currency impacts. </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Principal Markets</w:t>
      </w:r>
    </w:p>
    <w:p>
      <w:pPr>
        <w:pStyle w:val="TextBody"/>
        <w:spacing w:before="0" w:after="240"/>
        <w:ind w:left="0" w:right="0" w:firstLine="720"/>
        <w:rPr/>
      </w:pPr>
      <w:r>
        <w:rPr/>
        <w:t>​</w:t>
      </w:r>
    </w:p>
    <w:p>
      <w:pPr>
        <w:pStyle w:val="Normal"/>
        <w:spacing w:before="0" w:after="0"/>
        <w:rPr>
          <w:sz w:val="4"/>
          <w:szCs w:val="4"/>
        </w:rPr>
      </w:pPr>
      <w:r>
        <w:rPr>
          <w:sz w:val="4"/>
          <w:szCs w:val="4"/>
        </w:rPr>
      </w:r>
      <w:bookmarkStart w:id="1498" w:name="_a4c4ae4e_166b_4be8_a3ef_8641c38b6631"/>
      <w:bookmarkStart w:id="1499" w:name="_c8586a7a_7f96_499e_9fe7_9051679971b0"/>
      <w:bookmarkStart w:id="1500" w:name="_6746209f_187d_4fcf_8708_9101ca6acc5d"/>
      <w:bookmarkStart w:id="1501" w:name="_a25fe28d_6de5_4415_bd4e_90d4660239c1"/>
      <w:bookmarkStart w:id="1502" w:name="_df49c1b9_c377_4b37_9372_8bf501accd97"/>
      <w:bookmarkStart w:id="1503" w:name="_4ba0f0da_3f94_4ee1_a024_798769619488"/>
      <w:bookmarkStart w:id="1504" w:name="_149a6fb6_9820_4dcd_9b74_20615e0d2e53"/>
      <w:bookmarkStart w:id="1505" w:name="_0b9a57a0_c935_4c56_b194_e211677ddc63"/>
      <w:bookmarkStart w:id="1506" w:name="_731eac08_7d58_4072_914a_bb5aa801c06c"/>
      <w:bookmarkStart w:id="1507" w:name="_9c37ea60_44cd_4517_85cf_ec4656cf3782"/>
      <w:bookmarkStart w:id="1508" w:name="_bd2c1021_0052_405e_bb78_9d8381264db6"/>
      <w:bookmarkStart w:id="1509" w:name="_6df3dc6b_eec5_4bf6_97d7_41dd04a6c8b5"/>
      <w:bookmarkStart w:id="1510" w:name="_f8e1bd2a_57b4_40a3_aae2_3b1dcab2bc5d"/>
      <w:bookmarkStart w:id="1511" w:name="_59fb4b9d_83fc_4b09_82a6_9e0973bcb86a"/>
      <w:bookmarkStart w:id="1512" w:name="_6f2c4629_4fb2_4347_aaf6_56c16a7f324b"/>
      <w:bookmarkStart w:id="1513" w:name="_38677cd1_6673_4c5d_8c30_b0844b44c00c"/>
      <w:bookmarkStart w:id="1514" w:name="_e3ab434c_a78e_4252_a26a_4ace93793aff"/>
      <w:bookmarkStart w:id="1515" w:name="_dc24cbfb_2572_4ec5_a6ed_678434ff8590"/>
      <w:bookmarkStart w:id="1516" w:name="_a4c4ae4e_166b_4be8_a3ef_8641c38b6631"/>
      <w:bookmarkStart w:id="1517" w:name="_c8586a7a_7f96_499e_9fe7_9051679971b0"/>
      <w:bookmarkStart w:id="1518" w:name="_6746209f_187d_4fcf_8708_9101ca6acc5d"/>
      <w:bookmarkStart w:id="1519" w:name="_a25fe28d_6de5_4415_bd4e_90d4660239c1"/>
      <w:bookmarkStart w:id="1520" w:name="_df49c1b9_c377_4b37_9372_8bf501accd97"/>
      <w:bookmarkStart w:id="1521" w:name="_4ba0f0da_3f94_4ee1_a024_798769619488"/>
      <w:bookmarkStart w:id="1522" w:name="_149a6fb6_9820_4dcd_9b74_20615e0d2e53"/>
      <w:bookmarkStart w:id="1523" w:name="_0b9a57a0_c935_4c56_b194_e211677ddc63"/>
      <w:bookmarkStart w:id="1524" w:name="_731eac08_7d58_4072_914a_bb5aa801c06c"/>
      <w:bookmarkStart w:id="1525" w:name="_9c37ea60_44cd_4517_85cf_ec4656cf3782"/>
      <w:bookmarkStart w:id="1526" w:name="_bd2c1021_0052_405e_bb78_9d8381264db6"/>
      <w:bookmarkStart w:id="1527" w:name="_6df3dc6b_eec5_4bf6_97d7_41dd04a6c8b5"/>
      <w:bookmarkStart w:id="1528" w:name="_f8e1bd2a_57b4_40a3_aae2_3b1dcab2bc5d"/>
      <w:bookmarkStart w:id="1529" w:name="_59fb4b9d_83fc_4b09_82a6_9e0973bcb86a"/>
      <w:bookmarkStart w:id="1530" w:name="_6f2c4629_4fb2_4347_aaf6_56c16a7f324b"/>
      <w:bookmarkStart w:id="1531" w:name="_38677cd1_6673_4c5d_8c30_b0844b44c00c"/>
      <w:bookmarkStart w:id="1532" w:name="_e3ab434c_a78e_4252_a26a_4ace93793aff"/>
      <w:bookmarkStart w:id="1533" w:name="_dc24cbfb_2572_4ec5_a6ed_678434ff8590"/>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p>
    <w:tbl>
      <w:tblPr>
        <w:tblW w:w="7303" w:type="dxa"/>
        <w:jc w:val="left"/>
        <w:tblInd w:w="0" w:type="dxa"/>
        <w:tblCellMar>
          <w:top w:w="0" w:type="dxa"/>
          <w:left w:w="0" w:type="dxa"/>
          <w:bottom w:w="0" w:type="dxa"/>
          <w:right w:w="0" w:type="dxa"/>
        </w:tblCellMar>
      </w:tblPr>
      <w:tblGrid>
        <w:gridCol w:w="3151"/>
        <w:gridCol w:w="326"/>
        <w:gridCol w:w="228"/>
        <w:gridCol w:w="618"/>
        <w:gridCol w:w="293"/>
        <w:gridCol w:w="118"/>
        <w:gridCol w:w="228"/>
        <w:gridCol w:w="618"/>
        <w:gridCol w:w="293"/>
        <w:gridCol w:w="109"/>
        <w:gridCol w:w="717"/>
        <w:gridCol w:w="604"/>
      </w:tblGrid>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392430" cy="175260"/>
                      <wp:effectExtent l="0" t="0" r="0" b="0"/>
                      <wp:wrapNone/>
                      <wp:docPr id="270" name="Frame270"/>
                      <a:graphic xmlns:a="http://schemas.openxmlformats.org/drawingml/2006/main">
                        <a:graphicData uri="http://schemas.microsoft.com/office/word/2010/wordprocessingShape">
                          <wps:wsp>
                            <wps:cNvSpPr txBox="1"/>
                            <wps:spPr>
                              <a:xfrm>
                                <a:off x="0" y="0"/>
                                <a:ext cx="392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86055" cy="175260"/>
                      <wp:effectExtent l="0" t="0" r="0" b="0"/>
                      <wp:wrapNone/>
                      <wp:docPr id="271" name="Frame271"/>
                      <a:graphic xmlns:a="http://schemas.openxmlformats.org/drawingml/2006/main">
                        <a:graphicData uri="http://schemas.microsoft.com/office/word/2010/wordprocessingShape">
                          <wps:wsp>
                            <wps:cNvSpPr txBox="1"/>
                            <wps:spPr>
                              <a:xfrm>
                                <a:off x="0" y="0"/>
                                <a:ext cx="186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8"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92430" cy="175260"/>
                      <wp:effectExtent l="0" t="0" r="0" b="0"/>
                      <wp:wrapNone/>
                      <wp:docPr id="272" name="Frame272"/>
                      <a:graphic xmlns:a="http://schemas.openxmlformats.org/drawingml/2006/main">
                        <a:graphicData uri="http://schemas.microsoft.com/office/word/2010/wordprocessingShape">
                          <wps:wsp>
                            <wps:cNvSpPr txBox="1"/>
                            <wps:spPr>
                              <a:xfrm>
                                <a:off x="0" y="0"/>
                                <a:ext cx="392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86055" cy="175260"/>
                      <wp:effectExtent l="0" t="0" r="0" b="0"/>
                      <wp:wrapNone/>
                      <wp:docPr id="273" name="Frame273"/>
                      <a:graphic xmlns:a="http://schemas.openxmlformats.org/drawingml/2006/main">
                        <a:graphicData uri="http://schemas.microsoft.com/office/word/2010/wordprocessingShape">
                          <wps:wsp>
                            <wps:cNvSpPr txBox="1"/>
                            <wps:spPr>
                              <a:xfrm>
                                <a:off x="0" y="0"/>
                                <a:ext cx="1860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7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55295" cy="175260"/>
                      <wp:effectExtent l="0" t="0" r="0" b="0"/>
                      <wp:wrapNone/>
                      <wp:docPr id="274" name="Frame274"/>
                      <a:graphic xmlns:a="http://schemas.openxmlformats.org/drawingml/2006/main">
                        <a:graphicData uri="http://schemas.microsoft.com/office/word/2010/wordprocessingShape">
                          <wps:wsp>
                            <wps:cNvSpPr txBox="1"/>
                            <wps:spPr>
                              <a:xfrm>
                                <a:off x="0" y="0"/>
                                <a:ext cx="4552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83540" cy="175260"/>
                      <wp:effectExtent l="0" t="0" r="0" b="0"/>
                      <wp:wrapNone/>
                      <wp:docPr id="275" name="Frame275"/>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96"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09" w:type="dxa"/>
            <w:tcBorders/>
            <w:shd w:fill="auto" w:val="clear"/>
            <w:vAlign w:val="center"/>
          </w:tcPr>
          <w:p>
            <w:pPr>
              <w:pStyle w:val="TableContents"/>
              <w:spacing w:before="0" w:after="0"/>
              <w:ind w:left="0" w:right="0" w:hanging="0"/>
              <w:rPr/>
            </w:pPr>
            <w:r>
              <w:rPr/>
              <w:t>​</w:t>
            </w:r>
          </w:p>
        </w:tc>
        <w:tc>
          <w:tcPr>
            <w:tcW w:w="13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w:t>
            </w:r>
          </w:p>
        </w:tc>
      </w:tr>
      <w:tr>
        <w:trPr/>
        <w:tc>
          <w:tcPr>
            <w:tcW w:w="31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13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18" w:type="dxa"/>
            <w:tcBorders/>
            <w:shd w:fill="auto" w:val="clear"/>
            <w:vAlign w:val="center"/>
          </w:tcPr>
          <w:p>
            <w:pPr>
              <w:pStyle w:val="TableContents"/>
              <w:spacing w:before="0" w:after="0"/>
              <w:ind w:left="0" w:right="0" w:hanging="0"/>
              <w:jc w:val="center"/>
              <w:rPr/>
            </w:pPr>
            <w:r>
              <w:rPr/>
              <w:t>​</w:t>
            </w:r>
          </w:p>
        </w:tc>
        <w:tc>
          <w:tcPr>
            <w:tcW w:w="113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jc w:val="center"/>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1,579</w:t>
            </w:r>
          </w:p>
        </w:tc>
        <w:tc>
          <w:tcPr>
            <w:tcW w:w="293" w:type="dxa"/>
            <w:tcBorders/>
            <w:shd w:fill="CCEEFF" w:val="clear"/>
            <w:vAlign w:val="center"/>
          </w:tcPr>
          <w:p>
            <w:pPr>
              <w:pStyle w:val="TableContents"/>
              <w:spacing w:before="0" w:after="0"/>
              <w:ind w:left="0" w:right="0" w:hanging="0"/>
              <w:rPr/>
            </w:pPr>
            <w:r>
              <w:rPr/>
              <w:t>​</w:t>
            </w:r>
          </w:p>
        </w:tc>
        <w:tc>
          <w:tcPr>
            <w:tcW w:w="118" w:type="dxa"/>
            <w:tcBorders/>
            <w:shd w:fill="CCEEFF" w:val="clear"/>
            <w:vAlign w:val="center"/>
          </w:tcPr>
          <w:p>
            <w:pPr>
              <w:pStyle w:val="TableContents"/>
              <w:spacing w:before="0" w:after="0"/>
              <w:ind w:left="0" w:right="0" w:hanging="0"/>
              <w:jc w:val="right"/>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29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7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0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2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c>
          <w:tcPr>
            <w:tcW w:w="6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9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717" w:type="dxa"/>
            <w:tcBorders/>
            <w:shd w:fill="auto" w:val="clear"/>
            <w:vAlign w:val="center"/>
          </w:tcPr>
          <w:p>
            <w:pPr>
              <w:pStyle w:val="TableContents"/>
              <w:spacing w:before="0" w:after="0"/>
              <w:ind w:left="0" w:right="0" w:hanging="0"/>
              <w:jc w:val="right"/>
              <w:rPr/>
            </w:pPr>
            <w:r>
              <w:rPr/>
              <w:t>​</w:t>
            </w:r>
          </w:p>
        </w:tc>
        <w:tc>
          <w:tcPr>
            <w:tcW w:w="604"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293" w:type="dxa"/>
            <w:tcBorders/>
            <w:shd w:fill="CCEEFF" w:val="clear"/>
            <w:vAlign w:val="center"/>
          </w:tcPr>
          <w:p>
            <w:pPr>
              <w:pStyle w:val="TableContents"/>
              <w:spacing w:before="0" w:after="0"/>
              <w:ind w:left="0" w:right="0" w:hanging="0"/>
              <w:rPr/>
            </w:pPr>
            <w:r>
              <w:rPr/>
              <w:t>​</w:t>
            </w:r>
          </w:p>
        </w:tc>
        <w:tc>
          <w:tcPr>
            <w:tcW w:w="118" w:type="dxa"/>
            <w:tcBorders/>
            <w:shd w:fill="CCEEFF" w:val="clear"/>
            <w:vAlign w:val="center"/>
          </w:tcPr>
          <w:p>
            <w:pPr>
              <w:pStyle w:val="TableContents"/>
              <w:spacing w:before="0" w:after="0"/>
              <w:ind w:left="0" w:right="0" w:hanging="0"/>
              <w:jc w:val="right"/>
              <w:rPr/>
            </w:pPr>
            <w:r>
              <w:rPr/>
              <w:t>​</w:t>
            </w:r>
          </w:p>
        </w:tc>
        <w:tc>
          <w:tcPr>
            <w:tcW w:w="2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52 </w:t>
            </w:r>
          </w:p>
        </w:tc>
        <w:tc>
          <w:tcPr>
            <w:tcW w:w="293"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71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89 </w:t>
            </w:r>
          </w:p>
        </w:tc>
        <w:tc>
          <w:tcPr>
            <w:tcW w:w="60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For the three months ended March 31, 2022, Principal Markets revenue of $1.6 billion decreased 14 percent as compared to the prior-year quarter. Revenue decreased due to certain joint ventures not transferring to us in connection with the Separation as well as an unfavorable currency exchange rate impact of five points, primarily driven by the strengthening of the U.S. dollar against the Euro and British pound. Adjusted EBITDA increased $46 million from the prior year, primarily due to the benefit from structural actions taken in prior periods as well as lower costs from our post-Separation commercial agreements with IBM. </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Strategic Markets</w:t>
      </w:r>
    </w:p>
    <w:p>
      <w:pPr>
        <w:pStyle w:val="TextBody"/>
        <w:spacing w:before="0" w:after="0"/>
        <w:ind w:left="0" w:right="0" w:hanging="0"/>
        <w:rPr/>
      </w:pPr>
      <w:r>
        <w:rPr/>
        <w:t>​</w:t>
      </w:r>
    </w:p>
    <w:p>
      <w:pPr>
        <w:pStyle w:val="Normal"/>
        <w:spacing w:before="0" w:after="0"/>
        <w:rPr>
          <w:sz w:val="4"/>
          <w:szCs w:val="4"/>
        </w:rPr>
      </w:pPr>
      <w:r>
        <w:rPr>
          <w:sz w:val="4"/>
          <w:szCs w:val="4"/>
        </w:rPr>
      </w:r>
      <w:bookmarkStart w:id="1534" w:name="_16a01099_655f_4f89_b8b6_4bdd26918091"/>
      <w:bookmarkStart w:id="1535" w:name="_c1599a9a_4970_4a82_a67b_a9ea18dcd4f3"/>
      <w:bookmarkStart w:id="1536" w:name="_7886f2d7_f4ca_49e7_b95f_c802f5899779"/>
      <w:bookmarkStart w:id="1537" w:name="_89047a23_9f0a_4232_a57e_2793e2a613f5"/>
      <w:bookmarkStart w:id="1538" w:name="_721463fe_e121_4a30_b0f4_fbba63c3b93c"/>
      <w:bookmarkStart w:id="1539" w:name="_987235fb_ebbc_4a5f_ab9d_9a2d26b71f42"/>
      <w:bookmarkStart w:id="1540" w:name="_5ac3a198_c1bb_4142_8bd6_b55de3172d87"/>
      <w:bookmarkStart w:id="1541" w:name="_a3cfe0ef_2694_4b43_929a_57140a23ffe3"/>
      <w:bookmarkStart w:id="1542" w:name="_cf1a2032_a6ae_46e8_8a56_8e155ec7b2d8"/>
      <w:bookmarkStart w:id="1543" w:name="_64a7de66_0053_4ca6_998f_c7ac62ebfe5a"/>
      <w:bookmarkStart w:id="1544" w:name="_48d137b1_813c_4eda_b073_2e18ba9bfde2"/>
      <w:bookmarkStart w:id="1545" w:name="_e019532e_8438_4a3c_a0e0_a50bc125f80a"/>
      <w:bookmarkStart w:id="1546" w:name="_4a29d552_b0c7_46d8_a963_85f61cc4d9cb"/>
      <w:bookmarkStart w:id="1547" w:name="_5f03980c_ff4f_4db4_a508_8b4bd87a64c2"/>
      <w:bookmarkStart w:id="1548" w:name="_a7d9fad6_9297_4f63_a76c_bd6e6a0a5b32"/>
      <w:bookmarkStart w:id="1549" w:name="_78b721c9_cce9_4b64_81d0_a42f361ff2ae"/>
      <w:bookmarkStart w:id="1550" w:name="_f44389d4_7e9f_4cf9_9b30_a8edd8cfc499"/>
      <w:bookmarkStart w:id="1551" w:name="_5a213c0d_1e56_4967_be54_da6224b2b3da"/>
      <w:bookmarkStart w:id="1552" w:name="_16a01099_655f_4f89_b8b6_4bdd26918091"/>
      <w:bookmarkStart w:id="1553" w:name="_c1599a9a_4970_4a82_a67b_a9ea18dcd4f3"/>
      <w:bookmarkStart w:id="1554" w:name="_7886f2d7_f4ca_49e7_b95f_c802f5899779"/>
      <w:bookmarkStart w:id="1555" w:name="_89047a23_9f0a_4232_a57e_2793e2a613f5"/>
      <w:bookmarkStart w:id="1556" w:name="_721463fe_e121_4a30_b0f4_fbba63c3b93c"/>
      <w:bookmarkStart w:id="1557" w:name="_987235fb_ebbc_4a5f_ab9d_9a2d26b71f42"/>
      <w:bookmarkStart w:id="1558" w:name="_5ac3a198_c1bb_4142_8bd6_b55de3172d87"/>
      <w:bookmarkStart w:id="1559" w:name="_a3cfe0ef_2694_4b43_929a_57140a23ffe3"/>
      <w:bookmarkStart w:id="1560" w:name="_cf1a2032_a6ae_46e8_8a56_8e155ec7b2d8"/>
      <w:bookmarkStart w:id="1561" w:name="_64a7de66_0053_4ca6_998f_c7ac62ebfe5a"/>
      <w:bookmarkStart w:id="1562" w:name="_48d137b1_813c_4eda_b073_2e18ba9bfde2"/>
      <w:bookmarkStart w:id="1563" w:name="_e019532e_8438_4a3c_a0e0_a50bc125f80a"/>
      <w:bookmarkStart w:id="1564" w:name="_4a29d552_b0c7_46d8_a963_85f61cc4d9cb"/>
      <w:bookmarkStart w:id="1565" w:name="_5f03980c_ff4f_4db4_a508_8b4bd87a64c2"/>
      <w:bookmarkStart w:id="1566" w:name="_a7d9fad6_9297_4f63_a76c_bd6e6a0a5b32"/>
      <w:bookmarkStart w:id="1567" w:name="_78b721c9_cce9_4b64_81d0_a42f361ff2ae"/>
      <w:bookmarkStart w:id="1568" w:name="_f44389d4_7e9f_4cf9_9b30_a8edd8cfc499"/>
      <w:bookmarkStart w:id="1569" w:name="_5a213c0d_1e56_4967_be54_da6224b2b3da"/>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p>
    <w:tbl>
      <w:tblPr>
        <w:tblW w:w="7305" w:type="dxa"/>
        <w:jc w:val="left"/>
        <w:tblInd w:w="0" w:type="dxa"/>
        <w:tblCellMar>
          <w:top w:w="0" w:type="dxa"/>
          <w:left w:w="0" w:type="dxa"/>
          <w:bottom w:w="0" w:type="dxa"/>
          <w:right w:w="0" w:type="dxa"/>
        </w:tblCellMar>
      </w:tblPr>
      <w:tblGrid>
        <w:gridCol w:w="3151"/>
        <w:gridCol w:w="326"/>
        <w:gridCol w:w="262"/>
        <w:gridCol w:w="523"/>
        <w:gridCol w:w="337"/>
        <w:gridCol w:w="135"/>
        <w:gridCol w:w="262"/>
        <w:gridCol w:w="542"/>
        <w:gridCol w:w="337"/>
        <w:gridCol w:w="109"/>
        <w:gridCol w:w="609"/>
        <w:gridCol w:w="712"/>
      </w:tblGrid>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pPr>
            <w:r>
              <w:rPr/>
              <w:t>​</w: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32105" cy="175260"/>
                      <wp:effectExtent l="0" t="0" r="0" b="0"/>
                      <wp:wrapNone/>
                      <wp:docPr id="276" name="Frame276"/>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3995" cy="175260"/>
                      <wp:effectExtent l="0" t="0" r="0" b="0"/>
                      <wp:wrapNone/>
                      <wp:docPr id="277" name="Frame277"/>
                      <a:graphic xmlns:a="http://schemas.openxmlformats.org/drawingml/2006/main">
                        <a:graphicData uri="http://schemas.microsoft.com/office/word/2010/wordprocessingShape">
                          <wps:wsp>
                            <wps:cNvSpPr txBox="1"/>
                            <wps:spPr>
                              <a:xfrm>
                                <a:off x="0" y="0"/>
                                <a:ext cx="213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85725" cy="175260"/>
                      <wp:effectExtent l="0" t="0" r="0" b="0"/>
                      <wp:wrapNone/>
                      <wp:docPr id="278" name="Frame278"/>
                      <a:graphic xmlns:a="http://schemas.openxmlformats.org/drawingml/2006/main">
                        <a:graphicData uri="http://schemas.microsoft.com/office/word/2010/wordprocessingShape">
                          <wps:wsp>
                            <wps:cNvSpPr txBox="1"/>
                            <wps:spPr>
                              <a:xfrm>
                                <a:off x="0" y="0"/>
                                <a:ext cx="85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0"/>
              <w:ind w:left="0" w:right="0" w:hanging="0"/>
              <w:rPr/>
            </w:pPr>
            <w:r>
              <w:rPr/>
              <w:t>​</w:t>
            </w:r>
          </w:p>
        </w:tc>
        <w:tc>
          <w:tcPr>
            <w:tcW w:w="5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44170" cy="175260"/>
                      <wp:effectExtent l="0" t="0" r="0" b="0"/>
                      <wp:wrapNone/>
                      <wp:docPr id="279" name="Frame279"/>
                      <a:graphic xmlns:a="http://schemas.openxmlformats.org/drawingml/2006/main">
                        <a:graphicData uri="http://schemas.microsoft.com/office/word/2010/wordprocessingShape">
                          <wps:wsp>
                            <wps:cNvSpPr txBox="1"/>
                            <wps:spPr>
                              <a:xfrm>
                                <a:off x="0" y="0"/>
                                <a:ext cx="3441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3995" cy="175260"/>
                      <wp:effectExtent l="0" t="0" r="0" b="0"/>
                      <wp:wrapNone/>
                      <wp:docPr id="280" name="Frame280"/>
                      <a:graphic xmlns:a="http://schemas.openxmlformats.org/drawingml/2006/main">
                        <a:graphicData uri="http://schemas.microsoft.com/office/word/2010/wordprocessingShape">
                          <wps:wsp>
                            <wps:cNvSpPr txBox="1"/>
                            <wps:spPr>
                              <a:xfrm>
                                <a:off x="0" y="0"/>
                                <a:ext cx="213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0"/>
              <w:ind w:left="0" w:right="0" w:hanging="0"/>
              <w:rPr/>
            </w:pPr>
            <w:r>
              <w:rPr/>
              <w:t>​</w:t>
            </w:r>
          </w:p>
        </w:tc>
        <w:tc>
          <w:tcPr>
            <w:tcW w:w="6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86715" cy="175260"/>
                      <wp:effectExtent l="0" t="0" r="0" b="0"/>
                      <wp:wrapNone/>
                      <wp:docPr id="281" name="Frame281"/>
                      <a:graphic xmlns:a="http://schemas.openxmlformats.org/drawingml/2006/main">
                        <a:graphicData uri="http://schemas.microsoft.com/office/word/2010/wordprocessingShape">
                          <wps:wsp>
                            <wps:cNvSpPr txBox="1"/>
                            <wps:spPr>
                              <a:xfrm>
                                <a:off x="0" y="0"/>
                                <a:ext cx="386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52120" cy="175260"/>
                      <wp:effectExtent l="0" t="0" r="0" b="0"/>
                      <wp:wrapNone/>
                      <wp:docPr id="282" name="Frame282"/>
                      <a:graphic xmlns:a="http://schemas.openxmlformats.org/drawingml/2006/main">
                        <a:graphicData uri="http://schemas.microsoft.com/office/word/2010/wordprocessingShape">
                          <wps:wsp>
                            <wps:cNvSpPr txBox="1"/>
                            <wps:spPr>
                              <a:xfrm>
                                <a:off x="0" y="0"/>
                                <a:ext cx="452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98"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09" w:type="dxa"/>
            <w:tcBorders/>
            <w:shd w:fill="auto" w:val="clear"/>
            <w:vAlign w:val="center"/>
          </w:tcPr>
          <w:p>
            <w:pPr>
              <w:pStyle w:val="TableContents"/>
              <w:spacing w:before="0" w:after="0"/>
              <w:ind w:left="0" w:right="0" w:hanging="0"/>
              <w:rPr/>
            </w:pPr>
            <w:r>
              <w:rPr/>
              <w:t>​</w:t>
            </w:r>
          </w:p>
        </w:tc>
        <w:tc>
          <w:tcPr>
            <w:tcW w:w="132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w:t>
            </w:r>
          </w:p>
        </w:tc>
      </w:tr>
      <w:tr>
        <w:trPr/>
        <w:tc>
          <w:tcPr>
            <w:tcW w:w="315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1122"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35" w:type="dxa"/>
            <w:tcBorders/>
            <w:shd w:fill="auto" w:val="clear"/>
            <w:vAlign w:val="center"/>
          </w:tcPr>
          <w:p>
            <w:pPr>
              <w:pStyle w:val="TableContents"/>
              <w:spacing w:before="0" w:after="0"/>
              <w:ind w:left="0" w:right="0" w:hanging="0"/>
              <w:jc w:val="center"/>
              <w:rPr/>
            </w:pPr>
            <w:r>
              <w:rPr/>
              <w:t>​</w:t>
            </w:r>
          </w:p>
        </w:tc>
        <w:tc>
          <w:tcPr>
            <w:tcW w:w="1141"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jc w:val="center"/>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37" w:type="dxa"/>
            <w:tcBorders/>
            <w:shd w:fill="CCEEFF" w:val="clear"/>
            <w:vAlign w:val="center"/>
          </w:tcPr>
          <w:p>
            <w:pPr>
              <w:pStyle w:val="TableContents"/>
              <w:spacing w:before="0" w:after="0"/>
              <w:ind w:left="0" w:right="0" w:hanging="0"/>
              <w:rPr/>
            </w:pPr>
            <w:r>
              <w:rPr/>
              <w:t>​</w:t>
            </w:r>
          </w:p>
        </w:tc>
        <w:tc>
          <w:tcPr>
            <w:tcW w:w="135"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33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6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71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31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 growth in constant currency</w:t>
            </w:r>
          </w:p>
        </w:tc>
        <w:tc>
          <w:tcPr>
            <w:tcW w:w="326"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pPr>
            <w:r>
              <w:rPr/>
              <w:t>​</w:t>
            </w:r>
          </w:p>
        </w:tc>
        <w:tc>
          <w:tcPr>
            <w:tcW w:w="5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 </w:t>
            </w:r>
          </w:p>
        </w:tc>
        <w:tc>
          <w:tcPr>
            <w:tcW w:w="3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35" w:type="dxa"/>
            <w:tcBorders/>
            <w:shd w:fill="auto" w:val="clear"/>
            <w:vAlign w:val="center"/>
          </w:tcPr>
          <w:p>
            <w:pPr>
              <w:pStyle w:val="TableContents"/>
              <w:spacing w:before="0" w:after="0"/>
              <w:ind w:left="0" w:right="0" w:hanging="0"/>
              <w:jc w:val="right"/>
              <w:rPr/>
            </w:pPr>
            <w:r>
              <w:rPr/>
              <w:t>​</w:t>
            </w:r>
          </w:p>
        </w:tc>
        <w:tc>
          <w:tcPr>
            <w:tcW w:w="262" w:type="dxa"/>
            <w:tcBorders/>
            <w:shd w:fill="auto" w:val="clear"/>
            <w:vAlign w:val="center"/>
          </w:tcPr>
          <w:p>
            <w:pPr>
              <w:pStyle w:val="TableContents"/>
              <w:spacing w:before="0" w:after="0"/>
              <w:ind w:left="0" w:right="0" w:hanging="0"/>
              <w:rPr/>
            </w:pPr>
            <w:r>
              <w:rPr/>
              <w:t>​</w:t>
            </w:r>
          </w:p>
        </w:tc>
        <w:tc>
          <w:tcPr>
            <w:tcW w:w="54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3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609" w:type="dxa"/>
            <w:tcBorders/>
            <w:shd w:fill="auto" w:val="clear"/>
            <w:vAlign w:val="center"/>
          </w:tcPr>
          <w:p>
            <w:pPr>
              <w:pStyle w:val="TableContents"/>
              <w:spacing w:before="0" w:after="0"/>
              <w:ind w:left="0" w:right="0" w:hanging="0"/>
              <w:jc w:val="right"/>
              <w:rPr/>
            </w:pPr>
            <w:r>
              <w:rPr/>
              <w:t>​</w:t>
            </w:r>
          </w:p>
        </w:tc>
        <w:tc>
          <w:tcPr>
            <w:tcW w:w="712" w:type="dxa"/>
            <w:tcBorders/>
            <w:shd w:fill="auto" w:val="clear"/>
            <w:vAlign w:val="center"/>
          </w:tcPr>
          <w:p>
            <w:pPr>
              <w:pStyle w:val="TableContents"/>
              <w:spacing w:before="0" w:after="0"/>
              <w:ind w:left="0" w:right="0" w:hanging="0"/>
              <w:rPr/>
            </w:pPr>
            <w:r>
              <w:rPr/>
              <w:t>​</w:t>
            </w:r>
          </w:p>
        </w:tc>
      </w:tr>
      <w:tr>
        <w:trPr/>
        <w:tc>
          <w:tcPr>
            <w:tcW w:w="31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37" w:type="dxa"/>
            <w:tcBorders/>
            <w:shd w:fill="CCEEFF" w:val="clear"/>
            <w:vAlign w:val="center"/>
          </w:tcPr>
          <w:p>
            <w:pPr>
              <w:pStyle w:val="TableContents"/>
              <w:spacing w:before="0" w:after="0"/>
              <w:ind w:left="0" w:right="0" w:hanging="0"/>
              <w:rPr/>
            </w:pPr>
            <w:r>
              <w:rPr/>
              <w:t>​</w:t>
            </w:r>
          </w:p>
        </w:tc>
        <w:tc>
          <w:tcPr>
            <w:tcW w:w="135" w:type="dxa"/>
            <w:tcBorders/>
            <w:shd w:fill="CCEEFF" w:val="clear"/>
            <w:vAlign w:val="center"/>
          </w:tcPr>
          <w:p>
            <w:pPr>
              <w:pStyle w:val="TableContents"/>
              <w:spacing w:before="0" w:after="0"/>
              <w:ind w:left="0" w:right="0" w:hanging="0"/>
              <w:jc w:val="right"/>
              <w:rPr/>
            </w:pPr>
            <w:r>
              <w:rPr/>
              <w:t>​</w:t>
            </w:r>
          </w:p>
        </w:tc>
        <w:tc>
          <w:tcPr>
            <w:tcW w:w="26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37"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6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71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For the three months ended March 31, 2022, Strategic Markets revenue of $978 million increased 2 percent as compared to the prior-year quarter, despite a four-point headwind from currency exchange rates. Revenue increased due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 xml:space="preserve">to strong revenue generation from recent signings of incremental business. Adjusted EBITDA decreased $4 million from the prior year, since the majority of Strategic Markets countries were not charged for IBM software pre-Separation and software cost allocations began post-Separation. The increased software costs from IBM partially offset by higher revenues. </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Corporate and Other</w:t>
      </w:r>
    </w:p>
    <w:p>
      <w:pPr>
        <w:pStyle w:val="TextBody"/>
        <w:spacing w:before="0" w:after="24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Corporate and other had an adjusted EBITDA loss of $56 million in the three months ended March 31, 2022, compared to a loss of $40 million in the three months ended March 31, 2021. </w:t>
      </w:r>
    </w:p>
    <w:p>
      <w:pPr>
        <w:pStyle w:val="TextBody"/>
        <w:spacing w:before="0" w:after="0"/>
        <w:ind w:left="0" w:right="0" w:hanging="0"/>
        <w:rPr>
          <w:rFonts w:ascii="Times New Roman;Times;serif" w:hAnsi="Times New Roman;Times;serif"/>
          <w:b/>
          <w:i/>
          <w:sz w:val="20"/>
        </w:rPr>
      </w:pPr>
      <w:bookmarkStart w:id="1570" w:name="_fbf83871_2f54_49e6_8d9c_0ebe4f427cba"/>
      <w:bookmarkEnd w:id="1570"/>
      <w:r>
        <w:rPr>
          <w:rFonts w:ascii="Times New Roman;Times;serif" w:hAnsi="Times New Roman;Times;serif"/>
          <w:b/>
          <w:i/>
          <w:sz w:val="20"/>
        </w:rPr>
        <w:t>Costs and Expenses</w:t>
      </w:r>
    </w:p>
    <w:p>
      <w:pPr>
        <w:pStyle w:val="TextBody"/>
        <w:spacing w:before="0" w:after="240"/>
        <w:ind w:left="0" w:right="0" w:hanging="0"/>
        <w:rPr/>
      </w:pPr>
      <w:r>
        <w:rPr/>
        <w:t>​</w:t>
      </w:r>
    </w:p>
    <w:tbl>
      <w:tblPr>
        <w:tblW w:w="10060" w:type="dxa"/>
        <w:jc w:val="left"/>
        <w:tblInd w:w="0" w:type="dxa"/>
        <w:tblCellMar>
          <w:top w:w="0" w:type="dxa"/>
          <w:left w:w="0" w:type="dxa"/>
          <w:bottom w:w="0" w:type="dxa"/>
          <w:right w:w="0" w:type="dxa"/>
        </w:tblCellMar>
      </w:tblPr>
      <w:tblGrid>
        <w:gridCol w:w="3736"/>
        <w:gridCol w:w="326"/>
        <w:gridCol w:w="302"/>
        <w:gridCol w:w="819"/>
        <w:gridCol w:w="156"/>
        <w:gridCol w:w="302"/>
        <w:gridCol w:w="819"/>
        <w:gridCol w:w="326"/>
        <w:gridCol w:w="571"/>
        <w:gridCol w:w="271"/>
        <w:gridCol w:w="109"/>
        <w:gridCol w:w="571"/>
        <w:gridCol w:w="271"/>
        <w:gridCol w:w="326"/>
        <w:gridCol w:w="670"/>
        <w:gridCol w:w="485"/>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372360" cy="175260"/>
                      <wp:effectExtent l="0" t="0" r="0" b="0"/>
                      <wp:wrapNone/>
                      <wp:docPr id="283" name="Frame283"/>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91770" cy="175260"/>
                      <wp:effectExtent l="0" t="0" r="0" b="0"/>
                      <wp:wrapNone/>
                      <wp:docPr id="285" name="Frame285"/>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20065" cy="175260"/>
                      <wp:effectExtent l="0" t="0" r="0" b="0"/>
                      <wp:wrapNone/>
                      <wp:docPr id="286" name="Frame286"/>
                      <a:graphic xmlns:a="http://schemas.openxmlformats.org/drawingml/2006/main">
                        <a:graphicData uri="http://schemas.microsoft.com/office/word/2010/wordprocessingShape">
                          <wps:wsp>
                            <wps:cNvSpPr txBox="1"/>
                            <wps:spPr>
                              <a:xfrm>
                                <a:off x="0" y="0"/>
                                <a:ext cx="520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99060" cy="175260"/>
                      <wp:effectExtent l="0" t="0" r="0" b="0"/>
                      <wp:wrapNone/>
                      <wp:docPr id="287" name="Frame287"/>
                      <a:graphic xmlns:a="http://schemas.openxmlformats.org/drawingml/2006/main">
                        <a:graphicData uri="http://schemas.microsoft.com/office/word/2010/wordprocessingShape">
                          <wps:wsp>
                            <wps:cNvSpPr txBox="1"/>
                            <wps:spPr>
                              <a:xfrm>
                                <a:off x="0" y="0"/>
                                <a:ext cx="9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91770" cy="175260"/>
                      <wp:effectExtent l="0" t="0" r="0" b="0"/>
                      <wp:wrapNone/>
                      <wp:docPr id="288" name="Frame288"/>
                      <a:graphic xmlns:a="http://schemas.openxmlformats.org/drawingml/2006/main">
                        <a:graphicData uri="http://schemas.microsoft.com/office/word/2010/wordprocessingShape">
                          <wps:wsp>
                            <wps:cNvSpPr txBox="1"/>
                            <wps:spPr>
                              <a:xfrm>
                                <a:off x="0" y="0"/>
                                <a:ext cx="1917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20065" cy="175260"/>
                      <wp:effectExtent l="0" t="0" r="0" b="0"/>
                      <wp:wrapNone/>
                      <wp:docPr id="289" name="Frame289"/>
                      <a:graphic xmlns:a="http://schemas.openxmlformats.org/drawingml/2006/main">
                        <a:graphicData uri="http://schemas.microsoft.com/office/word/2010/wordprocessingShape">
                          <wps:wsp>
                            <wps:cNvSpPr txBox="1"/>
                            <wps:spPr>
                              <a:xfrm>
                                <a:off x="0" y="0"/>
                                <a:ext cx="5200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62585" cy="175260"/>
                      <wp:effectExtent l="0" t="0" r="0" b="0"/>
                      <wp:wrapNone/>
                      <wp:docPr id="291" name="Frame29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72085" cy="175260"/>
                      <wp:effectExtent l="0" t="0" r="0" b="0"/>
                      <wp:wrapNone/>
                      <wp:docPr id="292" name="Frame292"/>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62585" cy="175260"/>
                      <wp:effectExtent l="0" t="0" r="0" b="0"/>
                      <wp:wrapNone/>
                      <wp:docPr id="294" name="Frame29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72085" cy="175260"/>
                      <wp:effectExtent l="0" t="0" r="0" b="0"/>
                      <wp:wrapNone/>
                      <wp:docPr id="295" name="Frame295"/>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5450" cy="175260"/>
                      <wp:effectExtent l="0" t="0" r="0" b="0"/>
                      <wp:wrapNone/>
                      <wp:docPr id="297" name="Frame297"/>
                      <a:graphic xmlns:a="http://schemas.openxmlformats.org/drawingml/2006/main">
                        <a:graphicData uri="http://schemas.microsoft.com/office/word/2010/wordprocessingShape">
                          <wps:wsp>
                            <wps:cNvSpPr txBox="1"/>
                            <wps:spPr>
                              <a:xfrm>
                                <a:off x="0" y="0"/>
                                <a:ext cx="425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307975" cy="175260"/>
                      <wp:effectExtent l="0" t="0" r="0" b="0"/>
                      <wp:wrapNone/>
                      <wp:docPr id="298" name="Frame298"/>
                      <a:graphic xmlns:a="http://schemas.openxmlformats.org/drawingml/2006/main">
                        <a:graphicData uri="http://schemas.microsoft.com/office/word/2010/wordprocessingShape">
                          <wps:wsp>
                            <wps:cNvSpPr txBox="1"/>
                            <wps:spPr>
                              <a:xfrm>
                                <a:off x="0" y="0"/>
                                <a:ext cx="3079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73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98"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26" w:type="dxa"/>
            <w:tcBorders/>
            <w:shd w:fill="auto" w:val="clear"/>
            <w:vAlign w:val="center"/>
          </w:tcPr>
          <w:p>
            <w:pPr>
              <w:pStyle w:val="TableContents"/>
              <w:spacing w:before="0" w:after="1"/>
              <w:ind w:left="0" w:right="0" w:hanging="0"/>
              <w:rPr/>
            </w:pPr>
            <w:r>
              <w:rPr/>
              <w:t>​</w:t>
            </w:r>
          </w:p>
        </w:tc>
        <w:tc>
          <w:tcPr>
            <w:tcW w:w="179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26" w:type="dxa"/>
            <w:tcBorders/>
            <w:shd w:fill="auto" w:val="clear"/>
            <w:vAlign w:val="center"/>
          </w:tcPr>
          <w:p>
            <w:pPr>
              <w:pStyle w:val="TableContents"/>
              <w:spacing w:before="0" w:after="1"/>
              <w:ind w:left="0" w:right="0" w:hanging="0"/>
              <w:rPr/>
            </w:pPr>
            <w:r>
              <w:rPr/>
              <w:t>​</w:t>
            </w:r>
          </w:p>
        </w:tc>
        <w:tc>
          <w:tcPr>
            <w:tcW w:w="11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1"/>
              <w:ind w:left="0" w:right="0" w:hanging="0"/>
              <w:rPr/>
            </w:pPr>
            <w:r>
              <w:rPr/>
              <w:t>    </w:t>
            </w:r>
          </w:p>
        </w:tc>
        <w:tc>
          <w:tcPr>
            <w:tcW w:w="11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6" w:type="dxa"/>
            <w:tcBorders/>
            <w:shd w:fill="auto" w:val="clear"/>
            <w:vAlign w:val="center"/>
          </w:tcPr>
          <w:p>
            <w:pPr>
              <w:pStyle w:val="TableContents"/>
              <w:spacing w:before="0" w:after="1"/>
              <w:ind w:left="0" w:right="0" w:hanging="0"/>
              <w:rPr/>
            </w:pPr>
            <w:r>
              <w:rPr/>
              <w:t>​</w:t>
            </w:r>
          </w:p>
        </w:tc>
        <w:tc>
          <w:tcPr>
            <w:tcW w:w="11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auto" w:val="clear"/>
            <w:vAlign w:val="center"/>
          </w:tcPr>
          <w:p>
            <w:pPr>
              <w:pStyle w:val="TableContents"/>
              <w:spacing w:before="0" w:after="1"/>
              <w:ind w:left="0" w:right="0" w:hanging="0"/>
              <w:rPr/>
            </w:pPr>
            <w:r>
              <w:rPr/>
              <w:t>​</w:t>
            </w:r>
          </w:p>
        </w:tc>
        <w:tc>
          <w:tcPr>
            <w:tcW w:w="8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1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 vs. 2021</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4,431</w:t>
            </w:r>
          </w:p>
        </w:tc>
        <w:tc>
          <w:tcPr>
            <w:tcW w:w="15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4,771</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6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4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Cost of services</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w:t>
            </w:r>
          </w:p>
        </w:tc>
        <w:tc>
          <w:tcPr>
            <w:tcW w:w="8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3,824</w:t>
            </w:r>
          </w:p>
        </w:tc>
        <w:tc>
          <w:tcPr>
            <w:tcW w:w="15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w:t>
            </w:r>
          </w:p>
        </w:tc>
        <w:tc>
          <w:tcPr>
            <w:tcW w:w="8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4,318</w:t>
            </w:r>
          </w:p>
        </w:tc>
        <w:tc>
          <w:tcPr>
            <w:tcW w:w="326"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86.3</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6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48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w:t>
            </w:r>
          </w:p>
        </w:tc>
        <w:tc>
          <w:tcPr>
            <w:tcW w:w="8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15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w:t>
            </w:r>
          </w:p>
        </w:tc>
        <w:tc>
          <w:tcPr>
            <w:tcW w:w="8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714</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 </w:t>
            </w:r>
          </w:p>
        </w:tc>
        <w:tc>
          <w:tcPr>
            <w:tcW w:w="6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4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Workforce rebalancing charges</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 </w:t>
            </w:r>
          </w:p>
        </w:tc>
        <w:tc>
          <w:tcPr>
            <w:tcW w:w="819" w:type="dxa"/>
            <w:tcBorders/>
            <w:shd w:fill="auto" w:val="clear"/>
            <w:vAlign w:val="center"/>
          </w:tcPr>
          <w:p>
            <w:pPr>
              <w:pStyle w:val="TableContents"/>
              <w:spacing w:before="0" w:after="1"/>
              <w:ind w:left="0" w:right="0" w:hanging="0"/>
              <w:jc w:val="right"/>
              <w:rPr/>
            </w:pPr>
            <w:r>
              <w:rPr/>
              <w:t>—</w:t>
            </w:r>
          </w:p>
        </w:tc>
        <w:tc>
          <w:tcPr>
            <w:tcW w:w="15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 </w:t>
            </w:r>
          </w:p>
        </w:tc>
        <w:tc>
          <w:tcPr>
            <w:tcW w:w="8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pPr>
            <w:r>
              <w:rPr/>
              <w:t>—</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6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485" w:type="dxa"/>
            <w:tcBorders/>
            <w:shd w:fill="auto" w:val="clear"/>
            <w:vAlign w:val="center"/>
          </w:tcPr>
          <w:p>
            <w:pPr>
              <w:pStyle w:val="TableContents"/>
              <w:spacing w:before="0" w:after="1"/>
              <w:ind w:left="0" w:right="0" w:hanging="0"/>
              <w:rPr/>
            </w:pPr>
            <w:r>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Transaction-related costs</w:t>
            </w:r>
          </w:p>
        </w:tc>
        <w:tc>
          <w:tcPr>
            <w:tcW w:w="32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w:t>
            </w:r>
          </w:p>
        </w:tc>
        <w:tc>
          <w:tcPr>
            <w:tcW w:w="8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156" w:type="dxa"/>
            <w:tcBorders/>
            <w:shd w:fill="CCEEFF" w:val="clear"/>
            <w:vAlign w:val="center"/>
          </w:tcPr>
          <w:p>
            <w:pPr>
              <w:pStyle w:val="TableContents"/>
              <w:spacing w:before="0" w:after="1"/>
              <w:ind w:left="0" w:right="0" w:hanging="0"/>
              <w:rPr/>
            </w:pPr>
            <w:r>
              <w:rPr/>
              <w:t>​</w:t>
            </w:r>
          </w:p>
        </w:tc>
        <w:tc>
          <w:tcPr>
            <w:tcW w:w="302" w:type="dxa"/>
            <w:tcBorders/>
            <w:shd w:fill="CCEEFF" w:val="clear"/>
            <w:vAlign w:val="center"/>
          </w:tcPr>
          <w:p>
            <w:pPr>
              <w:pStyle w:val="TableContents"/>
              <w:spacing w:before="0" w:after="1"/>
              <w:ind w:left="0" w:right="0" w:hanging="0"/>
              <w:rPr/>
            </w:pPr>
            <w:r>
              <w:rPr/>
              <w:t>​</w:t>
            </w:r>
          </w:p>
        </w:tc>
        <w:tc>
          <w:tcPr>
            <w:tcW w:w="819"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w:t>
            </w:r>
          </w:p>
        </w:tc>
        <w:tc>
          <w:tcPr>
            <w:tcW w:w="6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4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 </w:t>
            </w:r>
          </w:p>
        </w:tc>
        <w:tc>
          <w:tcPr>
            <w:tcW w:w="8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5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pPr>
            <w:r>
              <w:rPr/>
              <w:t> </w:t>
            </w:r>
          </w:p>
        </w:tc>
        <w:tc>
          <w:tcPr>
            <w:tcW w:w="8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1"/>
              <w:ind w:left="0" w:right="0" w:hanging="0"/>
              <w:rPr/>
            </w:pPr>
            <w:r>
              <w:rPr/>
              <w:t> </w:t>
            </w:r>
          </w:p>
        </w:tc>
        <w:tc>
          <w:tcPr>
            <w:tcW w:w="6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54 </w:t>
            </w:r>
          </w:p>
        </w:tc>
        <w:tc>
          <w:tcPr>
            <w:tcW w:w="48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expenses</w:t>
            </w:r>
          </w:p>
        </w:tc>
        <w:tc>
          <w:tcPr>
            <w:tcW w:w="326" w:type="dxa"/>
            <w:tcBorders/>
            <w:shd w:fill="CCEEFF" w:val="clear"/>
            <w:vAlign w:val="center"/>
          </w:tcPr>
          <w:p>
            <w:pPr>
              <w:pStyle w:val="TableContents"/>
              <w:spacing w:before="0" w:after="1"/>
              <w:ind w:left="0" w:right="0" w:hanging="0"/>
              <w:rPr/>
            </w:pPr>
            <w:r>
              <w:rPr/>
              <w:t>​</w:t>
            </w:r>
          </w:p>
        </w:tc>
        <w:tc>
          <w:tcPr>
            <w:tcW w:w="30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156" w:type="dxa"/>
            <w:tcBorders/>
            <w:shd w:fill="CCEEFF" w:val="clear"/>
            <w:vAlign w:val="center"/>
          </w:tcPr>
          <w:p>
            <w:pPr>
              <w:pStyle w:val="TableContents"/>
              <w:spacing w:before="0" w:after="1"/>
              <w:ind w:left="0" w:right="0" w:hanging="0"/>
              <w:rPr/>
            </w:pPr>
            <w:r>
              <w:rPr/>
              <w:t>​</w:t>
            </w:r>
          </w:p>
        </w:tc>
        <w:tc>
          <w:tcPr>
            <w:tcW w:w="302"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spacing w:before="0" w:after="1"/>
              <w:ind w:left="0" w:right="0" w:hanging="0"/>
              <w:rPr/>
            </w:pPr>
            <w:r>
              <w:rPr/>
              <w:t> </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1"/>
              <w:ind w:left="0" w:right="0" w:hanging="0"/>
              <w:rPr/>
            </w:pPr>
            <w:r>
              <w:rPr/>
              <w:t>​</w:t>
            </w:r>
          </w:p>
        </w:tc>
        <w:tc>
          <w:tcPr>
            <w:tcW w:w="57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1"/>
              <w:ind w:left="0" w:right="0" w:hanging="0"/>
              <w:rPr/>
            </w:pPr>
            <w:r>
              <w:rPr/>
              <w:t> </w:t>
            </w:r>
          </w:p>
        </w:tc>
        <w:tc>
          <w:tcPr>
            <w:tcW w:w="67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21 </w:t>
            </w:r>
          </w:p>
        </w:tc>
        <w:tc>
          <w:tcPr>
            <w:tcW w:w="48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7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156" w:type="dxa"/>
            <w:tcBorders/>
            <w:shd w:fill="auto" w:val="clear"/>
            <w:vAlign w:val="center"/>
          </w:tcPr>
          <w:p>
            <w:pPr>
              <w:pStyle w:val="TableContents"/>
              <w:spacing w:before="0" w:after="1"/>
              <w:ind w:left="0" w:right="0" w:hanging="0"/>
              <w:rPr/>
            </w:pPr>
            <w:r>
              <w:rPr/>
              <w:t>​</w:t>
            </w:r>
          </w:p>
        </w:tc>
        <w:tc>
          <w:tcPr>
            <w:tcW w:w="302"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19"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shd w:fill="auto" w:val="clear"/>
            <w:vAlign w:val="center"/>
          </w:tcPr>
          <w:p>
            <w:pPr>
              <w:pStyle w:val="TableContents"/>
              <w:spacing w:before="0" w:after="1"/>
              <w:ind w:left="0" w:right="0" w:hanging="0"/>
              <w:rPr/>
            </w:pPr>
            <w:r>
              <w:rPr/>
              <w:t> </w:t>
            </w:r>
          </w:p>
        </w:tc>
        <w:tc>
          <w:tcPr>
            <w:tcW w:w="571" w:type="dxa"/>
            <w:tcBorders/>
            <w:shd w:fill="auto" w:val="clear"/>
            <w:vAlign w:val="center"/>
          </w:tcPr>
          <w:p>
            <w:pPr>
              <w:pStyle w:val="TableContents"/>
              <w:spacing w:before="0" w:after="1"/>
              <w:ind w:left="0" w:right="0" w:hanging="0"/>
              <w:rPr/>
            </w:pPr>
            <w:r>
              <w:rPr/>
              <w:t> </w:t>
            </w:r>
          </w:p>
        </w:tc>
        <w:tc>
          <w:tcPr>
            <w:tcW w:w="27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571" w:type="dxa"/>
            <w:tcBorders/>
            <w:shd w:fill="auto" w:val="clear"/>
            <w:vAlign w:val="center"/>
          </w:tcPr>
          <w:p>
            <w:pPr>
              <w:pStyle w:val="TableContents"/>
              <w:spacing w:before="0" w:after="1"/>
              <w:ind w:left="0" w:right="0" w:hanging="0"/>
              <w:rPr/>
            </w:pPr>
            <w:r>
              <w:rPr/>
              <w:t> </w:t>
            </w:r>
          </w:p>
        </w:tc>
        <w:tc>
          <w:tcPr>
            <w:tcW w:w="2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670"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485"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rFonts w:ascii="Times New Roman;Times;serif" w:hAnsi="Times New Roman;Times;serif"/>
          <w:sz w:val="16"/>
        </w:rPr>
      </w:pPr>
      <w:r>
        <w:rPr>
          <w:rFonts w:ascii="Times New Roman;Times;serif" w:hAnsi="Times New Roman;Times;serif"/>
          <w:sz w:val="16"/>
        </w:rPr>
        <w:t>NM – not meaningful</w:t>
      </w:r>
    </w:p>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Cost of services were 86.3% of revenue in the three months ended March 31, 2022, compared to 90.5% in the three months ended March 31, 2021, primarily driven by benefits realized from structural actions taken in prior periods as well as lower costs from our post-Separation commercial agreements with IBM. Selling, general and administrative expenses were 15.6% of revenue in 2022 compared to 15.0% in 2021, primarily driven by our stand-alone expense structure compared to allocations incurred in the prior year within IBM. Workforce rebalancing charges arise from structural actions to enhance productivity and cost-competitiveness and to rebalance skills that result in payments to employees terminated in the ongoing course of business. Workforce rebalancing charges were not incurred in 2022 and were 1.1% of revenue in 2021. Transaction-related costs were 1.3% of revenue in 2022 compared to 1.2% in 2021, primarily driven by higher marketing expenses to establish the Kyndryl brand in the current quarter. Interest expense was 0.5% of revenue in 2022 compared to 0.3% in 2021, and includes interest expense associated with the indebtedness we incurred in connection with our Separation. Other expenses were 0.6% of revenue in 2022 compared to 0.5% in 2021.</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Transaction-related Charges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These costs include employee retention expenses, information technology costs, marketing expenses to establish the Kyndryl brand, legal, accounting, consulting and other professional service costs required to prepare for and execute the Separation, and other costs related to contract and supplier novation and integration. Transaction-related charges totaled $58 million and $55 million for the three months ended March 31, 2022 and 2021, respectively.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provision for income taxes for the three months ended March 31, 2022, was $40 million, compared to $91 million for the three months ended March 31, 2021. Our income tax expense for the three months ended March 31, 2022,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was primarily related to undistributed foreign earnings, taxes on foreign operations and the establishment of valuation allowances in certain jurisdictions against deferred tax assets that are not more likely than not to be realized. Our income tax expense for the three months ended March 31, 2021, was primarily driven by the geographic mix of pretax income and changes in the valuation allowance.</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In assessing the need for a valuation allowance, management considers all available evidence for each jurisdiction, including past operating results, estimates of future taxable income and the feasibility of ongoing tax planning strategies and actions. Estimates of future taxable income could change, perhaps materially, which may require us to revise our assessment of the recoverability of the deferred tax asset at that time. </w:t>
      </w:r>
    </w:p>
    <w:p>
      <w:pPr>
        <w:pStyle w:val="TextBody"/>
        <w:spacing w:before="0" w:after="240"/>
        <w:ind w:left="0" w:right="0" w:hanging="0"/>
        <w:rPr>
          <w:rFonts w:ascii="Times New Roman;Times;serif" w:hAnsi="Times New Roman;Times;serif"/>
          <w:b/>
          <w:sz w:val="20"/>
        </w:rPr>
      </w:pPr>
      <w:bookmarkStart w:id="1571" w:name="_b122aa5f_ac8a_4f2d_80cc_2bebd8bede38"/>
      <w:bookmarkEnd w:id="1571"/>
      <w:r>
        <w:rPr>
          <w:rFonts w:ascii="Times New Roman;Times;serif" w:hAnsi="Times New Roman;Times;serif"/>
          <w:b/>
          <w:sz w:val="20"/>
        </w:rPr>
        <w:t>Financial Position</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Our historical balance sheet has been revised to reflect the previous over-accrual of $87 million related to accrued contract costs. Kyndryl concluded that this over-accrual was not material to its previously issued consolidated financial statements. Further information regarding the revision is included in "Note 14 – Revision of Prior-Period Financial Statements" of this Transition Report.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Dynamics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Cash and cash equivalents at March 31, 2022 were $2.1 billion, down $89 million compared to December 31, 2021. Total assets of $13.4 billion increased by $228 million from December 31, 2021, primarily driven by an increase in deferred costs of $201 million due to billings for prepaid software that typically occur in the first calendar quarter of the year, an increase of $188 million in prepaid expenses and other current assets due to increased spending of cloud-computing arrangements, an increase in goodwill of $91 million and an increase in intangible assets of $108 million primarily from the transfer of a majority interest (51%) of a joint venture in Japan from our former Parent that could not be completed at the Separation date due to local regulatory approvals, partially offset by a decrease in deferred tax assets of $120 million and a decrease in property and equipment of $89 million due to depreciation outpacing capital expenditures. Total liabilities of $10.7 billion increased by $284 million from December 31, 2021, primarily as a result of an increase in accounts payable of $415 million due to timing of invoice receipts from vendors, an increase in accrued contract costs of $178 million that was established with our former Parent and certain other vendors for the first time as an independent entity post-Separation, and an increase in accrued compensation and benefits of $128 million due to semi-annual incentive-compensation accruals in certain regions and the timing of salary payments. This was partially offset by a decrease in retirement obligations of $140 million primarily due to higher discount rates used in the March 2022 remeasurement of pension obligations. Total equity of $2.7 billion decreased $56 million from December 31, 2021, principally due to our net loss in the period, partially offset by the change in pension obligations.</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Working Capital</w:t>
      </w:r>
    </w:p>
    <w:p>
      <w:pPr>
        <w:pStyle w:val="TextBody"/>
        <w:spacing w:before="0" w:after="0"/>
        <w:ind w:left="0" w:right="0" w:hanging="0"/>
        <w:rPr/>
      </w:pPr>
      <w:r>
        <w:rPr/>
        <w:t>​</w:t>
      </w:r>
    </w:p>
    <w:p>
      <w:pPr>
        <w:pStyle w:val="Normal"/>
        <w:spacing w:before="0" w:after="0"/>
        <w:rPr>
          <w:sz w:val="4"/>
          <w:szCs w:val="4"/>
        </w:rPr>
      </w:pPr>
      <w:r>
        <w:rPr>
          <w:sz w:val="4"/>
          <w:szCs w:val="4"/>
        </w:rPr>
      </w:r>
      <w:bookmarkStart w:id="1572" w:name="_f7f1bbaa_c959_4bd8_b93b_0298b0876c02"/>
      <w:bookmarkStart w:id="1573" w:name="_9c83add3_064a_46bc_8014_fcc3261e9ad2"/>
      <w:bookmarkStart w:id="1574" w:name="_072fe92d_e5e2_4b83_8144_0383fa3938c6"/>
      <w:bookmarkStart w:id="1575" w:name="_e934fd4b_31e3_400c_82e7_205dccbdb7ed"/>
      <w:bookmarkStart w:id="1576" w:name="_9c692a77_8ec2_4cdb_9d54_f28c749af75b"/>
      <w:bookmarkStart w:id="1577" w:name="_95be464f_76d3_4f19_ac31_903cf7f5f9b8"/>
      <w:bookmarkStart w:id="1578" w:name="_8dc5c7eb_ea0c_481e_a022_249e32fca977"/>
      <w:bookmarkStart w:id="1579" w:name="_837e46b5_fe77_42b1_8219_e5eb1c8fa0a7"/>
      <w:bookmarkStart w:id="1580" w:name="_d8c6c491_4ac5_493c_8249_d7ec34b96a77"/>
      <w:bookmarkStart w:id="1581" w:name="_ac3db92d_abe5_44d0_8854_772e31ac817b"/>
      <w:bookmarkStart w:id="1582" w:name="_8063cb2f_7294_4e68_a4e1_3698ecd624e4"/>
      <w:bookmarkStart w:id="1583" w:name="_22869648_3145_4da2_8518_168306ab9477"/>
      <w:bookmarkStart w:id="1584" w:name="_72dcd9a2_3aac_46a4_a0d6_286292363e33"/>
      <w:bookmarkStart w:id="1585" w:name="_f7f1bbaa_c959_4bd8_b93b_0298b0876c02"/>
      <w:bookmarkStart w:id="1586" w:name="_9c83add3_064a_46bc_8014_fcc3261e9ad2"/>
      <w:bookmarkStart w:id="1587" w:name="_072fe92d_e5e2_4b83_8144_0383fa3938c6"/>
      <w:bookmarkStart w:id="1588" w:name="_e934fd4b_31e3_400c_82e7_205dccbdb7ed"/>
      <w:bookmarkStart w:id="1589" w:name="_9c692a77_8ec2_4cdb_9d54_f28c749af75b"/>
      <w:bookmarkStart w:id="1590" w:name="_95be464f_76d3_4f19_ac31_903cf7f5f9b8"/>
      <w:bookmarkStart w:id="1591" w:name="_8dc5c7eb_ea0c_481e_a022_249e32fca977"/>
      <w:bookmarkStart w:id="1592" w:name="_837e46b5_fe77_42b1_8219_e5eb1c8fa0a7"/>
      <w:bookmarkStart w:id="1593" w:name="_d8c6c491_4ac5_493c_8249_d7ec34b96a77"/>
      <w:bookmarkStart w:id="1594" w:name="_ac3db92d_abe5_44d0_8854_772e31ac817b"/>
      <w:bookmarkStart w:id="1595" w:name="_8063cb2f_7294_4e68_a4e1_3698ecd624e4"/>
      <w:bookmarkStart w:id="1596" w:name="_22869648_3145_4da2_8518_168306ab9477"/>
      <w:bookmarkStart w:id="1597" w:name="_72dcd9a2_3aac_46a4_a0d6_286292363e33"/>
      <w:bookmarkEnd w:id="1585"/>
      <w:bookmarkEnd w:id="1586"/>
      <w:bookmarkEnd w:id="1587"/>
      <w:bookmarkEnd w:id="1588"/>
      <w:bookmarkEnd w:id="1589"/>
      <w:bookmarkEnd w:id="1590"/>
      <w:bookmarkEnd w:id="1591"/>
      <w:bookmarkEnd w:id="1592"/>
      <w:bookmarkEnd w:id="1593"/>
      <w:bookmarkEnd w:id="1594"/>
      <w:bookmarkEnd w:id="1595"/>
      <w:bookmarkEnd w:id="1596"/>
      <w:bookmarkEnd w:id="1597"/>
    </w:p>
    <w:tbl>
      <w:tblPr>
        <w:tblW w:w="4208" w:type="dxa"/>
        <w:jc w:val="left"/>
        <w:tblInd w:w="0" w:type="dxa"/>
        <w:tblCellMar>
          <w:top w:w="0" w:type="dxa"/>
          <w:left w:w="0" w:type="dxa"/>
          <w:bottom w:w="0" w:type="dxa"/>
          <w:right w:w="0" w:type="dxa"/>
        </w:tblCellMar>
      </w:tblPr>
      <w:tblGrid>
        <w:gridCol w:w="1561"/>
        <w:gridCol w:w="326"/>
        <w:gridCol w:w="230"/>
        <w:gridCol w:w="625"/>
        <w:gridCol w:w="326"/>
        <w:gridCol w:w="268"/>
        <w:gridCol w:w="872"/>
      </w:tblGrid>
      <w:tr>
        <w:trPr/>
        <w:tc>
          <w:tcPr>
            <w:tcW w:w="15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46050" cy="175260"/>
                      <wp:effectExtent l="0" t="0" r="0" b="0"/>
                      <wp:wrapNone/>
                      <wp:docPr id="300" name="Frame300"/>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396875" cy="175260"/>
                      <wp:effectExtent l="0" t="0" r="0" b="0"/>
                      <wp:wrapNone/>
                      <wp:docPr id="301" name="Frame301"/>
                      <a:graphic xmlns:a="http://schemas.openxmlformats.org/drawingml/2006/main">
                        <a:graphicData uri="http://schemas.microsoft.com/office/word/2010/wordprocessingShape">
                          <wps:wsp>
                            <wps:cNvSpPr txBox="1"/>
                            <wps:spPr>
                              <a:xfrm>
                                <a:off x="0" y="0"/>
                                <a:ext cx="396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70180" cy="175260"/>
                      <wp:effectExtent l="0" t="0" r="0" b="0"/>
                      <wp:wrapNone/>
                      <wp:docPr id="303" name="Frame303"/>
                      <a:graphic xmlns:a="http://schemas.openxmlformats.org/drawingml/2006/main">
                        <a:graphicData uri="http://schemas.microsoft.com/office/word/2010/wordprocessingShape">
                          <wps:wsp>
                            <wps:cNvSpPr txBox="1"/>
                            <wps:spPr>
                              <a:xfrm>
                                <a:off x="0" y="0"/>
                                <a:ext cx="170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53720" cy="175260"/>
                      <wp:effectExtent l="0" t="0" r="0" b="0"/>
                      <wp:wrapNone/>
                      <wp:docPr id="304" name="Frame304"/>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5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c>
          <w:tcPr>
            <w:tcW w:w="326" w:type="dxa"/>
            <w:tcBorders/>
            <w:shd w:fill="auto" w:val="clear"/>
            <w:vAlign w:val="center"/>
          </w:tcPr>
          <w:p>
            <w:pPr>
              <w:pStyle w:val="TableContents"/>
              <w:spacing w:before="0" w:after="0"/>
              <w:ind w:left="0" w:right="0" w:hanging="0"/>
              <w:rPr/>
            </w:pPr>
            <w:r>
              <w:rPr/>
              <w:t>​</w:t>
            </w:r>
          </w:p>
        </w:tc>
        <w:tc>
          <w:tcPr>
            <w:tcW w:w="114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8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11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5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6,092</w:t>
            </w:r>
          </w:p>
        </w:tc>
        <w:tc>
          <w:tcPr>
            <w:tcW w:w="326" w:type="dxa"/>
            <w:tcBorders/>
            <w:shd w:fill="CCEEFF" w:val="clear"/>
            <w:vAlign w:val="center"/>
          </w:tcPr>
          <w:p>
            <w:pPr>
              <w:pStyle w:val="TableContents"/>
              <w:spacing w:before="0" w:after="0"/>
              <w:ind w:left="0" w:right="0" w:hanging="0"/>
              <w:rPr/>
            </w:pPr>
            <w:r>
              <w:rPr/>
              <w:t> </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5,777</w:t>
            </w:r>
          </w:p>
        </w:tc>
      </w:tr>
      <w:tr>
        <w:trPr/>
        <w:tc>
          <w:tcPr>
            <w:tcW w:w="15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 </w:t>
            </w:r>
          </w:p>
        </w:tc>
        <w:tc>
          <w:tcPr>
            <w:tcW w:w="6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5,058</w:t>
            </w:r>
          </w:p>
        </w:tc>
        <w:tc>
          <w:tcPr>
            <w:tcW w:w="326" w:type="dxa"/>
            <w:tcBorders/>
            <w:shd w:fill="auto" w:val="clear"/>
            <w:vAlign w:val="center"/>
          </w:tcPr>
          <w:p>
            <w:pPr>
              <w:pStyle w:val="TableContents"/>
              <w:spacing w:before="0" w:after="0"/>
              <w:ind w:left="0" w:right="0" w:hanging="0"/>
              <w:rPr/>
            </w:pPr>
            <w:r>
              <w:rPr/>
              <w:t>​</w:t>
            </w:r>
          </w:p>
        </w:tc>
        <w:tc>
          <w:tcPr>
            <w:tcW w:w="268" w:type="dxa"/>
            <w:tcBorders/>
            <w:shd w:fill="auto" w:val="clear"/>
            <w:vAlign w:val="center"/>
          </w:tcPr>
          <w:p>
            <w:pPr>
              <w:pStyle w:val="TableContents"/>
              <w:spacing w:before="0" w:after="0"/>
              <w:ind w:left="0" w:right="0" w:hanging="0"/>
              <w:rPr/>
            </w:pPr>
            <w:r>
              <w:rPr/>
              <w:t> </w:t>
            </w:r>
          </w:p>
        </w:tc>
        <w:tc>
          <w:tcPr>
            <w:tcW w:w="8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4,457</w:t>
            </w:r>
          </w:p>
        </w:tc>
      </w:tr>
      <w:tr>
        <w:trPr/>
        <w:tc>
          <w:tcPr>
            <w:tcW w:w="15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Working capital</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1,035</w:t>
            </w:r>
          </w:p>
        </w:tc>
        <w:tc>
          <w:tcPr>
            <w:tcW w:w="326" w:type="dxa"/>
            <w:tcBorders/>
            <w:shd w:fill="CCEEFF" w:val="clear"/>
            <w:vAlign w:val="center"/>
          </w:tcPr>
          <w:p>
            <w:pPr>
              <w:pStyle w:val="TableContents"/>
              <w:spacing w:before="0" w:after="0"/>
              <w:ind w:left="0" w:right="0" w:hanging="0"/>
              <w:rPr/>
            </w:pPr>
            <w:r>
              <w:rPr/>
              <w:t>​</w:t>
            </w:r>
          </w:p>
        </w:tc>
        <w:tc>
          <w:tcPr>
            <w:tcW w:w="2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1,320</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Working capital decreased $285 million from the year-end 2021 position. Current assets increased $315 million due to an increase of $223 million in deferred costs (current portion) driven by billings for prepaid software that typically occur in the first calendar quarter of the year and an increase of $188 million in prepaid expenses and other current assets due to increased spending of cloud-computing arrangements, partially offset by a decrease of cash of $89 million. Current liabilities increased $601 million as a result of an increase in accounts payable of $415 million due to timing of invoice receipts from vendors and an increase in accrued contract costs of $178 million that was established with certain vendors for the first time as an independent entity post-Separation.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Noncurrent Assets and Liabilities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Noncurrent assets of $7.3 billion at March 31, 2022, decreased by $87 million (and decreased by $9 million adjusted for currency) compared to December 31, 2021, primarily driven by a decline in property and equipment of $89 million due to depreciation outpacing new capital expenditures, a decline in deferred tax assets of $120 million and a decline in noncurrent right-of-use assets of $49 million, partially offset by an increase in goodwill of $91 million and intangible assets of $108 million due to the business combinations in the quarter (see Note 8 – Intangible Assets Including Goodwill).</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Noncurrent liabilities of $5.7 billion at March 31, 2022, decreased $317 million (and decreased by $277 million adjusted for currency) compared to December 31, 2021, mainly driven by a decrease in retirement benefit of $140 million as a result of higher discount rates used in the March remeasurement of pension obligations, a decrease in operating lease liabilities (noncurrent portion) of $78 million driven by lease payments and a decrease in other noncurrent liabilities of $73 million related to lower deferred tax liabilities.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Cash Flow</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Our cash flows from operating, investing and financing activities, as reflected in the Consolidated Statement of Cash Flows are summarized in the table below.</w:t>
      </w:r>
    </w:p>
    <w:p>
      <w:pPr>
        <w:pStyle w:val="TextBody"/>
        <w:spacing w:before="0" w:after="240"/>
        <w:ind w:left="0" w:right="0" w:firstLine="720"/>
        <w:rPr/>
      </w:pPr>
      <w:r>
        <w:rPr/>
        <w:t>​</w:t>
      </w:r>
    </w:p>
    <w:p>
      <w:pPr>
        <w:pStyle w:val="Normal"/>
        <w:spacing w:before="0" w:after="0"/>
        <w:rPr>
          <w:sz w:val="4"/>
          <w:szCs w:val="4"/>
        </w:rPr>
      </w:pPr>
      <w:r>
        <w:rPr>
          <w:sz w:val="4"/>
          <w:szCs w:val="4"/>
        </w:rPr>
      </w:r>
      <w:bookmarkStart w:id="1598" w:name="_3897d17d_3961_4cab_8195_81083eec55e7"/>
      <w:bookmarkStart w:id="1599" w:name="_be637561_be44_488e_9910_235865759f74"/>
      <w:bookmarkStart w:id="1600" w:name="_d98fb028_7cdd_4108_a4fa_8049329c3369"/>
      <w:bookmarkStart w:id="1601" w:name="_ce6b7976_99c4_4d20_a679_6fb21e11952f"/>
      <w:bookmarkStart w:id="1602" w:name="_4c88115e_c07a_43c3_980c_dae812628aab"/>
      <w:bookmarkStart w:id="1603" w:name="_e3cf978c_56c8_49ce_9a0e_3e1198037588"/>
      <w:bookmarkStart w:id="1604" w:name="_4c9380f9_23c6_456b_b566_25f87156f5c2"/>
      <w:bookmarkStart w:id="1605" w:name="_6d4cda66_7bb8_45bd_9fc5_17b3127c5ce7"/>
      <w:bookmarkStart w:id="1606" w:name="_f06b6a8d_cdf8_4a21_ac66_75e70c4e5642"/>
      <w:bookmarkStart w:id="1607" w:name="_3e65b25c_5689_4897_aff7_f2b4f47a8798"/>
      <w:bookmarkStart w:id="1608" w:name="_edc7e28a_0303_4f46_9b0e_9a33904f3ac8"/>
      <w:bookmarkStart w:id="1609" w:name="_8e47bf79_8cab_462e_b2cc_ff47bdab7519"/>
      <w:bookmarkStart w:id="1610" w:name="_40af7a82_dac9_4c8f_b60e_840b1876946d"/>
      <w:bookmarkStart w:id="1611" w:name="_20e00508_5efa_4b1c_b761_0a171eac6e14"/>
      <w:bookmarkStart w:id="1612" w:name="_3619a7eb_98d6_4ab7_99bd_58d725e4a702"/>
      <w:bookmarkStart w:id="1613" w:name="_89414c46_bfe9_4bcd_ab4b_5c59b759bfcb"/>
      <w:bookmarkStart w:id="1614" w:name="_a3789154_cd15_4d61_b173_03ffef862fb7"/>
      <w:bookmarkStart w:id="1615" w:name="_3897d17d_3961_4cab_8195_81083eec55e7"/>
      <w:bookmarkStart w:id="1616" w:name="_be637561_be44_488e_9910_235865759f74"/>
      <w:bookmarkStart w:id="1617" w:name="_d98fb028_7cdd_4108_a4fa_8049329c3369"/>
      <w:bookmarkStart w:id="1618" w:name="_ce6b7976_99c4_4d20_a679_6fb21e11952f"/>
      <w:bookmarkStart w:id="1619" w:name="_4c88115e_c07a_43c3_980c_dae812628aab"/>
      <w:bookmarkStart w:id="1620" w:name="_e3cf978c_56c8_49ce_9a0e_3e1198037588"/>
      <w:bookmarkStart w:id="1621" w:name="_4c9380f9_23c6_456b_b566_25f87156f5c2"/>
      <w:bookmarkStart w:id="1622" w:name="_6d4cda66_7bb8_45bd_9fc5_17b3127c5ce7"/>
      <w:bookmarkStart w:id="1623" w:name="_f06b6a8d_cdf8_4a21_ac66_75e70c4e5642"/>
      <w:bookmarkStart w:id="1624" w:name="_3e65b25c_5689_4897_aff7_f2b4f47a8798"/>
      <w:bookmarkStart w:id="1625" w:name="_edc7e28a_0303_4f46_9b0e_9a33904f3ac8"/>
      <w:bookmarkStart w:id="1626" w:name="_8e47bf79_8cab_462e_b2cc_ff47bdab7519"/>
      <w:bookmarkStart w:id="1627" w:name="_40af7a82_dac9_4c8f_b60e_840b1876946d"/>
      <w:bookmarkStart w:id="1628" w:name="_20e00508_5efa_4b1c_b761_0a171eac6e14"/>
      <w:bookmarkStart w:id="1629" w:name="_3619a7eb_98d6_4ab7_99bd_58d725e4a702"/>
      <w:bookmarkStart w:id="1630" w:name="_89414c46_bfe9_4bcd_ab4b_5c59b759bfcb"/>
      <w:bookmarkStart w:id="1631" w:name="_a3789154_cd15_4d61_b173_03ffef862fb7"/>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p>
    <w:tbl>
      <w:tblPr>
        <w:tblW w:w="9208" w:type="dxa"/>
        <w:jc w:val="left"/>
        <w:tblInd w:w="0" w:type="dxa"/>
        <w:tblCellMar>
          <w:top w:w="0" w:type="dxa"/>
          <w:left w:w="0" w:type="dxa"/>
          <w:bottom w:w="0" w:type="dxa"/>
          <w:right w:w="0" w:type="dxa"/>
        </w:tblCellMar>
      </w:tblPr>
      <w:tblGrid>
        <w:gridCol w:w="6331"/>
        <w:gridCol w:w="326"/>
        <w:gridCol w:w="276"/>
        <w:gridCol w:w="709"/>
        <w:gridCol w:w="427"/>
        <w:gridCol w:w="276"/>
        <w:gridCol w:w="709"/>
        <w:gridCol w:w="154"/>
      </w:tblGrid>
      <w:tr>
        <w:trPr/>
        <w:tc>
          <w:tcPr>
            <w:tcW w:w="6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75260" cy="175260"/>
                      <wp:effectExtent l="0" t="0" r="0" b="0"/>
                      <wp:wrapNone/>
                      <wp:docPr id="306" name="Frame306"/>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50215" cy="175260"/>
                      <wp:effectExtent l="0" t="0" r="0" b="0"/>
                      <wp:wrapNone/>
                      <wp:docPr id="307" name="Frame307"/>
                      <a:graphic xmlns:a="http://schemas.openxmlformats.org/drawingml/2006/main">
                        <a:graphicData uri="http://schemas.microsoft.com/office/word/2010/wordprocessingShape">
                          <wps:wsp>
                            <wps:cNvSpPr txBox="1"/>
                            <wps:spPr>
                              <a:xfrm>
                                <a:off x="0" y="0"/>
                                <a:ext cx="450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71145" cy="175260"/>
                      <wp:effectExtent l="0" t="0" r="0" b="0"/>
                      <wp:wrapNone/>
                      <wp:docPr id="308" name="Frame308"/>
                      <a:graphic xmlns:a="http://schemas.openxmlformats.org/drawingml/2006/main">
                        <a:graphicData uri="http://schemas.microsoft.com/office/word/2010/wordprocessingShape">
                          <wps:wsp>
                            <wps:cNvSpPr txBox="1"/>
                            <wps:spPr>
                              <a:xfrm>
                                <a:off x="0" y="0"/>
                                <a:ext cx="271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75260" cy="175260"/>
                      <wp:effectExtent l="0" t="0" r="0" b="0"/>
                      <wp:wrapNone/>
                      <wp:docPr id="309" name="Frame309"/>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50215" cy="175260"/>
                      <wp:effectExtent l="0" t="0" r="0" b="0"/>
                      <wp:wrapNone/>
                      <wp:docPr id="310" name="Frame310"/>
                      <a:graphic xmlns:a="http://schemas.openxmlformats.org/drawingml/2006/main">
                        <a:graphicData uri="http://schemas.microsoft.com/office/word/2010/wordprocessingShape">
                          <wps:wsp>
                            <wps:cNvSpPr txBox="1"/>
                            <wps:spPr>
                              <a:xfrm>
                                <a:off x="0" y="0"/>
                                <a:ext cx="450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7790" cy="175260"/>
                      <wp:effectExtent l="0" t="0" r="0" b="0"/>
                      <wp:wrapNone/>
                      <wp:docPr id="311" name="Frame31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9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54" w:type="dxa"/>
            <w:tcBorders/>
            <w:shd w:fill="auto" w:val="clear"/>
            <w:vAlign w:val="center"/>
          </w:tcPr>
          <w:p>
            <w:pPr>
              <w:pStyle w:val="TableContents"/>
              <w:spacing w:before="0" w:after="0"/>
              <w:ind w:left="0" w:right="0" w:hanging="0"/>
              <w:jc w:val="center"/>
              <w:rPr/>
            </w:pPr>
            <w:r>
              <w:rPr/>
              <w:t>​</w:t>
            </w:r>
          </w:p>
        </w:tc>
      </w:tr>
      <w:tr>
        <w:trPr/>
        <w:tc>
          <w:tcPr>
            <w:tcW w:w="63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27" w:type="dxa"/>
            <w:tcBorders/>
            <w:shd w:fill="auto" w:val="clear"/>
            <w:vAlign w:val="center"/>
          </w:tcPr>
          <w:p>
            <w:pPr>
              <w:pStyle w:val="TableContents"/>
              <w:spacing w:before="0" w:after="0"/>
              <w:ind w:left="0" w:right="0" w:hanging="0"/>
              <w:rPr/>
            </w:pPr>
            <w:r>
              <w:rPr/>
              <w:t>    </w:t>
            </w:r>
          </w:p>
        </w:tc>
        <w:tc>
          <w:tcPr>
            <w:tcW w:w="9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54" w:type="dxa"/>
            <w:tcBorders/>
            <w:shd w:fill="auto" w:val="clear"/>
            <w:vAlign w:val="center"/>
          </w:tcPr>
          <w:p>
            <w:pPr>
              <w:pStyle w:val="TableContents"/>
              <w:spacing w:before="0" w:after="0"/>
              <w:ind w:left="0" w:right="0" w:hanging="0"/>
              <w:jc w:val="center"/>
              <w:rPr/>
            </w:pPr>
            <w:r>
              <w:rPr/>
              <w:t>​</w:t>
            </w:r>
          </w:p>
        </w:tc>
      </w:tr>
      <w:tr>
        <w:trPr/>
        <w:tc>
          <w:tcPr>
            <w:tcW w:w="6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CCEEFF" w:val="clear"/>
            <w:vAlign w:val="center"/>
          </w:tcPr>
          <w:p>
            <w:pPr>
              <w:pStyle w:val="TableContents"/>
              <w:spacing w:before="0" w:after="0"/>
              <w:ind w:left="0" w:right="0" w:hanging="0"/>
              <w:rPr/>
            </w:pPr>
            <w:r>
              <w:rPr/>
              <w:t> </w:t>
            </w:r>
          </w:p>
        </w:tc>
        <w:tc>
          <w:tcPr>
            <w:tcW w:w="27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pPr>
            <w:r>
              <w:rPr/>
              <w:t>  </w:t>
            </w:r>
          </w:p>
        </w:tc>
        <w:tc>
          <w:tcPr>
            <w:tcW w:w="427" w:type="dxa"/>
            <w:tcBorders/>
            <w:shd w:fill="CCEEFF" w:val="clear"/>
            <w:vAlign w:val="center"/>
          </w:tcPr>
          <w:p>
            <w:pPr>
              <w:pStyle w:val="TableContents"/>
              <w:spacing w:before="0" w:after="0"/>
              <w:ind w:left="0" w:right="0" w:hanging="0"/>
              <w:rPr/>
            </w:pPr>
            <w:r>
              <w:rPr/>
              <w:t> </w:t>
            </w:r>
          </w:p>
        </w:tc>
        <w:tc>
          <w:tcPr>
            <w:tcW w:w="276" w:type="dxa"/>
            <w:tcBorders/>
            <w:shd w:fill="CCEEFF" w:val="clear"/>
            <w:vAlign w:val="center"/>
          </w:tcPr>
          <w:p>
            <w:pPr>
              <w:pStyle w:val="TableContents"/>
              <w:spacing w:before="0" w:after="0"/>
              <w:ind w:left="0" w:right="0" w:hanging="0"/>
              <w:rPr/>
            </w:pPr>
            <w:r>
              <w:rPr/>
              <w:t>​</w:t>
            </w:r>
          </w:p>
        </w:tc>
        <w:tc>
          <w:tcPr>
            <w:tcW w:w="709" w:type="dxa"/>
            <w:tcBorders/>
            <w:shd w:fill="CCEEFF" w:val="clear"/>
            <w:vAlign w:val="center"/>
          </w:tcPr>
          <w:p>
            <w:pPr>
              <w:pStyle w:val="TableContents"/>
              <w:spacing w:before="0" w:after="0"/>
              <w:ind w:left="0" w:right="0" w:hanging="0"/>
              <w:jc w:val="right"/>
              <w:rPr/>
            </w:pPr>
            <w:r>
              <w:rPr/>
              <w:t>  </w:t>
            </w:r>
          </w:p>
        </w:tc>
        <w:tc>
          <w:tcPr>
            <w:tcW w:w="154" w:type="dxa"/>
            <w:tcBorders/>
            <w:shd w:fill="CCEEFF" w:val="clear"/>
            <w:vAlign w:val="center"/>
          </w:tcPr>
          <w:p>
            <w:pPr>
              <w:pStyle w:val="TableContents"/>
              <w:spacing w:before="0" w:after="0"/>
              <w:ind w:left="0" w:right="0" w:hanging="0"/>
              <w:jc w:val="right"/>
              <w:rPr/>
            </w:pPr>
            <w:r>
              <w:rPr/>
              <w:t>​</w:t>
            </w:r>
          </w:p>
        </w:tc>
      </w:tr>
      <w:tr>
        <w:trPr/>
        <w:tc>
          <w:tcPr>
            <w:tcW w:w="6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427"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w:t>
            </w:r>
          </w:p>
        </w:tc>
        <w:tc>
          <w:tcPr>
            <w:tcW w:w="154" w:type="dxa"/>
            <w:tcBorders/>
            <w:shd w:fill="auto" w:val="clear"/>
            <w:vAlign w:val="center"/>
          </w:tcPr>
          <w:p>
            <w:pPr>
              <w:pStyle w:val="TableContents"/>
              <w:spacing w:before="0" w:after="0"/>
              <w:ind w:left="0" w:right="0" w:hanging="0"/>
              <w:jc w:val="right"/>
              <w:rPr/>
            </w:pPr>
            <w:r>
              <w:rPr/>
              <w:t>​</w:t>
            </w:r>
          </w:p>
        </w:tc>
      </w:tr>
      <w:tr>
        <w:trPr/>
        <w:tc>
          <w:tcPr>
            <w:tcW w:w="6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 </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427"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 </w:t>
            </w:r>
          </w:p>
        </w:tc>
        <w:tc>
          <w:tcPr>
            <w:tcW w:w="70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54" w:type="dxa"/>
            <w:tcBorders/>
            <w:shd w:fill="CCEEFF" w:val="clear"/>
            <w:vAlign w:val="center"/>
          </w:tcPr>
          <w:p>
            <w:pPr>
              <w:pStyle w:val="TableContents"/>
              <w:spacing w:before="0" w:after="0"/>
              <w:ind w:left="0" w:right="0" w:hanging="0"/>
              <w:jc w:val="right"/>
              <w:rPr/>
            </w:pPr>
            <w:r>
              <w:rPr/>
              <w:t>​</w:t>
            </w:r>
          </w:p>
        </w:tc>
      </w:tr>
      <w:tr>
        <w:trPr/>
        <w:tc>
          <w:tcPr>
            <w:tcW w:w="6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 </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27"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 </w:t>
            </w:r>
          </w:p>
        </w:tc>
        <w:tc>
          <w:tcPr>
            <w:tcW w:w="70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154" w:type="dxa"/>
            <w:tcBorders/>
            <w:shd w:fill="auto" w:val="clear"/>
            <w:vAlign w:val="center"/>
          </w:tcPr>
          <w:p>
            <w:pPr>
              <w:pStyle w:val="TableContents"/>
              <w:spacing w:before="0" w:after="0"/>
              <w:ind w:left="0" w:right="0" w:hanging="0"/>
              <w:jc w:val="right"/>
              <w:rPr/>
            </w:pPr>
            <w:r>
              <w:rPr/>
              <w:t>​</w:t>
            </w:r>
          </w:p>
        </w:tc>
      </w:tr>
      <w:tr>
        <w:trPr/>
        <w:tc>
          <w:tcPr>
            <w:tcW w:w="6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27" w:type="dxa"/>
            <w:tcBorders/>
            <w:shd w:fill="CCEEFF" w:val="clear"/>
            <w:vAlign w:val="center"/>
          </w:tcPr>
          <w:p>
            <w:pPr>
              <w:pStyle w:val="TableContents"/>
              <w:spacing w:before="0" w:after="0"/>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54" w:type="dxa"/>
            <w:tcBorders/>
            <w:shd w:fill="CCEEFF" w:val="clear"/>
            <w:vAlign w:val="center"/>
          </w:tcPr>
          <w:p>
            <w:pPr>
              <w:pStyle w:val="TableContents"/>
              <w:spacing w:before="0" w:after="0"/>
              <w:ind w:left="0" w:right="0" w:hanging="0"/>
              <w:jc w:val="right"/>
              <w:rPr/>
            </w:pPr>
            <w:r>
              <w:rPr/>
              <w:t>​</w:t>
            </w:r>
          </w:p>
        </w:tc>
      </w:tr>
      <w:tr>
        <w:trPr/>
        <w:tc>
          <w:tcPr>
            <w:tcW w:w="63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7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427" w:type="dxa"/>
            <w:tcBorders/>
            <w:shd w:fill="auto" w:val="clear"/>
            <w:vAlign w:val="center"/>
          </w:tcPr>
          <w:p>
            <w:pPr>
              <w:pStyle w:val="TableContents"/>
              <w:spacing w:before="0" w:after="0"/>
              <w:ind w:left="0" w:right="0" w:hanging="0"/>
              <w:rPr/>
            </w:pPr>
            <w:r>
              <w:rPr/>
              <w:t>​</w:t>
            </w:r>
          </w:p>
        </w:tc>
        <w:tc>
          <w:tcPr>
            <w:tcW w:w="27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54"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provided by operating activities of $189 million in the three months ended March 31, 2022, compared to a net cash use of $328 million in the prior-year period was driven by a decrease in net loss and cash provided by accounts payables, accrued compensation and benefits and accrued contract costs.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by investing activities of $225 million in the three months ended March 31, 2022, compared to a net cash use of $100 million in the prior-year period was driven by the sale of a data center in the quarter ended March 31, 2021, that provided net cash proceeds of $90 million and cash used for business combinations in the quarter ended March 31, 2022.</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Net cash used by financing activities of $43 million in the three months ended March 31, 2022, compared to net cash provided by financing activities of $443 million in the prior-year period was driven by a decrease in net transfers from former Parent of $460 million, as transfers from former Parent did not continue post-Separation.</w:t>
      </w:r>
    </w:p>
    <w:p>
      <w:pPr>
        <w:pStyle w:val="TextBody"/>
        <w:spacing w:before="0" w:after="240"/>
        <w:ind w:left="0" w:right="0" w:hanging="0"/>
        <w:rPr>
          <w:rFonts w:ascii="Times New Roman;Times;serif" w:hAnsi="Times New Roman;Times;serif"/>
          <w:b/>
          <w:sz w:val="20"/>
        </w:rPr>
      </w:pPr>
      <w:bookmarkStart w:id="1632" w:name="_d0950772_3a83_42f6_95b7_7249586ff13d"/>
      <w:bookmarkEnd w:id="1632"/>
      <w:r>
        <w:rPr>
          <w:rFonts w:ascii="Times New Roman;Times;serif" w:hAnsi="Times New Roman;Times;serif"/>
          <w:b/>
          <w:sz w:val="20"/>
        </w:rPr>
        <w:t>Other Information</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Signings</w:t>
      </w:r>
    </w:p>
    <w:p>
      <w:pPr>
        <w:pStyle w:val="TextBody"/>
        <w:spacing w:before="0" w:after="240"/>
        <w:ind w:left="0" w:right="0" w:hanging="0"/>
        <w:rPr/>
      </w:pPr>
      <w:r>
        <w:rPr/>
        <w:t>​</w:t>
      </w:r>
    </w:p>
    <w:p>
      <w:pPr>
        <w:pStyle w:val="TextBody"/>
        <w:spacing w:before="0" w:after="240"/>
        <w:ind w:left="0" w:right="0" w:hanging="0"/>
        <w:rPr>
          <w:rFonts w:ascii="Times New Roman;Times;serif" w:hAnsi="Times New Roman;Times;serif"/>
          <w:sz w:val="20"/>
        </w:rPr>
      </w:pPr>
      <w:r>
        <w:rPr>
          <w:rFonts w:ascii="Times New Roman;Times;serif" w:hAnsi="Times New Roman;Times;serif"/>
          <w:sz w:val="20"/>
        </w:rPr>
        <w:t>The following tables present the Company’s signings for the three months ended March 31, 2022 and 2021.</w:t>
      </w:r>
    </w:p>
    <w:tbl>
      <w:tblPr>
        <w:tblW w:w="4271" w:type="dxa"/>
        <w:jc w:val="left"/>
        <w:tblInd w:w="0" w:type="dxa"/>
        <w:tblCellMar>
          <w:top w:w="0" w:type="dxa"/>
          <w:left w:w="0" w:type="dxa"/>
          <w:bottom w:w="0" w:type="dxa"/>
          <w:right w:w="0" w:type="dxa"/>
        </w:tblCellMar>
      </w:tblPr>
      <w:tblGrid>
        <w:gridCol w:w="1501"/>
        <w:gridCol w:w="326"/>
        <w:gridCol w:w="325"/>
        <w:gridCol w:w="557"/>
        <w:gridCol w:w="503"/>
        <w:gridCol w:w="325"/>
        <w:gridCol w:w="734"/>
      </w:tblGrid>
      <w:tr>
        <w:trPr/>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953135" cy="175260"/>
                      <wp:effectExtent l="0" t="0" r="0" b="0"/>
                      <wp:wrapNone/>
                      <wp:docPr id="312" name="Frame312"/>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557" w:type="dxa"/>
            <w:tcBorders/>
            <w:shd w:fill="auto" w:val="clear"/>
            <w:vAlign w:val="center"/>
          </w:tcPr>
          <w:p>
            <w:pPr>
              <w:pStyle w:val="TableContents"/>
              <w:spacing w:before="0" w:after="0"/>
              <w:ind w:left="0" w:right="0" w:hanging="0"/>
              <w:rPr/>
            </w:pPr>
            <w:r>
              <w:rPr/>
              <w:t>​</w:t>
            </w:r>
          </w:p>
        </w:tc>
        <w:tc>
          <w:tcPr>
            <w:tcW w:w="503" w:type="dxa"/>
            <w:tcBorders/>
            <w:shd w:fill="auto" w:val="clear"/>
            <w:vAlign w:val="center"/>
          </w:tcPr>
          <w:p>
            <w:pPr>
              <w:pStyle w:val="TableContents"/>
              <w:spacing w:before="0" w:after="0"/>
              <w:ind w:left="0" w:right="0" w:hanging="0"/>
              <w:rPr/>
            </w:pPr>
            <w:r>
              <w:rPr/>
              <w:t>​</w:t>
            </w:r>
          </w:p>
        </w:tc>
        <w:tc>
          <w:tcPr>
            <w:tcW w:w="325" w:type="dxa"/>
            <w:tcBorders/>
            <w:shd w:fill="auto" w:val="clear"/>
            <w:vAlign w:val="center"/>
          </w:tcPr>
          <w:p>
            <w:pPr>
              <w:pStyle w:val="TableContents"/>
              <w:spacing w:before="0" w:after="0"/>
              <w:ind w:left="0" w:right="0" w:hanging="0"/>
              <w:rPr/>
            </w:pPr>
            <w:r>
              <w:rPr/>
              <w:t>​</w:t>
            </w:r>
          </w:p>
        </w:tc>
        <w:tc>
          <w:tcPr>
            <w:tcW w:w="734" w:type="dxa"/>
            <w:tcBorders/>
            <w:shd w:fill="auto" w:val="clear"/>
            <w:vAlign w:val="center"/>
          </w:tcPr>
          <w:p>
            <w:pPr>
              <w:pStyle w:val="TableContents"/>
              <w:spacing w:before="0" w:after="0"/>
              <w:ind w:left="0" w:right="0" w:hanging="0"/>
              <w:rPr/>
            </w:pPr>
            <w:r>
              <w:rPr/>
              <w:t>​</w:t>
            </w:r>
          </w:p>
        </w:tc>
      </w:tr>
      <w:tr>
        <w:trPr/>
        <w:tc>
          <w:tcPr>
            <w:tcW w:w="15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44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150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billions)</w:t>
            </w:r>
          </w:p>
        </w:tc>
        <w:tc>
          <w:tcPr>
            <w:tcW w:w="326" w:type="dxa"/>
            <w:tcBorders/>
            <w:shd w:fill="auto" w:val="clear"/>
            <w:vAlign w:val="center"/>
          </w:tcPr>
          <w:p>
            <w:pPr>
              <w:pStyle w:val="TableContents"/>
              <w:spacing w:before="0" w:after="0"/>
              <w:ind w:left="0" w:right="0" w:hanging="0"/>
              <w:rPr/>
            </w:pPr>
            <w:r>
              <w:rPr/>
              <w:t>    </w:t>
            </w:r>
          </w:p>
        </w:tc>
        <w:tc>
          <w:tcPr>
            <w:tcW w:w="8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503" w:type="dxa"/>
            <w:tcBorders/>
            <w:shd w:fill="auto" w:val="clear"/>
            <w:vAlign w:val="center"/>
          </w:tcPr>
          <w:p>
            <w:pPr>
              <w:pStyle w:val="TableContents"/>
              <w:spacing w:before="0" w:after="0"/>
              <w:ind w:left="0" w:right="0" w:hanging="0"/>
              <w:jc w:val="center"/>
              <w:rPr/>
            </w:pPr>
            <w:r>
              <w:rPr/>
              <w:t>    </w:t>
            </w:r>
          </w:p>
        </w:tc>
        <w:tc>
          <w:tcPr>
            <w:tcW w:w="10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5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signings</w:t>
            </w:r>
          </w:p>
        </w:tc>
        <w:tc>
          <w:tcPr>
            <w:tcW w:w="326"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503" w:type="dxa"/>
            <w:tcBorders/>
            <w:shd w:fill="CCEEFF" w:val="clear"/>
            <w:vAlign w:val="center"/>
          </w:tcPr>
          <w:p>
            <w:pPr>
              <w:pStyle w:val="TableContents"/>
              <w:spacing w:before="0" w:after="0"/>
              <w:ind w:left="0" w:right="0" w:hanging="0"/>
              <w:rPr/>
            </w:pPr>
            <w:r>
              <w:rPr/>
              <w:t>​</w:t>
            </w:r>
          </w:p>
        </w:tc>
        <w:tc>
          <w:tcPr>
            <w:tcW w:w="3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spacing w:before="0" w:after="0"/>
              <w:ind w:left="0" w:right="70" w:hanging="0"/>
              <w:jc w:val="right"/>
              <w:rPr>
                <w:rFonts w:ascii="Times New Roman;Times;serif" w:hAnsi="Times New Roman;Times;serif"/>
                <w:sz w:val="20"/>
              </w:rPr>
            </w:pPr>
            <w:r>
              <w:rPr>
                <w:rFonts w:ascii="Times New Roman;Times;serif" w:hAnsi="Times New Roman;Times;serif"/>
                <w:sz w:val="20"/>
              </w:rPr>
              <w:t>2.5</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The following tables present the total contract value for the Company’s signings greater than $100 million for new and existing customers for the three months ended March 31, 2022 and 2021.</w:t>
      </w:r>
    </w:p>
    <w:p>
      <w:pPr>
        <w:pStyle w:val="TextBody"/>
        <w:spacing w:before="0" w:after="0"/>
        <w:ind w:left="0" w:right="0" w:hanging="0"/>
        <w:rPr/>
      </w:pPr>
      <w:r>
        <w:rPr/>
        <w:t>​</w:t>
      </w:r>
    </w:p>
    <w:tbl>
      <w:tblPr>
        <w:tblW w:w="4219" w:type="dxa"/>
        <w:jc w:val="left"/>
        <w:tblInd w:w="0" w:type="dxa"/>
        <w:tblCellMar>
          <w:top w:w="0" w:type="dxa"/>
          <w:left w:w="0" w:type="dxa"/>
          <w:bottom w:w="0" w:type="dxa"/>
          <w:right w:w="0" w:type="dxa"/>
        </w:tblCellMar>
      </w:tblPr>
      <w:tblGrid>
        <w:gridCol w:w="1666"/>
        <w:gridCol w:w="109"/>
        <w:gridCol w:w="327"/>
        <w:gridCol w:w="722"/>
        <w:gridCol w:w="168"/>
        <w:gridCol w:w="327"/>
        <w:gridCol w:w="900"/>
      </w:tblGrid>
      <w:tr>
        <w:trPr/>
        <w:tc>
          <w:tcPr>
            <w:tcW w:w="16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27" w:type="dxa"/>
            <w:tcBorders/>
            <w:shd w:fill="auto" w:val="clear"/>
            <w:vAlign w:val="center"/>
          </w:tcPr>
          <w:p>
            <w:pPr>
              <w:pStyle w:val="TableContents"/>
              <w:spacing w:before="0" w:after="1"/>
              <w:ind w:left="0" w:right="0" w:hanging="0"/>
              <w:rPr/>
            </w:pPr>
            <w:r>
              <w:rPr/>
              <w:t>​</w:t>
            </w:r>
          </w:p>
        </w:tc>
        <w:tc>
          <w:tcPr>
            <w:tcW w:w="7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58470" cy="175260"/>
                      <wp:effectExtent l="0" t="0" r="0" b="0"/>
                      <wp:wrapNone/>
                      <wp:docPr id="313" name="Frame313"/>
                      <a:graphic xmlns:a="http://schemas.openxmlformats.org/drawingml/2006/main">
                        <a:graphicData uri="http://schemas.microsoft.com/office/word/2010/wordprocessingShape">
                          <wps:wsp>
                            <wps:cNvSpPr txBox="1"/>
                            <wps:spPr>
                              <a:xfrm>
                                <a:off x="0" y="0"/>
                                <a:ext cx="4584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68" w:type="dxa"/>
            <w:tcBorders/>
            <w:shd w:fill="auto" w:val="clear"/>
            <w:vAlign w:val="center"/>
          </w:tcPr>
          <w:p>
            <w:pPr>
              <w:pStyle w:val="TableContents"/>
              <w:spacing w:before="0" w:after="1"/>
              <w:ind w:left="0" w:right="0" w:hanging="0"/>
              <w:rPr/>
            </w:pPr>
            <w:r>
              <w:rPr/>
              <w:t>​</w:t>
            </w:r>
          </w:p>
        </w:tc>
        <w:tc>
          <w:tcPr>
            <w:tcW w:w="327" w:type="dxa"/>
            <w:tcBorders/>
            <w:shd w:fill="auto" w:val="clear"/>
            <w:vAlign w:val="center"/>
          </w:tcPr>
          <w:p>
            <w:pPr>
              <w:pStyle w:val="TableContents"/>
              <w:spacing w:before="0" w:after="1"/>
              <w:ind w:left="0" w:right="0" w:hanging="0"/>
              <w:rPr/>
            </w:pPr>
            <w:r>
              <w:rPr/>
              <w:t>​</w:t>
            </w:r>
          </w:p>
        </w:tc>
        <w:tc>
          <w:tcPr>
            <w:tcW w:w="900" w:type="dxa"/>
            <w:tcBorders/>
            <w:shd w:fill="auto" w:val="clear"/>
            <w:vAlign w:val="center"/>
          </w:tcPr>
          <w:p>
            <w:pPr>
              <w:pStyle w:val="TableContents"/>
              <w:spacing w:before="0" w:after="1"/>
              <w:ind w:left="0" w:right="0" w:hanging="0"/>
              <w:rPr/>
            </w:pPr>
            <w:r>
              <w:rPr/>
              <w:t>​</w:t>
            </w:r>
          </w:p>
        </w:tc>
      </w:tr>
      <w:tr>
        <w:trPr/>
        <w:tc>
          <w:tcPr>
            <w:tcW w:w="16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44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166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109" w:type="dxa"/>
            <w:tcBorders/>
            <w:shd w:fill="auto" w:val="clear"/>
            <w:vAlign w:val="center"/>
          </w:tcPr>
          <w:p>
            <w:pPr>
              <w:pStyle w:val="TableContents"/>
              <w:spacing w:before="0" w:after="1"/>
              <w:ind w:left="0" w:right="0" w:hanging="0"/>
              <w:rPr/>
            </w:pPr>
            <w:r>
              <w:rPr/>
              <w:t>​</w:t>
            </w:r>
          </w:p>
        </w:tc>
        <w:tc>
          <w:tcPr>
            <w:tcW w:w="104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68" w:type="dxa"/>
            <w:tcBorders/>
            <w:shd w:fill="auto" w:val="clear"/>
            <w:vAlign w:val="center"/>
          </w:tcPr>
          <w:p>
            <w:pPr>
              <w:pStyle w:val="TableContents"/>
              <w:spacing w:before="0" w:after="1"/>
              <w:ind w:left="0" w:right="0" w:hanging="0"/>
              <w:rPr/>
            </w:pPr>
            <w:r>
              <w:rPr/>
              <w:t>​</w:t>
            </w:r>
          </w:p>
        </w:tc>
        <w:tc>
          <w:tcPr>
            <w:tcW w:w="122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16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New customers</w:t>
            </w:r>
          </w:p>
        </w:tc>
        <w:tc>
          <w:tcPr>
            <w:tcW w:w="109" w:type="dxa"/>
            <w:tcBorders/>
            <w:shd w:fill="CCEEFF" w:val="clear"/>
            <w:vAlign w:val="center"/>
          </w:tcPr>
          <w:p>
            <w:pPr>
              <w:pStyle w:val="TableContents"/>
              <w:spacing w:before="0" w:after="1"/>
              <w:ind w:left="0" w:right="0" w:hanging="0"/>
              <w:rPr/>
            </w:pPr>
            <w:r>
              <w:rPr/>
              <w:t>​</w:t>
            </w:r>
          </w:p>
        </w:tc>
        <w:tc>
          <w:tcPr>
            <w:tcW w:w="3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spacing w:before="0" w:after="1"/>
              <w:ind w:left="0" w:right="0" w:hanging="0"/>
              <w:jc w:val="right"/>
              <w:rPr/>
            </w:pPr>
            <w:r>
              <w:rPr/>
              <w:t>—</w:t>
            </w:r>
          </w:p>
        </w:tc>
        <w:tc>
          <w:tcPr>
            <w:tcW w:w="168" w:type="dxa"/>
            <w:tcBorders/>
            <w:shd w:fill="CCEEFF" w:val="clear"/>
            <w:vAlign w:val="center"/>
          </w:tcPr>
          <w:p>
            <w:pPr>
              <w:pStyle w:val="TableContents"/>
              <w:spacing w:before="0" w:after="1"/>
              <w:ind w:left="0" w:right="0" w:hanging="0"/>
              <w:rPr/>
            </w:pPr>
            <w:r>
              <w:rPr/>
              <w:t>​</w:t>
            </w:r>
          </w:p>
        </w:tc>
        <w:tc>
          <w:tcPr>
            <w:tcW w:w="32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0"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16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Existing customers</w:t>
            </w:r>
          </w:p>
        </w:tc>
        <w:tc>
          <w:tcPr>
            <w:tcW w:w="109" w:type="dxa"/>
            <w:tcBorders/>
            <w:shd w:fill="auto" w:val="clear"/>
            <w:vAlign w:val="center"/>
          </w:tcPr>
          <w:p>
            <w:pPr>
              <w:pStyle w:val="TableContents"/>
              <w:spacing w:before="0" w:after="1"/>
              <w:ind w:left="0" w:right="0" w:hanging="0"/>
              <w:rPr/>
            </w:pPr>
            <w:r>
              <w:rPr/>
              <w:t>​</w:t>
            </w:r>
          </w:p>
        </w:tc>
        <w:tc>
          <w:tcPr>
            <w:tcW w:w="3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2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938 </w:t>
            </w:r>
          </w:p>
        </w:tc>
        <w:tc>
          <w:tcPr>
            <w:tcW w:w="168" w:type="dxa"/>
            <w:tcBorders/>
            <w:shd w:fill="auto" w:val="clear"/>
            <w:vAlign w:val="center"/>
          </w:tcPr>
          <w:p>
            <w:pPr>
              <w:pStyle w:val="TableContents"/>
              <w:spacing w:before="0" w:after="1"/>
              <w:ind w:left="0" w:right="0" w:hanging="0"/>
              <w:rPr/>
            </w:pPr>
            <w:r>
              <w:rPr/>
              <w:t>​</w:t>
            </w:r>
          </w:p>
        </w:tc>
        <w:tc>
          <w:tcPr>
            <w:tcW w:w="327"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0" w:type="dxa"/>
            <w:tcBorders/>
            <w:shd w:fill="auto" w:val="clear"/>
            <w:vAlign w:val="center"/>
          </w:tcPr>
          <w:p>
            <w:pPr>
              <w:pStyle w:val="TableContents"/>
              <w:spacing w:before="0" w:after="1"/>
              <w:ind w:left="0" w:right="70" w:hanging="0"/>
              <w:jc w:val="right"/>
              <w:rPr>
                <w:rFonts w:ascii="Times New Roman;Times;serif" w:hAnsi="Times New Roman;Times;serif"/>
                <w:sz w:val="20"/>
              </w:rPr>
            </w:pPr>
            <w:r>
              <w:rPr>
                <w:rFonts w:ascii="Times New Roman;Times;serif" w:hAnsi="Times New Roman;Times;serif"/>
                <w:sz w:val="20"/>
              </w:rPr>
              <w:t xml:space="preserve">141 </w:t>
            </w:r>
          </w:p>
        </w:tc>
      </w:tr>
    </w:tbl>
    <w:p>
      <w:pPr>
        <w:pStyle w:val="TextBody"/>
        <w:spacing w:before="0" w:after="240"/>
        <w:ind w:left="0" w:right="0" w:firstLine="720"/>
        <w:rPr/>
      </w:pPr>
      <w:r>
        <w:rPr/>
        <w:t>​</w:t>
      </w:r>
    </w:p>
    <w:p>
      <w:pPr>
        <w:pStyle w:val="TextBody"/>
        <w:spacing w:before="0" w:after="200"/>
        <w:ind w:left="0" w:right="0" w:firstLine="720"/>
        <w:rPr>
          <w:rFonts w:ascii="Times New Roman;Times;serif" w:hAnsi="Times New Roman;Times;serif"/>
          <w:b w:val="false"/>
          <w:sz w:val="20"/>
        </w:rPr>
      </w:pPr>
      <w:bookmarkStart w:id="1633" w:name="_Hlk85705053"/>
      <w:bookmarkEnd w:id="1633"/>
      <w:r>
        <w:rPr>
          <w:rFonts w:ascii="Times New Roman;Times;serif" w:hAnsi="Times New Roman;Times;serif"/>
          <w:b w:val="false"/>
          <w:sz w:val="20"/>
        </w:rPr>
        <w:t>We believe that the estimated values of signings provide insight into the Company’s potential future revenue and a tool to monitor trends in the business, including the business’ ability to attract new customers and sell additional scope into our existing customer base, and we believe signings are helpful information for investors.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The conversion of signings into revenue may vary based on the types of services and solutions, customer decisions and other factors, which may include, but are not limited to, the macroeconomic environment or external events.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Liquidity and Capital Resources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We believe that our existing cash and cash equivalents and the Revolving Credit Agreement entered into in October 2021 will be sufficient to meet our anticipated cash needs for at least the next twelve months.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 xml:space="preserve">Senior Unsecured Notes </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 xml:space="preserve">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 </w:t>
      </w:r>
    </w:p>
    <w:p>
      <w:pPr>
        <w:pStyle w:val="TextBody"/>
        <w:spacing w:before="0" w:after="0"/>
        <w:ind w:left="0" w:right="0" w:firstLine="36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issuance of the Notes, we entered into a registration rights agreement with the initial purchasers of the Notes, pursuant to which we will use commercially reasonable efforts to file and have declared effective a registration statement with respect to a registered offer to exchange each series of Notes for new notes with substantially identical terms by October 15, 2022. If the exchange offer is not completed on or before October 15, 2022, and under certain other circumstances, we are required to use commercially reasonable efforts to file and have declared effective a shelf registration statement relating to the resale of the Notes.</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i/>
          <w:sz w:val="20"/>
        </w:rPr>
      </w:pPr>
      <w:r>
        <w:rPr>
          <w:rFonts w:ascii="Times New Roman;Times;serif" w:hAnsi="Times New Roman;Times;serif"/>
          <w:b/>
          <w:i/>
          <w:sz w:val="20"/>
        </w:rPr>
        <w:t>Term Loan and Revolving Credit Facility</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In October 2021, we entered into a $500 million three-year variable rate term loan credit agreement (the “Term Loan Credit Agreement”). In November 2021, we drew down the full $500 million available under the Term Loan Credit Agreement.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October 2021, we entered into a $3.15 billion multi-currency revolving credit agreement (the “Revolving Credit Agreement” and, together with the Term Loan Credit Agreement, the “Credit Agreements”) for our future liquidity needs.</w:t>
      </w:r>
    </w:p>
    <w:p>
      <w:pPr>
        <w:pStyle w:val="TextBody"/>
        <w:spacing w:before="0" w:after="0"/>
        <w:ind w:left="0" w:right="0" w:firstLine="72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Revolving Credit Agreement expires, unless extended, in October 2026, and the Term Loan Credit Agreement matures, unless extended, in November 2024. Interest rates on borrowings under the Credit Agreements are based on prevailing market interest rates, plus a margin, as further described in the Credit Agreements.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The Notes and the Credit Agreements were initially guaranteed by IBM. Approximately $900 million of the net proceeds from the term loan and the sale of the Notes was transferred to IBM in conjunction with the Separation. Following the completion of the Separation, the guarantee was released, and the Notes and the Credit Agreements are no longer obligations of IBM.</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We may voluntarily prepay borrowings under the Credit Agreements without premium or penalty, subject to customary “breakage” costs. The Credit Agreements include certain customary mandatory prepayment provisions. In addition, the Credit Agreements include customary events of default and affirmative and negative covenants as well as a maintenance covenant that will require that the ratio of our indebtedness for borrowed money to consolidated EBITDA (as defined in the Credit Agreements) for any period of four consecutive fiscal quarters be no greater than 3.50 to 1.00. </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Receivables Purchase Agreement</w:t>
      </w:r>
    </w:p>
    <w:p>
      <w:pPr>
        <w:pStyle w:val="TextBody"/>
        <w:pBdr/>
        <w:spacing w:before="0" w:after="0"/>
        <w:ind w:left="0" w:right="0" w:firstLine="720"/>
        <w:rPr>
          <w:rFonts w:ascii="Times New Roman;Times;serif" w:hAnsi="Times New Roman;Times;serif"/>
          <w:sz w:val="20"/>
        </w:rPr>
      </w:pPr>
      <w:r>
        <w:rPr>
          <w:rFonts w:ascii="Times New Roman;Times;serif" w:hAnsi="Times New Roman;Times;serif"/>
          <w:sz w:val="20"/>
        </w:rPr>
        <w:t xml:space="preserve">A portion of our receivables with extended payment terms were historically assigned to IBM’s Global Financing business. In connection with the assignment, these receivables were not recognized on the Company’s Consolidated Balance Sheet. In October 2021, in preparation for the Separation, we entered into a receivables purchase agreement with an unaffiliated bank with similar volumes to the amounts historically financed by IBM (the “Receivables Agreement”). Pursuant to the Receivables Agreement, we may sell at any one time, on a revolving basis, up to $1.1 billion of our trade receivables. Under the Receivables Agreement, from time to time, we sell certain customers’ trade receivables with extended payment terms at a discount on a non-recourse basis. These transactions are accounted for as sales. The initial term of the Receivables Agreement is 18 months. </w:t>
      </w:r>
    </w:p>
    <w:p>
      <w:pPr>
        <w:pStyle w:val="TextBody"/>
        <w:pBdr/>
        <w:shd w:fill="FFFFFF" w:val="clear"/>
        <w:spacing w:before="0" w:after="0"/>
        <w:ind w:left="0" w:right="0" w:hanging="0"/>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spacing w:before="0" w:after="240"/>
        <w:ind w:left="0" w:right="0" w:firstLine="720"/>
        <w:rPr>
          <w:rFonts w:ascii="Times New Roman;Times;serif" w:hAnsi="Times New Roman;Times;serif"/>
          <w:sz w:val="20"/>
        </w:rPr>
      </w:pPr>
      <w:r>
        <w:rPr>
          <w:rFonts w:ascii="Times New Roman;Times;serif" w:hAnsi="Times New Roman;Times;serif"/>
          <w:sz w:val="20"/>
        </w:rPr>
        <w:t>The application of GAAP requires us to make estimates and assumptions about certain items and future events that directly affect our reported financial condition. There have been no changes to our critical accounting policies and estimates as described in our Annual Report on Form 10-K for the year ended December 31, 2021, which was filed with the SEC on March 10, 2022 (the “Form 10-K”).</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w:t>
      </w:r>
      <w:r>
        <w:rPr>
          <w:rFonts w:ascii="Times New Roman;Times;serif" w:hAnsi="Times New Roman;Times;serif"/>
          <w:sz w:val="20"/>
          <w:highlight w:val="white"/>
        </w:rPr>
        <w:t>the Private Securities Litigation Reform Act of 1995</w:t>
      </w:r>
      <w:r>
        <w:rPr>
          <w:rFonts w:ascii="Times New Roman;Times;serif" w:hAnsi="Times New Roman;Times;serif"/>
          <w:sz w:val="20"/>
        </w:rPr>
        <w:t xml:space="preserve">. </w:t>
      </w:r>
      <w:r>
        <w:rPr>
          <w:rFonts w:ascii="Times New Roman;Times;serif" w:hAnsi="Times New Roman;Times;serif"/>
          <w:sz w:val="20"/>
          <w:highlight w:val="white"/>
        </w:rPr>
        <w:t>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w:t>
      </w:r>
      <w:r>
        <w:rPr>
          <w:rFonts w:ascii="Times New Roman;Times;serif" w:hAnsi="Times New Roman;Times;serif"/>
          <w:sz w:val="20"/>
        </w:rPr>
        <w:t xml:space="preserve">Such forward-looking statements often contain words such as “will,” “anticipate,” “predict,” “project,” “contemplate,” “plan,” “forecast,” “estimate,” “expect,” “intend,” “target,” “may,” “should,” “would,” “could,” “seek,” “aim”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 </w:t>
      </w:r>
    </w:p>
    <w:p>
      <w:pPr>
        <w:pStyle w:val="TextBody"/>
        <w:spacing w:before="0" w:after="0"/>
        <w:ind w:left="0" w:right="0" w:firstLine="720"/>
        <w:rPr/>
      </w:pPr>
      <w:r>
        <w:rPr/>
        <w:t>​</w:t>
      </w:r>
    </w:p>
    <w:tbl>
      <w:tblPr>
        <w:tblW w:w="5151" w:type="dxa"/>
        <w:jc w:val="left"/>
        <w:tblInd w:w="0" w:type="dxa"/>
        <w:tblCellMar>
          <w:top w:w="28" w:type="dxa"/>
          <w:left w:w="28" w:type="dxa"/>
          <w:bottom w:w="28" w:type="dxa"/>
          <w:right w:w="28" w:type="dxa"/>
        </w:tblCellMar>
      </w:tblPr>
      <w:tblGrid>
        <w:gridCol w:w="124"/>
        <w:gridCol w:w="256"/>
        <w:gridCol w:w="47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7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risks related to the Company’s recent spin-off from IBM; </w:t>
            </w:r>
          </w:p>
        </w:tc>
      </w:tr>
    </w:tbl>
    <w:tbl>
      <w:tblPr>
        <w:tblW w:w="8451" w:type="dxa"/>
        <w:jc w:val="left"/>
        <w:tblInd w:w="0" w:type="dxa"/>
        <w:tblCellMar>
          <w:top w:w="28" w:type="dxa"/>
          <w:left w:w="28" w:type="dxa"/>
          <w:bottom w:w="28" w:type="dxa"/>
          <w:right w:w="28" w:type="dxa"/>
        </w:tblCellMar>
      </w:tblPr>
      <w:tblGrid>
        <w:gridCol w:w="124"/>
        <w:gridCol w:w="256"/>
        <w:gridCol w:w="8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new customers, retain existing customers or sell additional services to customers; </w:t>
            </w:r>
          </w:p>
        </w:tc>
      </w:tr>
    </w:tbl>
    <w:tbl>
      <w:tblPr>
        <w:tblW w:w="7131" w:type="dxa"/>
        <w:jc w:val="left"/>
        <w:tblInd w:w="0" w:type="dxa"/>
        <w:tblCellMar>
          <w:top w:w="28" w:type="dxa"/>
          <w:left w:w="28" w:type="dxa"/>
          <w:bottom w:w="28" w:type="dxa"/>
          <w:right w:w="28" w:type="dxa"/>
        </w:tblCellMar>
      </w:tblPr>
      <w:tblGrid>
        <w:gridCol w:w="124"/>
        <w:gridCol w:w="256"/>
        <w:gridCol w:w="67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technological developments and the Company’s response to such developments; </w:t>
            </w:r>
          </w:p>
        </w:tc>
      </w:tr>
    </w:tbl>
    <w:tbl>
      <w:tblPr>
        <w:tblW w:w="4716" w:type="dxa"/>
        <w:jc w:val="left"/>
        <w:tblInd w:w="0" w:type="dxa"/>
        <w:tblCellMar>
          <w:top w:w="28" w:type="dxa"/>
          <w:left w:w="28" w:type="dxa"/>
          <w:bottom w:w="28" w:type="dxa"/>
          <w:right w:w="28" w:type="dxa"/>
        </w:tblCellMar>
      </w:tblPr>
      <w:tblGrid>
        <w:gridCol w:w="124"/>
        <w:gridCol w:w="256"/>
        <w:gridCol w:w="43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3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meet growth and productivity objectives; </w:t>
            </w:r>
          </w:p>
        </w:tc>
      </w:tr>
    </w:tbl>
    <w:tbl>
      <w:tblPr>
        <w:tblW w:w="1626" w:type="dxa"/>
        <w:jc w:val="left"/>
        <w:tblInd w:w="0" w:type="dxa"/>
        <w:tblCellMar>
          <w:top w:w="28" w:type="dxa"/>
          <w:left w:w="28" w:type="dxa"/>
          <w:bottom w:w="28" w:type="dxa"/>
          <w:right w:w="28" w:type="dxa"/>
        </w:tblCellMar>
      </w:tblPr>
      <w:tblGrid>
        <w:gridCol w:w="124"/>
        <w:gridCol w:w="256"/>
        <w:gridCol w:w="12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12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w:t>
            </w:r>
          </w:p>
        </w:tc>
      </w:tr>
    </w:tbl>
    <w:tbl>
      <w:tblPr>
        <w:tblW w:w="4371" w:type="dxa"/>
        <w:jc w:val="left"/>
        <w:tblInd w:w="0" w:type="dxa"/>
        <w:tblCellMar>
          <w:top w:w="28" w:type="dxa"/>
          <w:left w:w="28" w:type="dxa"/>
          <w:bottom w:w="28" w:type="dxa"/>
          <w:right w:w="28" w:type="dxa"/>
        </w:tblCellMar>
      </w:tblPr>
      <w:tblGrid>
        <w:gridCol w:w="124"/>
        <w:gridCol w:w="256"/>
        <w:gridCol w:w="39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impacts of relationships with critical suppliers; </w:t>
            </w:r>
          </w:p>
        </w:tc>
      </w:tr>
    </w:tbl>
    <w:tbl>
      <w:tblPr>
        <w:tblW w:w="6471" w:type="dxa"/>
        <w:jc w:val="left"/>
        <w:tblInd w:w="0" w:type="dxa"/>
        <w:tblCellMar>
          <w:top w:w="28" w:type="dxa"/>
          <w:left w:w="28" w:type="dxa"/>
          <w:bottom w:w="28" w:type="dxa"/>
          <w:right w:w="28" w:type="dxa"/>
        </w:tblCellMar>
      </w:tblPr>
      <w:tblGrid>
        <w:gridCol w:w="124"/>
        <w:gridCol w:w="256"/>
        <w:gridCol w:w="60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attract and retain key personnel and other skilled employees; </w:t>
            </w:r>
          </w:p>
        </w:tc>
      </w:tr>
    </w:tbl>
    <w:tbl>
      <w:tblPr>
        <w:tblW w:w="9231" w:type="dxa"/>
        <w:jc w:val="left"/>
        <w:tblInd w:w="0" w:type="dxa"/>
        <w:tblCellMar>
          <w:top w:w="28" w:type="dxa"/>
          <w:left w:w="28" w:type="dxa"/>
          <w:bottom w:w="28" w:type="dxa"/>
          <w:right w:w="28" w:type="dxa"/>
        </w:tblCellMar>
      </w:tblPr>
      <w:tblGrid>
        <w:gridCol w:w="124"/>
        <w:gridCol w:w="256"/>
        <w:gridCol w:w="8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8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impact of local legal, economic, political, health and other conditions, including the COVID-19 pandemic; </w:t>
            </w:r>
          </w:p>
        </w:tc>
      </w:tr>
    </w:tbl>
    <w:tbl>
      <w:tblPr>
        <w:tblW w:w="6291" w:type="dxa"/>
        <w:jc w:val="left"/>
        <w:tblInd w:w="0" w:type="dxa"/>
        <w:tblCellMar>
          <w:top w:w="28" w:type="dxa"/>
          <w:left w:w="28" w:type="dxa"/>
          <w:bottom w:w="28" w:type="dxa"/>
          <w:right w:w="28" w:type="dxa"/>
        </w:tblCellMar>
      </w:tblPr>
      <w:tblGrid>
        <w:gridCol w:w="124"/>
        <w:gridCol w:w="256"/>
        <w:gridCol w:w="59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a downturn in economic environment and customer spending budgets; </w:t>
            </w:r>
          </w:p>
        </w:tc>
      </w:tr>
    </w:tbl>
    <w:tbl>
      <w:tblPr>
        <w:tblW w:w="3636" w:type="dxa"/>
        <w:jc w:val="left"/>
        <w:tblInd w:w="0" w:type="dxa"/>
        <w:tblCellMar>
          <w:top w:w="28" w:type="dxa"/>
          <w:left w:w="28" w:type="dxa"/>
          <w:bottom w:w="28" w:type="dxa"/>
          <w:right w:w="28" w:type="dxa"/>
        </w:tblCellMar>
      </w:tblPr>
      <w:tblGrid>
        <w:gridCol w:w="124"/>
        <w:gridCol w:w="256"/>
        <w:gridCol w:w="32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2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damage to the Company’s reputation; </w:t>
            </w:r>
          </w:p>
        </w:tc>
      </w:tr>
    </w:tbl>
    <w:tbl>
      <w:tblPr>
        <w:tblW w:w="8331" w:type="dxa"/>
        <w:jc w:val="left"/>
        <w:tblInd w:w="0" w:type="dxa"/>
        <w:tblCellMar>
          <w:top w:w="28" w:type="dxa"/>
          <w:left w:w="28" w:type="dxa"/>
          <w:bottom w:w="28" w:type="dxa"/>
          <w:right w:w="28" w:type="dxa"/>
        </w:tblCellMar>
      </w:tblPr>
      <w:tblGrid>
        <w:gridCol w:w="124"/>
        <w:gridCol w:w="256"/>
        <w:gridCol w:w="79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inability to accurately estimate the cost of services and the timeline for completion of contracts; </w:t>
            </w:r>
          </w:p>
        </w:tc>
      </w:tr>
    </w:tbl>
    <w:tbl>
      <w:tblPr>
        <w:tblW w:w="2451" w:type="dxa"/>
        <w:jc w:val="left"/>
        <w:tblInd w:w="0" w:type="dxa"/>
        <w:tblCellMar>
          <w:top w:w="28" w:type="dxa"/>
          <w:left w:w="28" w:type="dxa"/>
          <w:bottom w:w="28" w:type="dxa"/>
          <w:right w:w="28" w:type="dxa"/>
        </w:tblCellMar>
      </w:tblPr>
      <w:tblGrid>
        <w:gridCol w:w="124"/>
        <w:gridCol w:w="256"/>
        <w:gridCol w:w="20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0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service delivery issues;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Company’s ability to successfully manage acquisitions, alliances and dispositions, including integration challenges, failure to achieve objectives, the assumption of liabilities, and higher debt levels; </w:t>
            </w:r>
          </w:p>
        </w:tc>
      </w:tr>
    </w:tbl>
    <w:tbl>
      <w:tblPr>
        <w:tblW w:w="5031" w:type="dxa"/>
        <w:jc w:val="left"/>
        <w:tblInd w:w="0" w:type="dxa"/>
        <w:tblCellMar>
          <w:top w:w="28" w:type="dxa"/>
          <w:left w:w="28" w:type="dxa"/>
          <w:bottom w:w="28" w:type="dxa"/>
          <w:right w:w="28" w:type="dxa"/>
        </w:tblCellMar>
      </w:tblPr>
      <w:tblGrid>
        <w:gridCol w:w="124"/>
        <w:gridCol w:w="256"/>
        <w:gridCol w:w="46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impact of our business with government customers;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failure of the Company’s intellectual property rights to prevent competitive offerings and the failure of the Company to obtain necessary licenses; </w:t>
            </w:r>
          </w:p>
        </w:tc>
      </w:tr>
    </w:tbl>
    <w:tbl>
      <w:tblPr>
        <w:tblW w:w="4431" w:type="dxa"/>
        <w:jc w:val="left"/>
        <w:tblInd w:w="0" w:type="dxa"/>
        <w:tblCellMar>
          <w:top w:w="28" w:type="dxa"/>
          <w:left w:w="28" w:type="dxa"/>
          <w:bottom w:w="28" w:type="dxa"/>
          <w:right w:w="28" w:type="dxa"/>
        </w:tblCellMar>
      </w:tblPr>
      <w:tblGrid>
        <w:gridCol w:w="124"/>
        <w:gridCol w:w="256"/>
        <w:gridCol w:w="40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risks relating to cybersecurity and data privacy; </w:t>
            </w:r>
          </w:p>
        </w:tc>
      </w:tr>
    </w:tbl>
    <w:tbl>
      <w:tblPr>
        <w:tblW w:w="5376" w:type="dxa"/>
        <w:jc w:val="left"/>
        <w:tblInd w:w="0" w:type="dxa"/>
        <w:tblCellMar>
          <w:top w:w="28" w:type="dxa"/>
          <w:left w:w="28" w:type="dxa"/>
          <w:bottom w:w="28" w:type="dxa"/>
          <w:right w:w="28" w:type="dxa"/>
        </w:tblCellMar>
      </w:tblPr>
      <w:tblGrid>
        <w:gridCol w:w="124"/>
        <w:gridCol w:w="256"/>
        <w:gridCol w:w="49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9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adverse effects from tax matters and environmental matters; </w:t>
            </w:r>
          </w:p>
        </w:tc>
      </w:tr>
    </w:tbl>
    <w:tbl>
      <w:tblPr>
        <w:tblW w:w="3966" w:type="dxa"/>
        <w:jc w:val="left"/>
        <w:tblInd w:w="0" w:type="dxa"/>
        <w:tblCellMar>
          <w:top w:w="28" w:type="dxa"/>
          <w:left w:w="28" w:type="dxa"/>
          <w:bottom w:w="28" w:type="dxa"/>
          <w:right w:w="28" w:type="dxa"/>
        </w:tblCellMar>
      </w:tblPr>
      <w:tblGrid>
        <w:gridCol w:w="124"/>
        <w:gridCol w:w="256"/>
        <w:gridCol w:w="35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5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legal proceedings and investigatory risks; </w:t>
            </w:r>
          </w:p>
        </w:tc>
      </w:tr>
    </w:tbl>
    <w:tbl>
      <w:tblPr>
        <w:tblW w:w="7791" w:type="dxa"/>
        <w:jc w:val="left"/>
        <w:tblInd w:w="0" w:type="dxa"/>
        <w:tblCellMar>
          <w:top w:w="28" w:type="dxa"/>
          <w:left w:w="28" w:type="dxa"/>
          <w:bottom w:w="28" w:type="dxa"/>
          <w:right w:w="28" w:type="dxa"/>
        </w:tblCellMar>
      </w:tblPr>
      <w:tblGrid>
        <w:gridCol w:w="124"/>
        <w:gridCol w:w="256"/>
        <w:gridCol w:w="74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impact of changes in market liquidity conditions and customer credit risk on receivables; </w:t>
            </w:r>
          </w:p>
        </w:tc>
      </w:tr>
    </w:tbl>
    <w:tbl>
      <w:tblPr>
        <w:tblW w:w="3036" w:type="dxa"/>
        <w:jc w:val="left"/>
        <w:tblInd w:w="0" w:type="dxa"/>
        <w:tblCellMar>
          <w:top w:w="28" w:type="dxa"/>
          <w:left w:w="28" w:type="dxa"/>
          <w:bottom w:w="28" w:type="dxa"/>
          <w:right w:w="28" w:type="dxa"/>
        </w:tblCellMar>
      </w:tblPr>
      <w:tblGrid>
        <w:gridCol w:w="124"/>
        <w:gridCol w:w="256"/>
        <w:gridCol w:w="26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Company’s pension plans; </w:t>
            </w:r>
          </w:p>
        </w:tc>
      </w:tr>
    </w:tbl>
    <w:tbl>
      <w:tblPr>
        <w:tblW w:w="4446" w:type="dxa"/>
        <w:jc w:val="left"/>
        <w:tblInd w:w="0" w:type="dxa"/>
        <w:tblCellMar>
          <w:top w:w="28" w:type="dxa"/>
          <w:left w:w="28" w:type="dxa"/>
          <w:bottom w:w="28" w:type="dxa"/>
          <w:right w:w="28" w:type="dxa"/>
        </w:tblCellMar>
      </w:tblPr>
      <w:tblGrid>
        <w:gridCol w:w="124"/>
        <w:gridCol w:w="256"/>
        <w:gridCol w:w="40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0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impact of foreign currency fluctuations; and </w:t>
            </w:r>
          </w:p>
        </w:tc>
      </w:tr>
    </w:tbl>
    <w:tbl>
      <w:tblPr>
        <w:tblW w:w="6366" w:type="dxa"/>
        <w:jc w:val="left"/>
        <w:tblInd w:w="0" w:type="dxa"/>
        <w:tblCellMar>
          <w:top w:w="28" w:type="dxa"/>
          <w:left w:w="28" w:type="dxa"/>
          <w:bottom w:w="28" w:type="dxa"/>
          <w:right w:w="28" w:type="dxa"/>
        </w:tblCellMar>
      </w:tblPr>
      <w:tblGrid>
        <w:gridCol w:w="124"/>
        <w:gridCol w:w="256"/>
        <w:gridCol w:w="5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86"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val="false"/>
                <w:caps w:val="false"/>
                <w:smallCaps w:val="false"/>
                <w:sz w:val="20"/>
                <w:highlight w:val="white"/>
              </w:rPr>
              <w:t>risks related to the Company’s common stock and the securities market</w:t>
            </w:r>
            <w:r>
              <w:rPr>
                <w:rFonts w:ascii="Times New Roman;Times;serif" w:hAnsi="Times New Roman;Times;serif"/>
                <w:b w:val="false"/>
                <w:i w:val="false"/>
                <w:caps w:val="false"/>
                <w:smallCaps w:val="false"/>
                <w:sz w:val="20"/>
              </w:rPr>
              <w:t xml:space="preserve">. </w:t>
            </w:r>
          </w:p>
        </w:tc>
      </w:tr>
    </w:tbl>
    <w:p>
      <w:pPr>
        <w:pStyle w:val="TextBody"/>
        <w:spacing w:before="0" w:after="0"/>
        <w:ind w:left="0" w:right="0" w:hanging="0"/>
        <w:rPr/>
      </w:pPr>
      <w:r>
        <w:rPr/>
        <w:t>​</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 xml:space="preserve">Additional risks and uncertainties include, among others, those risks and uncertainties described in the “Risk Factors” section of the Form 10-K, as such factors may be updated from time to time in the Company’s periodic filings with the SEC. </w:t>
      </w:r>
      <w:r>
        <w:rPr>
          <w:rFonts w:ascii="Times New Roman;Times;serif" w:hAnsi="Times New Roman;Times;serif"/>
          <w:sz w:val="20"/>
          <w:highlight w:val="white"/>
        </w:rPr>
        <w:t xml:space="preserve">Any forward-looking statement in this </w:t>
      </w:r>
      <w:r>
        <w:rPr>
          <w:rFonts w:ascii="Times New Roman;Times;serif" w:hAnsi="Times New Roman;Times;serif"/>
          <w:sz w:val="20"/>
        </w:rPr>
        <w:t xml:space="preserve">report </w:t>
      </w:r>
      <w:r>
        <w:rPr>
          <w:rFonts w:ascii="Times New Roman;Times;serif" w:hAnsi="Times New Roman;Times;serif"/>
          <w:sz w:val="20"/>
          <w:highlight w:val="white"/>
        </w:rPr>
        <w:t>speaks only as of the date on which it is made. Except as required by law, the Company assumes no obligation to update or revise any forward-looking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Management Discussion (continued)</w:t>
      </w:r>
    </w:p>
    <w:p>
      <w:pPr>
        <w:pStyle w:val="TextBody"/>
        <w:spacing w:before="0" w:after="0"/>
        <w:ind w:left="0" w:right="0" w:hanging="0"/>
        <w:rPr>
          <w:rFonts w:ascii="Times New Roman;Times;serif" w:hAnsi="Times New Roman;Times;serif"/>
          <w:b/>
          <w:sz w:val="20"/>
          <w:highlight w:val="white"/>
        </w:rPr>
      </w:pPr>
      <w:r>
        <w:rPr>
          <w:rFonts w:ascii="Times New Roman;Times;serif" w:hAnsi="Times New Roman;Times;serif"/>
          <w:b/>
          <w:sz w:val="20"/>
          <w:highlight w:val="white"/>
        </w:rPr>
        <w:t>Website and Social Media Disclosure</w:t>
      </w:r>
    </w:p>
    <w:p>
      <w:pPr>
        <w:pStyle w:val="TextBody"/>
        <w:spacing w:before="0" w:after="0"/>
        <w:ind w:left="0" w:right="0" w:hanging="0"/>
        <w:rPr>
          <w:highlight w:val="white"/>
        </w:rPr>
      </w:pPr>
      <w:r>
        <w:rPr>
          <w:highlight w:val="white"/>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Company may use its website and/or social media outlets, such as Facebook, LinkedIn and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Twitter account (@Kyndryl) at https://twitter.com/Kyndryl. In addition, you may automatically receive email alerts and other information about the Company when you enroll your email address by visiting the “Investor Email Alerts” section under the “Resources” section at https://investors.kyndryl.com.</w:t>
      </w:r>
    </w:p>
    <w:p>
      <w:pPr>
        <w:pStyle w:val="TextBody"/>
        <w:spacing w:before="0" w:after="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634" w:name="ITEM3_Quantitive"/>
      <w:bookmarkStart w:id="1635" w:name="ITEM3"/>
      <w:bookmarkStart w:id="1636" w:name="_970ee97f_729e_4b47_bd74_d90a504ce702"/>
      <w:bookmarkEnd w:id="1634"/>
      <w:bookmarkEnd w:id="1635"/>
      <w:bookmarkEnd w:id="1636"/>
      <w:r>
        <w:rPr>
          <w:rFonts w:ascii="Times New Roman;Times;serif" w:hAnsi="Times New Roman;Times;serif"/>
          <w:b/>
          <w:sz w:val="20"/>
        </w:rPr>
        <w:t>Item 3. Quantitative and Qualitative Disclosures About Market Risk</w:t>
      </w:r>
    </w:p>
    <w:p>
      <w:pPr>
        <w:pStyle w:val="TextBody"/>
        <w:spacing w:before="0" w:after="240"/>
        <w:ind w:left="0" w:right="0" w:hanging="0"/>
        <w:rPr/>
      </w:pPr>
      <w:r>
        <w:rPr/>
        <w:t>​</w:t>
      </w:r>
    </w:p>
    <w:p>
      <w:pPr>
        <w:pStyle w:val="TextBody"/>
        <w:spacing w:before="0" w:after="200"/>
        <w:ind w:left="0" w:right="0" w:firstLine="720"/>
        <w:rPr>
          <w:rFonts w:ascii="Times New Roman;Times;serif" w:hAnsi="Times New Roman;Times;serif"/>
          <w:b w:val="false"/>
          <w:sz w:val="20"/>
        </w:rPr>
      </w:pPr>
      <w:r>
        <w:rPr>
          <w:rFonts w:ascii="Times New Roman;Times;serif" w:hAnsi="Times New Roman;Times;serif"/>
          <w:b w:val="false"/>
          <w:sz w:val="20"/>
        </w:rPr>
        <w:t>For our disclosures about market risk, see the information under the heading “Quantitative and Qualitative Disclosures About Market Risk” in the Form 10-K. There have been no material changes to the Company’s disclosure about market risk in the Form 10-K.</w:t>
      </w:r>
    </w:p>
    <w:p>
      <w:pPr>
        <w:pStyle w:val="TextBody"/>
        <w:spacing w:before="0" w:after="0"/>
        <w:ind w:left="0" w:right="0" w:hanging="0"/>
        <w:rPr>
          <w:rFonts w:ascii="Times New Roman;Times;serif" w:hAnsi="Times New Roman;Times;serif"/>
          <w:b/>
          <w:sz w:val="20"/>
        </w:rPr>
      </w:pPr>
      <w:bookmarkStart w:id="1637" w:name="Item4ControlsandProcedures_560001"/>
      <w:bookmarkEnd w:id="1637"/>
      <w:r>
        <w:rPr>
          <w:rFonts w:ascii="Times New Roman;Times;serif" w:hAnsi="Times New Roman;Times;serif"/>
          <w:b/>
          <w:sz w:val="20"/>
        </w:rPr>
        <w:t>Item 4. Controls and Procedures</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 xml:space="preserve">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effective as of the end of the period covered by this report. </w:t>
      </w:r>
    </w:p>
    <w:p>
      <w:pPr>
        <w:pStyle w:val="TextBody"/>
        <w:spacing w:before="0" w:after="24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There has been no change in the Company’s internal control over financial reporting (as such term is defined in Rule 13a-15(f) of the Exchange Act) that occurred during the period covered by this report that has materially affected, or is reasonably likely to materially affect, the Company’s internal control over financial reporting.</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00"/>
        <w:ind w:left="0" w:right="0" w:hanging="0"/>
        <w:jc w:val="center"/>
        <w:rPr>
          <w:rFonts w:ascii="Times New Roman;Times;serif" w:hAnsi="Times New Roman;Times;serif"/>
          <w:b/>
          <w:sz w:val="20"/>
        </w:rPr>
      </w:pPr>
      <w:bookmarkStart w:id="1638" w:name="PartIIOtherInformation_819306"/>
      <w:bookmarkStart w:id="1639" w:name="_113a6351_ab6f_4e61_9b20_c30bd50ad304"/>
      <w:bookmarkEnd w:id="1638"/>
      <w:bookmarkEnd w:id="1639"/>
      <w:r>
        <w:rPr>
          <w:rFonts w:ascii="Times New Roman;Times;serif" w:hAnsi="Times New Roman;Times;serif"/>
          <w:b/>
          <w:sz w:val="20"/>
        </w:rPr>
        <w:t>Part II — Other Information</w:t>
      </w:r>
    </w:p>
    <w:p>
      <w:pPr>
        <w:pStyle w:val="TextBody"/>
        <w:spacing w:before="0" w:after="200"/>
        <w:ind w:left="0" w:right="0" w:hanging="0"/>
        <w:rPr>
          <w:rFonts w:ascii="Times New Roman;Times;serif" w:hAnsi="Times New Roman;Times;serif"/>
          <w:b/>
          <w:sz w:val="20"/>
        </w:rPr>
      </w:pPr>
      <w:bookmarkStart w:id="1640" w:name="Item1LegalProceedings_389566"/>
      <w:bookmarkEnd w:id="1640"/>
      <w:r>
        <w:rPr>
          <w:rFonts w:ascii="Times New Roman;Times;serif" w:hAnsi="Times New Roman;Times;serif"/>
          <w:b/>
          <w:sz w:val="20"/>
        </w:rPr>
        <w:t>Item 1. Legal Proceedings</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Refer to Note 10 – Commitments and Contingencies, in the notes to consolidated financial statements in this report.</w:t>
      </w:r>
    </w:p>
    <w:p>
      <w:pPr>
        <w:pStyle w:val="TextBody"/>
        <w:spacing w:before="0" w:after="240"/>
        <w:ind w:left="0" w:right="0" w:firstLine="720"/>
        <w:rPr/>
      </w:pPr>
      <w:r>
        <w:rPr/>
        <w:t>​</w:t>
      </w:r>
    </w:p>
    <w:p>
      <w:pPr>
        <w:pStyle w:val="TextBody"/>
        <w:spacing w:before="0" w:after="0"/>
        <w:ind w:left="0" w:right="0" w:hanging="0"/>
        <w:rPr>
          <w:rFonts w:ascii="Times New Roman;Times;serif" w:hAnsi="Times New Roman;Times;serif"/>
          <w:b/>
          <w:sz w:val="20"/>
        </w:rPr>
      </w:pPr>
      <w:bookmarkStart w:id="1641" w:name="ITEM1A"/>
      <w:bookmarkEnd w:id="1641"/>
      <w:r>
        <w:rPr>
          <w:rFonts w:ascii="Times New Roman;Times;serif" w:hAnsi="Times New Roman;Times;serif"/>
          <w:b/>
          <w:sz w:val="20"/>
        </w:rPr>
        <w:t>Item 1A. Risk Factors</w:t>
      </w:r>
    </w:p>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For a discussion of our potential risks and uncertainties, see the information under the heading “Risk Factors” in the Form 10-K. There have been no material changes with respect to the risk factors disclosed in the Form 10-K.</w:t>
      </w:r>
    </w:p>
    <w:p>
      <w:pPr>
        <w:pStyle w:val="TextBody"/>
        <w:spacing w:before="0" w:after="240"/>
        <w:ind w:left="0" w:right="0" w:firstLine="720"/>
        <w:rPr/>
      </w:pPr>
      <w:r>
        <w:rPr/>
        <w:t>​</w:t>
      </w:r>
    </w:p>
    <w:p>
      <w:pPr>
        <w:pStyle w:val="TextBody"/>
        <w:spacing w:before="0" w:after="0"/>
        <w:ind w:left="0" w:right="0" w:hanging="0"/>
        <w:rPr>
          <w:rFonts w:ascii="Times New Roman;Times;serif" w:hAnsi="Times New Roman;Times;serif"/>
          <w:b/>
          <w:sz w:val="20"/>
        </w:rPr>
      </w:pPr>
      <w:bookmarkStart w:id="1642" w:name="Item2Uregisteredsalesofequitysecurities"/>
      <w:bookmarkEnd w:id="1642"/>
      <w:r>
        <w:rPr>
          <w:rFonts w:ascii="Times New Roman;Times;serif" w:hAnsi="Times New Roman;Times;serif"/>
          <w:b/>
          <w:sz w:val="20"/>
        </w:rPr>
        <w:t>Item 2. Unregistered Sales of Equity Securities and Use of Proceeds</w:t>
      </w:r>
    </w:p>
    <w:p>
      <w:pPr>
        <w:pStyle w:val="TextBody"/>
        <w:spacing w:before="0" w:after="24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b/>
          <w:sz w:val="20"/>
        </w:rPr>
      </w:pPr>
      <w:bookmarkStart w:id="1643" w:name="ITEM3DefaultsUponSeniorSecurities"/>
      <w:bookmarkStart w:id="1644" w:name="_b30b7e50_75e3_4552_9ffc_6ec38e3616e4"/>
      <w:bookmarkEnd w:id="1643"/>
      <w:bookmarkEnd w:id="1644"/>
      <w:r>
        <w:rPr>
          <w:rFonts w:ascii="Times New Roman;Times;serif" w:hAnsi="Times New Roman;Times;serif"/>
          <w:b/>
          <w:sz w:val="20"/>
        </w:rPr>
        <w:t>Item 3. Defaults Upon Senior Securities</w:t>
      </w:r>
    </w:p>
    <w:p>
      <w:pPr>
        <w:pStyle w:val="TextBody"/>
        <w:spacing w:before="0" w:after="240"/>
        <w:ind w:left="0" w:right="0" w:hanging="0"/>
        <w:rPr/>
      </w:pPr>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bookmarkStart w:id="1645" w:name="Item4MineSafetyDisclosures"/>
      <w:bookmarkEnd w:id="1645"/>
      <w:r>
        <w:rPr>
          <w:rFonts w:ascii="Times New Roman;Times;serif" w:hAnsi="Times New Roman;Times;serif"/>
          <w:b/>
          <w:sz w:val="20"/>
        </w:rPr>
        <w:t>Item 4. Mine Safety Disclosures</w:t>
      </w:r>
    </w:p>
    <w:p>
      <w:pPr>
        <w:pStyle w:val="TextBody"/>
        <w:spacing w:before="0" w:after="240"/>
        <w:ind w:left="0" w:right="0" w:hanging="0"/>
        <w:rPr/>
      </w:pPr>
      <w:bookmarkStart w:id="1646" w:name="Item_4_Mine_Safety"/>
      <w:bookmarkEnd w:id="1646"/>
      <w:r>
        <w:rPr/>
        <w:t>​</w:t>
      </w:r>
    </w:p>
    <w:p>
      <w:pPr>
        <w:pStyle w:val="TextBody"/>
        <w:shd w:fill="FFFFFF" w:val="clear"/>
        <w:spacing w:before="0" w:after="0"/>
        <w:ind w:left="0" w:right="0" w:firstLine="720"/>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rPr/>
      </w:pPr>
      <w:r>
        <w:rPr/>
        <w:t>​</w:t>
      </w:r>
    </w:p>
    <w:p>
      <w:pPr>
        <w:pStyle w:val="TextBody"/>
        <w:spacing w:before="0" w:after="0"/>
        <w:ind w:left="0" w:right="0" w:hanging="0"/>
        <w:rPr>
          <w:rFonts w:ascii="Times New Roman;Times;serif" w:hAnsi="Times New Roman;Times;serif"/>
          <w:b/>
          <w:sz w:val="20"/>
        </w:rPr>
      </w:pPr>
      <w:bookmarkStart w:id="1647" w:name="Item5OtherInformation"/>
      <w:bookmarkEnd w:id="1647"/>
      <w:r>
        <w:rPr>
          <w:rFonts w:ascii="Times New Roman;Times;serif" w:hAnsi="Times New Roman;Times;serif"/>
          <w:b/>
          <w:sz w:val="20"/>
        </w:rPr>
        <w:t>Item 5. Other Information</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firstLine="72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648" w:name="Item6Exhibits_457436"/>
      <w:bookmarkStart w:id="1649" w:name="_b9490029_1a41_4787_bd90_a91094b94f9e"/>
      <w:bookmarkEnd w:id="1648"/>
      <w:bookmarkEnd w:id="1649"/>
      <w:r>
        <w:rPr>
          <w:rFonts w:ascii="Times New Roman;Times;serif" w:hAnsi="Times New Roman;Times;serif"/>
          <w:b/>
          <w:sz w:val="20"/>
        </w:rPr>
        <w:t>Item 6. Exhibits</w:t>
      </w:r>
    </w:p>
    <w:tbl>
      <w:tblPr>
        <w:tblW w:w="10205" w:type="dxa"/>
        <w:jc w:val="left"/>
        <w:tblInd w:w="0" w:type="dxa"/>
        <w:tblCellMar>
          <w:top w:w="0" w:type="dxa"/>
          <w:left w:w="0" w:type="dxa"/>
          <w:bottom w:w="0" w:type="dxa"/>
          <w:right w:w="0" w:type="dxa"/>
        </w:tblCellMar>
      </w:tblPr>
      <w:tblGrid>
        <w:gridCol w:w="1042"/>
        <w:gridCol w:w="9163"/>
      </w:tblGrid>
      <w:tr>
        <w:trPr/>
        <w:tc>
          <w:tcPr>
            <w:tcW w:w="1042" w:type="dxa"/>
            <w:tcBorders/>
            <w:shd w:fill="auto" w:val="clear"/>
            <w:vAlign w:val="center"/>
          </w:tcPr>
          <w:p>
            <w:pPr>
              <w:pStyle w:val="TableContents"/>
              <w:spacing w:before="0" w:after="283"/>
              <w:ind w:left="0" w:right="0" w:hanging="0"/>
              <w:rPr>
                <w:sz w:val="4"/>
                <w:szCs w:val="4"/>
              </w:rPr>
            </w:pPr>
            <w:r>
              <w:rPr>
                <w:sz w:val="4"/>
                <w:szCs w:val="4"/>
              </w:rPr>
            </w:r>
          </w:p>
        </w:tc>
        <w:tc>
          <w:tcPr>
            <w:tcW w:w="9163" w:type="dxa"/>
            <w:tcBorders/>
            <w:shd w:fill="auto" w:val="clear"/>
            <w:vAlign w:val="center"/>
          </w:tcPr>
          <w:p>
            <w:pPr>
              <w:pStyle w:val="TableContents"/>
              <w:spacing w:before="0" w:after="283"/>
              <w:ind w:left="0" w:right="0" w:hanging="0"/>
              <w:rPr>
                <w:sz w:val="4"/>
                <w:szCs w:val="4"/>
              </w:rPr>
            </w:pPr>
            <w:r>
              <w:rPr>
                <w:sz w:val="4"/>
                <w:szCs w:val="4"/>
              </w:rPr>
            </w:r>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Exhibit Number</w:t>
            </w:r>
          </w:p>
        </w:tc>
        <w:tc>
          <w:tcPr>
            <w:tcW w:w="9163"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Description of Exhibit</w:t>
            </w:r>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2.1</w:t>
            </w:r>
          </w:p>
        </w:tc>
        <w:tc>
          <w:tcPr>
            <w:tcW w:w="9163" w:type="dxa"/>
            <w:tcBorders/>
            <w:shd w:fill="auto" w:val="clear"/>
            <w:vAlign w:val="center"/>
          </w:tcPr>
          <w:p>
            <w:pPr>
              <w:pStyle w:val="TableContents"/>
              <w:spacing w:before="0" w:after="0"/>
              <w:ind w:left="0" w:right="0" w:hanging="0"/>
              <w:rPr/>
            </w:pPr>
            <w:hyperlink r:id="rId2">
              <w:r>
                <w:rPr>
                  <w:rStyle w:val="InternetLink"/>
                  <w:rFonts w:ascii="Times New Roman;Times;serif" w:hAnsi="Times New Roman;Times;serif"/>
                  <w:b w:val="false"/>
                  <w:i w:val="false"/>
                  <w:caps w:val="false"/>
                  <w:smallCaps w:val="false"/>
                  <w:sz w:val="20"/>
                </w:rPr>
                <w:t>The Separation and Distribution Agreement, dated as of November 2, 2021, by and between International Business Machines Corporation and the registrant was filed as Exhibit 2.1 to the registrant’s Current Report on Form 8-K filed on November 4, 2021, and is hereby incorporated by reference.</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w:t>
            </w:r>
          </w:p>
        </w:tc>
        <w:tc>
          <w:tcPr>
            <w:tcW w:w="9163" w:type="dxa"/>
            <w:tcBorders/>
            <w:shd w:fill="auto" w:val="clear"/>
            <w:vAlign w:val="center"/>
          </w:tcPr>
          <w:p>
            <w:pPr>
              <w:pStyle w:val="TableContents"/>
              <w:spacing w:before="0" w:after="0"/>
              <w:ind w:left="0" w:right="0" w:hanging="0"/>
              <w:rPr/>
            </w:pPr>
            <w:hyperlink r:id="rId3">
              <w:r>
                <w:rPr>
                  <w:rStyle w:val="InternetLink"/>
                  <w:rFonts w:ascii="Times New Roman;Times;serif" w:hAnsi="Times New Roman;Times;serif"/>
                  <w:b w:val="false"/>
                  <w:i w:val="false"/>
                  <w:caps w:val="false"/>
                  <w:smallCaps w:val="false"/>
                  <w:sz w:val="20"/>
                </w:rPr>
                <w:t>The Amended and Restated Certificate of Incorporation of the registrant was filed as Exhibit 3.1 to the registrant’s Current Report on Form 8-K filed on November 4, 2021, and is hereby incorporated by reference.</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9163" w:type="dxa"/>
            <w:tcBorders/>
            <w:shd w:fill="auto" w:val="clear"/>
            <w:vAlign w:val="center"/>
          </w:tcPr>
          <w:p>
            <w:pPr>
              <w:pStyle w:val="TableContents"/>
              <w:spacing w:before="0" w:after="0"/>
              <w:ind w:left="0" w:right="0" w:hanging="0"/>
              <w:rPr/>
            </w:pPr>
            <w:hyperlink r:id="rId4">
              <w:r>
                <w:rPr>
                  <w:rStyle w:val="InternetLink"/>
                  <w:rFonts w:ascii="Times New Roman;Times;serif" w:hAnsi="Times New Roman;Times;serif"/>
                  <w:b w:val="false"/>
                  <w:i w:val="false"/>
                  <w:caps w:val="false"/>
                  <w:smallCaps w:val="false"/>
                  <w:sz w:val="20"/>
                </w:rPr>
                <w:t>The Amended and Restated Bylaws of the registrant was filed as Exhibit 3.2 to the registrant’s Current Report on Form 8-K filed on November 4, 2021, and is hereby incorporated by reference.</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9163" w:type="dxa"/>
            <w:tcBorders/>
            <w:shd w:fill="auto" w:val="clear"/>
            <w:vAlign w:val="center"/>
          </w:tcPr>
          <w:p>
            <w:pPr>
              <w:pStyle w:val="TableContents"/>
              <w:spacing w:before="0" w:after="0"/>
              <w:ind w:left="0" w:right="0" w:hanging="0"/>
              <w:rPr/>
            </w:pPr>
            <w:hyperlink r:id="rId5">
              <w:r>
                <w:rPr>
                  <w:rStyle w:val="InternetLink"/>
                  <w:rFonts w:ascii="Times New Roman;Times;serif" w:hAnsi="Times New Roman;Times;serif"/>
                  <w:b w:val="false"/>
                  <w:i w:val="false"/>
                  <w:caps w:val="false"/>
                  <w:smallCaps w:val="false"/>
                  <w:sz w:val="20"/>
                </w:rPr>
                <w:t>The Kyndryl Holdings, Inc. Executive Severance and Retirement Plan was filed as Exhibit 10.2 to the registrant’s Current Report on Form 8-K filed on February 25, 2022 and is hereby incorporated by reference.</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10.2</w:t>
            </w:r>
          </w:p>
        </w:tc>
        <w:tc>
          <w:tcPr>
            <w:tcW w:w="9163" w:type="dxa"/>
            <w:tcBorders/>
            <w:shd w:fill="auto" w:val="clear"/>
            <w:vAlign w:val="center"/>
          </w:tcPr>
          <w:p>
            <w:pPr>
              <w:pStyle w:val="TableContents"/>
              <w:spacing w:before="0" w:after="0"/>
              <w:ind w:left="0" w:right="0" w:hanging="0"/>
              <w:rPr/>
            </w:pPr>
            <w:hyperlink r:id="rId6">
              <w:r>
                <w:rPr>
                  <w:rStyle w:val="InternetLink"/>
                  <w:rFonts w:ascii="Times New Roman;Times;serif" w:hAnsi="Times New Roman;Times;serif"/>
                  <w:b w:val="false"/>
                  <w:i w:val="false"/>
                  <w:caps w:val="false"/>
                  <w:smallCaps w:val="false"/>
                  <w:sz w:val="20"/>
                </w:rPr>
                <w:t>The Kyndryl Annual Incentive Plan for Executives was filed as Exhibit 10.1 to the registrant’s Current Report on Form 8-K filed on February 25, 2022 and is hereby incorporated by reference.</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9163" w:type="dxa"/>
            <w:tcBorders/>
            <w:shd w:fill="auto" w:val="clear"/>
            <w:vAlign w:val="center"/>
          </w:tcPr>
          <w:p>
            <w:pPr>
              <w:pStyle w:val="TableContents"/>
              <w:spacing w:before="0" w:after="0"/>
              <w:ind w:left="0" w:right="0" w:hanging="0"/>
              <w:rPr/>
            </w:pPr>
            <w:hyperlink w:anchor="kd-20220331xex31d1.htm">
              <w:r>
                <w:rPr>
                  <w:rStyle w:val="InternetLink"/>
                  <w:rFonts w:ascii="Times New Roman;Times;serif" w:hAnsi="Times New Roman;Times;serif"/>
                  <w:b w:val="false"/>
                  <w:i w:val="false"/>
                  <w:caps w:val="false"/>
                  <w:smallCaps w:val="false"/>
                  <w:sz w:val="20"/>
                </w:rPr>
                <w:t>Certification of principal executive officer, as required by Section 302 of the Sarbanes-Oxley Act of 2002 (filed herewith)</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9163" w:type="dxa"/>
            <w:tcBorders/>
            <w:shd w:fill="auto" w:val="clear"/>
            <w:vAlign w:val="center"/>
          </w:tcPr>
          <w:p>
            <w:pPr>
              <w:pStyle w:val="TableContents"/>
              <w:spacing w:before="0" w:after="0"/>
              <w:ind w:left="0" w:right="0" w:hanging="0"/>
              <w:rPr/>
            </w:pPr>
            <w:hyperlink w:anchor="kd-20220331xex31d2.htm">
              <w:r>
                <w:rPr>
                  <w:rStyle w:val="InternetLink"/>
                  <w:rFonts w:ascii="Times New Roman;Times;serif" w:hAnsi="Times New Roman;Times;serif"/>
                  <w:b w:val="false"/>
                  <w:i w:val="false"/>
                  <w:caps w:val="false"/>
                  <w:smallCaps w:val="false"/>
                  <w:sz w:val="20"/>
                </w:rPr>
                <w:t>Certification of principal financial officer, as required by Section 302 of the Sarbanes-Oxley Act of 2002 (filed herewith)</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9163" w:type="dxa"/>
            <w:tcBorders/>
            <w:shd w:fill="auto" w:val="clear"/>
            <w:vAlign w:val="center"/>
          </w:tcPr>
          <w:p>
            <w:pPr>
              <w:pStyle w:val="TableContents"/>
              <w:spacing w:before="0" w:after="0"/>
              <w:ind w:left="0" w:right="0" w:hanging="0"/>
              <w:rPr/>
            </w:pPr>
            <w:hyperlink w:anchor="kd-20220331xex32d1.htm">
              <w:r>
                <w:rPr>
                  <w:rStyle w:val="InternetLink"/>
                  <w:rFonts w:ascii="Times New Roman;Times;serif" w:hAnsi="Times New Roman;Times;serif"/>
                  <w:b w:val="false"/>
                  <w:i w:val="false"/>
                  <w:caps w:val="false"/>
                  <w:smallCaps w:val="false"/>
                  <w:sz w:val="20"/>
                </w:rPr>
                <w:t>Certification of principal executive officer, as required by Section 906 of the Sarbanes-Oxley Act of 2002 (furnished herewith)</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9163" w:type="dxa"/>
            <w:tcBorders/>
            <w:shd w:fill="auto" w:val="clear"/>
            <w:vAlign w:val="center"/>
          </w:tcPr>
          <w:p>
            <w:pPr>
              <w:pStyle w:val="TableContents"/>
              <w:spacing w:before="0" w:after="0"/>
              <w:ind w:left="0" w:right="0" w:hanging="0"/>
              <w:rPr/>
            </w:pPr>
            <w:hyperlink w:anchor="kd-20220331xex32d2.htm">
              <w:r>
                <w:rPr>
                  <w:rStyle w:val="InternetLink"/>
                  <w:rFonts w:ascii="Times New Roman;Times;serif" w:hAnsi="Times New Roman;Times;serif"/>
                  <w:b w:val="false"/>
                  <w:i w:val="false"/>
                  <w:caps w:val="false"/>
                  <w:smallCaps w:val="false"/>
                  <w:sz w:val="20"/>
                </w:rPr>
                <w:t>Certification of principal financial officer, as required by Section 906 of the Sarbanes-Oxley Act of 2002 (furnished herewith)</w:t>
              </w:r>
            </w:hyperlink>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9163"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XBRL Instance Document – the instance document does not appear on the Interactive Data File because its XBRL tags are embedded within the Inline XBRL document</w:t>
            </w:r>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9163"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XBRL Taxonomy Extension Schema Document</w:t>
            </w:r>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9163"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XBRL Taxonomy Extension Calculation Linkbase Document</w:t>
            </w:r>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9163"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XBRL Taxonomy Extension Definition Linkbase Document</w:t>
            </w:r>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9163"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XBRL Taxonomy Extension Label Linkbase Document</w:t>
            </w:r>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9163"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XBRL Taxonomy Extension Presentation Linkbase Document</w:t>
            </w:r>
          </w:p>
        </w:tc>
      </w:tr>
      <w:tr>
        <w:trPr/>
        <w:tc>
          <w:tcPr>
            <w:tcW w:w="104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9163" w:type="dxa"/>
            <w:tcBorders/>
            <w:shd w:fill="auto" w:val="clear"/>
            <w:vAlign w:val="center"/>
          </w:tcPr>
          <w:p>
            <w:pPr>
              <w:pStyle w:val="TableContents"/>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Cover Page Interactive Data File – the cover page interactive data file does not appear in the Interactive Data File because its XBRL tags are embedded within the Inline XBRL document</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highlight w:val="white"/>
        </w:rPr>
      </w:pPr>
      <w:r>
        <w:rPr>
          <w:rFonts w:ascii="Times New Roman;Times;serif" w:hAnsi="Times New Roman;Times;serif"/>
          <w:sz w:val="20"/>
          <w:highlight w:val="white"/>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pStyle w:val="TextBody"/>
        <w:spacing w:before="0" w:after="0"/>
        <w:ind w:left="0" w:right="0" w:hanging="0"/>
        <w:rPr/>
      </w:pPr>
      <w:r>
        <w:rPr/>
        <w:t>​</w:t>
      </w:r>
    </w:p>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650" w:name="_5b01a409_f7d7_4f1e_9b35_9dba0fce37e1"/>
      <w:bookmarkEnd w:id="1650"/>
      <w:r>
        <w:rPr>
          <w:rFonts w:ascii="Times New Roman;Times;serif" w:hAnsi="Times New Roman;Times;serif"/>
          <w:b/>
          <w:sz w:val="20"/>
        </w:rPr>
        <w:t>SIGNATURES</w:t>
      </w:r>
    </w:p>
    <w:p>
      <w:pPr>
        <w:pStyle w:val="TextBody"/>
        <w:spacing w:before="0" w:after="24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118" w:type="dxa"/>
        <w:jc w:val="left"/>
        <w:tblInd w:w="0" w:type="dxa"/>
        <w:tblCellMar>
          <w:top w:w="0" w:type="dxa"/>
          <w:left w:w="0" w:type="dxa"/>
          <w:bottom w:w="0" w:type="dxa"/>
          <w:right w:w="0" w:type="dxa"/>
        </w:tblCellMar>
      </w:tblPr>
      <w:tblGrid>
        <w:gridCol w:w="601"/>
        <w:gridCol w:w="1246"/>
        <w:gridCol w:w="109"/>
        <w:gridCol w:w="406"/>
        <w:gridCol w:w="4756"/>
      </w:tblGrid>
      <w:tr>
        <w:trPr/>
        <w:tc>
          <w:tcPr>
            <w:tcW w:w="601" w:type="dxa"/>
            <w:tcBorders/>
            <w:shd w:fill="auto" w:val="clear"/>
            <w:vAlign w:val="center"/>
          </w:tcPr>
          <w:p>
            <w:pPr>
              <w:pStyle w:val="TableContents"/>
              <w:spacing w:before="0" w:after="283"/>
              <w:ind w:left="0" w:right="0" w:hanging="0"/>
              <w:rPr>
                <w:sz w:val="4"/>
                <w:szCs w:val="4"/>
              </w:rPr>
            </w:pPr>
            <w:r>
              <w:rPr>
                <w:sz w:val="4"/>
                <w:szCs w:val="4"/>
              </w:rPr>
            </w:r>
          </w:p>
        </w:tc>
        <w:tc>
          <w:tcPr>
            <w:tcW w:w="124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0"/>
              <w:ind w:left="0" w:right="0" w:hanging="0"/>
              <w:rPr/>
            </w:pPr>
            <w:r>
              <w:rPr/>
              <w:t>​</w:t>
            </w:r>
          </w:p>
        </w:tc>
        <w:tc>
          <w:tcPr>
            <w:tcW w:w="5162" w:type="dxa"/>
            <w:gridSpan w:val="2"/>
            <w:tcBorders/>
            <w:shd w:fill="auto" w:val="clear"/>
            <w:vAlign w:val="center"/>
          </w:tcPr>
          <w:p>
            <w:pPr>
              <w:pStyle w:val="TableContents"/>
              <w:spacing w:before="0" w:after="0"/>
              <w:ind w:left="0" w:right="0" w:hanging="0"/>
              <w:rPr/>
            </w:pPr>
            <w:r>
              <w:rPr/>
              <w:t>​</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51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Kyndryl Holdings, Inc.</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516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5162" w:type="dxa"/>
            <w:gridSpan w:val="2"/>
            <w:tcBorders/>
            <w:shd w:fill="auto" w:val="clear"/>
            <w:vAlign w:val="center"/>
          </w:tcPr>
          <w:p>
            <w:pPr>
              <w:pStyle w:val="TableContents"/>
              <w:spacing w:before="0" w:after="0"/>
              <w:ind w:left="0" w:right="0" w:hanging="0"/>
              <w:rPr/>
            </w:pPr>
            <w:r>
              <w:rPr/>
              <w:t>​</w:t>
            </w:r>
          </w:p>
        </w:tc>
      </w:tr>
      <w:tr>
        <w:trPr/>
        <w:tc>
          <w:tcPr>
            <w:tcW w:w="6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Date: </w:t>
            </w:r>
          </w:p>
        </w:tc>
        <w:tc>
          <w:tcPr>
            <w:tcW w:w="1246"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May 13, 2022</w:t>
            </w:r>
          </w:p>
        </w:tc>
        <w:tc>
          <w:tcPr>
            <w:tcW w:w="109" w:type="dxa"/>
            <w:tcBorders/>
            <w:shd w:fill="auto" w:val="clear"/>
            <w:vAlign w:val="center"/>
          </w:tcPr>
          <w:p>
            <w:pPr>
              <w:pStyle w:val="TableContents"/>
              <w:pBdr/>
              <w:spacing w:before="0" w:after="0"/>
              <w:ind w:left="0" w:right="0" w:hanging="0"/>
              <w:rPr/>
            </w:pPr>
            <w:r>
              <w:rPr/>
              <w:t>​</w:t>
            </w:r>
          </w:p>
        </w:tc>
        <w:tc>
          <w:tcPr>
            <w:tcW w:w="5162" w:type="dxa"/>
            <w:gridSpan w:val="2"/>
            <w:tcBorders/>
            <w:shd w:fill="auto" w:val="clear"/>
            <w:vAlign w:val="center"/>
          </w:tcPr>
          <w:p>
            <w:pPr>
              <w:pStyle w:val="TableContents"/>
              <w:spacing w:before="0" w:after="0"/>
              <w:ind w:left="0" w:right="0" w:hanging="0"/>
              <w:rPr/>
            </w:pPr>
            <w:r>
              <w:rPr/>
              <w:t>​</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pBdr/>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7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Vineet Khurana</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283"/>
              <w:ind w:left="0" w:right="0" w:hanging="0"/>
              <w:rPr>
                <w:sz w:val="4"/>
                <w:szCs w:val="4"/>
              </w:rPr>
            </w:pPr>
            <w:r>
              <w:rPr>
                <w:sz w:val="4"/>
                <w:szCs w:val="4"/>
              </w:rPr>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Vineet Khurana</w:t>
            </w:r>
          </w:p>
        </w:tc>
      </w:tr>
      <w:tr>
        <w:trPr/>
        <w:tc>
          <w:tcPr>
            <w:tcW w:w="1956" w:type="dxa"/>
            <w:gridSpan w:val="3"/>
            <w:tcBorders/>
            <w:shd w:fill="auto" w:val="clear"/>
            <w:vAlign w:val="center"/>
          </w:tcPr>
          <w:p>
            <w:pPr>
              <w:pStyle w:val="TableContents"/>
              <w:pBdr/>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47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Vice President and Controller</w:t>
            </w:r>
          </w:p>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Accounting Officer and Authorized Signatory)</w:t>
            </w:r>
          </w:p>
        </w:tc>
      </w:tr>
    </w:tbl>
    <w:p>
      <w:pPr>
        <w:pStyle w:val="TextBody"/>
        <w:spacing w:before="0" w:after="240"/>
        <w:ind w:left="0" w:right="0" w:firstLine="720"/>
        <w:rPr/>
      </w:pPr>
      <w:r>
        <w:rPr/>
        <w:t>​</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r>
        <w:br w:type="page"/>
      </w:r>
    </w:p>
    <w:p>
      <w:pPr>
        <w:pStyle w:val="TextBody"/>
        <w:spacing w:before="0" w:after="120"/>
        <w:ind w:left="0" w:right="0" w:hanging="0"/>
        <w:jc w:val="right"/>
        <w:rPr>
          <w:rFonts w:ascii="Times New Roman;Times;serif" w:hAnsi="Times New Roman;Times;serif"/>
          <w:b/>
          <w:sz w:val="20"/>
        </w:rPr>
      </w:pPr>
      <w:bookmarkStart w:id="1651" w:name="kd-20220331xex31d1.htm"/>
      <w:bookmarkStart w:id="1652" w:name="kskd20220331xex31d1"/>
      <w:bookmarkEnd w:id="1651"/>
      <w:bookmarkEnd w:id="1652"/>
      <w:r>
        <w:rPr>
          <w:rFonts w:ascii="Times New Roman;Times;serif" w:hAnsi="Times New Roman;Times;serif"/>
          <w:b/>
          <w:sz w:val="20"/>
        </w:rPr>
        <w:t>Exhibit 31.1</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Martin J. Schroeter, certify that: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I have reviewed this Transition Report on Form 10-QT of Kyndryl Holdings,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for the registrant and have:</w:t>
      </w:r>
    </w:p>
    <w:p>
      <w:pPr>
        <w:pStyle w:val="TextBody"/>
        <w:spacing w:before="0" w:after="0"/>
        <w:ind w:left="0"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13, 2022</w:t>
      </w:r>
    </w:p>
    <w:p>
      <w:pPr>
        <w:pStyle w:val="TextBody"/>
        <w:spacing w:before="0" w:after="0"/>
        <w:ind w:left="0" w:right="0" w:hanging="0"/>
        <w:rPr/>
      </w:pPr>
      <w:r>
        <w:rPr/>
        <w:t>​</w:t>
      </w:r>
    </w:p>
    <w:p>
      <w:pPr>
        <w:pStyle w:val="TextBody"/>
        <w:spacing w:before="0" w:after="0"/>
        <w:ind w:left="0" w:right="0" w:hanging="0"/>
        <w:rPr/>
      </w:pPr>
      <w:r>
        <w:rPr/>
        <w:t>​</w:t>
      </w:r>
    </w:p>
    <w:tbl>
      <w:tblPr>
        <w:tblW w:w="3380" w:type="dxa"/>
        <w:jc w:val="left"/>
        <w:tblInd w:w="0" w:type="dxa"/>
        <w:tblCellMar>
          <w:top w:w="0" w:type="dxa"/>
          <w:left w:w="0" w:type="dxa"/>
          <w:bottom w:w="0" w:type="dxa"/>
          <w:right w:w="0" w:type="dxa"/>
        </w:tblCellMar>
      </w:tblPr>
      <w:tblGrid>
        <w:gridCol w:w="124"/>
        <w:gridCol w:w="3256"/>
      </w:tblGrid>
      <w:tr>
        <w:trPr/>
        <w:tc>
          <w:tcPr>
            <w:tcW w:w="124" w:type="dxa"/>
            <w:tcBorders/>
            <w:shd w:fill="auto" w:val="clear"/>
            <w:vAlign w:val="center"/>
          </w:tcPr>
          <w:p>
            <w:pPr>
              <w:pStyle w:val="TableContents"/>
              <w:spacing w:before="0" w:after="0"/>
              <w:ind w:left="0" w:right="0" w:hanging="0"/>
              <w:rPr/>
            </w:pPr>
            <w:r>
              <w:rPr/>
              <w:t>​</w:t>
            </w:r>
          </w:p>
        </w:tc>
        <w:tc>
          <w:tcPr>
            <w:tcW w:w="32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120"/>
        <w:ind w:left="0" w:right="0" w:hanging="0"/>
        <w:jc w:val="right"/>
        <w:rPr>
          <w:rFonts w:ascii="Times New Roman;Times;serif" w:hAnsi="Times New Roman;Times;serif"/>
          <w:b/>
          <w:sz w:val="20"/>
        </w:rPr>
      </w:pPr>
      <w:bookmarkStart w:id="1653" w:name="kd-20220331xex31d2.htm"/>
      <w:bookmarkStart w:id="1654" w:name="kskd20220331xex31d2"/>
      <w:bookmarkEnd w:id="1653"/>
      <w:bookmarkEnd w:id="1654"/>
      <w:r>
        <w:rPr>
          <w:rFonts w:ascii="Times New Roman;Times;serif" w:hAnsi="Times New Roman;Times;serif"/>
          <w:b/>
          <w:sz w:val="20"/>
        </w:rPr>
        <w:t>Exhibit 31.2</w:t>
      </w:r>
    </w:p>
    <w:p>
      <w:pPr>
        <w:pStyle w:val="TextBody"/>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David B. Wyshner, certify that: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I have reviewed this Transition Report on Form 10-QT of Kyndryl Holdings, Inc.;</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for the registrant and have:</w:t>
      </w:r>
    </w:p>
    <w:p>
      <w:pPr>
        <w:pStyle w:val="TextBody"/>
        <w:spacing w:before="0" w:after="0"/>
        <w:ind w:left="0"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411" w:right="0" w:hanging="0"/>
        <w:rPr/>
      </w:pPr>
      <w:r>
        <w:rPr/>
        <w:t>​</w:t>
      </w:r>
    </w:p>
    <w:p>
      <w:pPr>
        <w:pStyle w:val="TextBody"/>
        <w:spacing w:before="0" w:after="0"/>
        <w:ind w:left="411" w:right="0" w:hanging="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13, 2022</w:t>
      </w:r>
    </w:p>
    <w:p>
      <w:pPr>
        <w:pStyle w:val="TextBody"/>
        <w:spacing w:before="0" w:after="0"/>
        <w:ind w:left="0" w:right="0" w:hanging="0"/>
        <w:rPr/>
      </w:pPr>
      <w:r>
        <w:rPr/>
        <w:t>​</w:t>
      </w:r>
    </w:p>
    <w:p>
      <w:pPr>
        <w:pStyle w:val="TextBody"/>
        <w:spacing w:before="0" w:after="0"/>
        <w:ind w:left="0" w:right="0" w:hanging="0"/>
        <w:rPr/>
      </w:pPr>
      <w:r>
        <w:rPr/>
        <w:t>​</w:t>
      </w:r>
    </w:p>
    <w:tbl>
      <w:tblPr>
        <w:tblW w:w="2540" w:type="dxa"/>
        <w:jc w:val="left"/>
        <w:tblInd w:w="0" w:type="dxa"/>
        <w:tblCellMar>
          <w:top w:w="0" w:type="dxa"/>
          <w:left w:w="0" w:type="dxa"/>
          <w:bottom w:w="0" w:type="dxa"/>
          <w:right w:w="0" w:type="dxa"/>
        </w:tblCellMar>
      </w:tblPr>
      <w:tblGrid>
        <w:gridCol w:w="124"/>
        <w:gridCol w:w="2416"/>
      </w:tblGrid>
      <w:tr>
        <w:trPr/>
        <w:tc>
          <w:tcPr>
            <w:tcW w:w="124" w:type="dxa"/>
            <w:tcBorders/>
            <w:shd w:fill="auto" w:val="clear"/>
            <w:vAlign w:val="center"/>
          </w:tcPr>
          <w:p>
            <w:pPr>
              <w:pStyle w:val="TableContents"/>
              <w:spacing w:before="0" w:after="0"/>
              <w:ind w:left="0" w:right="0" w:hanging="0"/>
              <w:rPr/>
            </w:pPr>
            <w:r>
              <w:rPr/>
              <w:t>​</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B. Wyshner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B. Wyshner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655" w:name="kd-20220331xex32d1.htm"/>
      <w:bookmarkStart w:id="1656" w:name="kskd20220331xex32d1"/>
      <w:bookmarkEnd w:id="1655"/>
      <w:bookmarkEnd w:id="1656"/>
      <w:r>
        <w:rPr>
          <w:rFonts w:ascii="Times New Roman;Times;serif" w:hAnsi="Times New Roman;Times;serif"/>
          <w:b/>
          <w:sz w:val="20"/>
        </w:rPr>
        <w:t>Exhibit 32.1</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connection with the Transition Report of Kyndryl Holdings, Inc. (the “Company”) on Form 10-QT for the transition period from January 1, 2022 to March 31, 2022,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13, 2022</w:t>
      </w:r>
    </w:p>
    <w:p>
      <w:pPr>
        <w:pStyle w:val="TextBody"/>
        <w:spacing w:before="0" w:after="0"/>
        <w:ind w:left="0" w:right="0" w:hanging="0"/>
        <w:rPr/>
      </w:pPr>
      <w:r>
        <w:rPr/>
        <w:t>​</w:t>
      </w:r>
    </w:p>
    <w:p>
      <w:pPr>
        <w:pStyle w:val="TextBody"/>
        <w:spacing w:before="0" w:after="0"/>
        <w:ind w:left="0" w:right="0" w:hanging="0"/>
        <w:rPr/>
      </w:pPr>
      <w:r>
        <w:rPr/>
        <w:t>​</w:t>
      </w:r>
    </w:p>
    <w:tbl>
      <w:tblPr>
        <w:tblW w:w="3380" w:type="dxa"/>
        <w:jc w:val="left"/>
        <w:tblInd w:w="0" w:type="dxa"/>
        <w:tblCellMar>
          <w:top w:w="0" w:type="dxa"/>
          <w:left w:w="0" w:type="dxa"/>
          <w:bottom w:w="0" w:type="dxa"/>
          <w:right w:w="0" w:type="dxa"/>
        </w:tblCellMar>
      </w:tblPr>
      <w:tblGrid>
        <w:gridCol w:w="124"/>
        <w:gridCol w:w="3256"/>
      </w:tblGrid>
      <w:tr>
        <w:trPr/>
        <w:tc>
          <w:tcPr>
            <w:tcW w:w="124" w:type="dxa"/>
            <w:tcBorders/>
            <w:shd w:fill="auto" w:val="clear"/>
            <w:vAlign w:val="center"/>
          </w:tcPr>
          <w:p>
            <w:pPr>
              <w:pStyle w:val="TableContents"/>
              <w:spacing w:before="0" w:after="0"/>
              <w:ind w:left="0" w:right="0" w:hanging="0"/>
              <w:rPr/>
            </w:pPr>
            <w:r>
              <w:rPr/>
              <w:t>​</w:t>
            </w:r>
          </w:p>
        </w:tc>
        <w:tc>
          <w:tcPr>
            <w:tcW w:w="325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1657" w:name="kd-20220331xex32d2.htm"/>
      <w:bookmarkStart w:id="1658" w:name="kskd20220331xex32d2"/>
      <w:bookmarkEnd w:id="1657"/>
      <w:bookmarkEnd w:id="1658"/>
      <w:r>
        <w:rPr>
          <w:rFonts w:ascii="Times New Roman;Times;serif" w:hAnsi="Times New Roman;Times;serif"/>
          <w:b/>
          <w:sz w:val="20"/>
        </w:rPr>
        <w:t>Exhibit 32.2</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In connection with the Transition Report of Kyndryl Holdings, Inc. (the “Company”) on Form 10-QT for the transition period from January 1, 2022 to March 31, 2022,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Date: May 13, 2022</w:t>
      </w:r>
    </w:p>
    <w:p>
      <w:pPr>
        <w:pStyle w:val="TextBody"/>
        <w:spacing w:before="0" w:after="0"/>
        <w:ind w:left="0" w:right="0" w:hanging="0"/>
        <w:rPr/>
      </w:pPr>
      <w:r>
        <w:rPr/>
        <w:t>​</w:t>
      </w:r>
    </w:p>
    <w:p>
      <w:pPr>
        <w:pStyle w:val="TextBody"/>
        <w:spacing w:before="0" w:after="0"/>
        <w:ind w:left="0" w:right="0" w:hanging="0"/>
        <w:rPr/>
      </w:pPr>
      <w:r>
        <w:rPr/>
        <w:t>​</w:t>
      </w:r>
    </w:p>
    <w:tbl>
      <w:tblPr>
        <w:tblW w:w="2540" w:type="dxa"/>
        <w:jc w:val="left"/>
        <w:tblInd w:w="0" w:type="dxa"/>
        <w:tblCellMar>
          <w:top w:w="0" w:type="dxa"/>
          <w:left w:w="0" w:type="dxa"/>
          <w:bottom w:w="0" w:type="dxa"/>
          <w:right w:w="0" w:type="dxa"/>
        </w:tblCellMar>
      </w:tblPr>
      <w:tblGrid>
        <w:gridCol w:w="124"/>
        <w:gridCol w:w="2416"/>
      </w:tblGrid>
      <w:tr>
        <w:trPr/>
        <w:tc>
          <w:tcPr>
            <w:tcW w:w="124" w:type="dxa"/>
            <w:tcBorders/>
            <w:shd w:fill="auto" w:val="clear"/>
            <w:vAlign w:val="center"/>
          </w:tcPr>
          <w:p>
            <w:pPr>
              <w:pStyle w:val="TableContents"/>
              <w:spacing w:before="0" w:after="0"/>
              <w:ind w:left="0" w:right="0" w:hanging="0"/>
              <w:rPr/>
            </w:pPr>
            <w:r>
              <w:rPr/>
              <w:t>​</w:t>
            </w:r>
          </w:p>
        </w:tc>
        <w:tc>
          <w:tcPr>
            <w:tcW w:w="24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B. Wyshner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B. Wyshner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shd w:fill="auto" w:val="clear"/>
            <w:vAlign w:val="center"/>
          </w:tcPr>
          <w:p>
            <w:pPr>
              <w:pStyle w:val="TableContents"/>
              <w:spacing w:before="0" w:after="0"/>
              <w:ind w:left="0" w:right="0" w:hanging="0"/>
              <w:rPr/>
            </w:pPr>
            <w:r>
              <w:rPr/>
              <w:t>​</w:t>
            </w:r>
          </w:p>
        </w:tc>
        <w:tc>
          <w:tcPr>
            <w:tcW w:w="24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(Principal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72/000110465921134456/tm2131654d1_ex2-1.htm" TargetMode="External"/><Relationship Id="rId3" Type="http://schemas.openxmlformats.org/officeDocument/2006/relationships/hyperlink" Target="https://www.sec.gov/Archives/edgar/data/1867072/000110465921134456/tm2131654d1_ex3-1.htm" TargetMode="External"/><Relationship Id="rId4" Type="http://schemas.openxmlformats.org/officeDocument/2006/relationships/hyperlink" Target="https://www.sec.gov/Archives/edgar/data/1867072/000110465921134456/tm2131654d1_ex3-2.htm" TargetMode="External"/><Relationship Id="rId5" Type="http://schemas.openxmlformats.org/officeDocument/2006/relationships/hyperlink" Target="https://www.sec.gov/Archives/edgar/data/1867072/000110465922027351/tm227537d1_ex10-2.htm" TargetMode="External"/><Relationship Id="rId6" Type="http://schemas.openxmlformats.org/officeDocument/2006/relationships/hyperlink" Target="https://www.sec.gov/Archives/edgar/data/1867072/000110465922027351/tm227537d1_ex10-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17302</Words>
  <CharactersWithSpaces>114480</CharactersWithSpaces>
  <Paragraphs>5359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