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d-20250930x10q.htm"/>
        <w:bookmarkStart w:id="1" w:name="kskd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fcb4af46_e1f5_4c4b_bf01_e655fcfb9712"/>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 TO _________________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cH_OGTl4OE-eMjTCP4blMA_6_2"/>
      <w:bookmarkStart w:id="4" w:name="Tc_J8z34-cacEewiCHLEr62Pw_6_0"/>
      <w:bookmarkStart w:id="5" w:name="Tc_VFiavyqa2UClrgQpyMHW0A_5_0"/>
      <w:bookmarkStart w:id="6" w:name="Tc_t1fXoPI8nk-EmYsdFeG49Q_2_2"/>
      <w:bookmarkStart w:id="7" w:name="Tc_iqcXKHdAv0KOhuLx2NRdew_2_0"/>
      <w:bookmarkStart w:id="8" w:name="_4a02b725_aae4_48a3_b51e_b6751091d035"/>
      <w:bookmarkStart w:id="9" w:name="Tc_cH_OGTl4OE-eMjTCP4blMA_6_2"/>
      <w:bookmarkStart w:id="10" w:name="Tc_J8z34-cacEewiCHLEr62Pw_6_0"/>
      <w:bookmarkStart w:id="11" w:name="Tc_VFiavyqa2UClrgQpyMHW0A_5_0"/>
      <w:bookmarkStart w:id="12" w:name="Tc_t1fXoPI8nk-EmYsdFeG49Q_2_2"/>
      <w:bookmarkStart w:id="13" w:name="Tc_iqcXKHdAv0KOhuLx2NRdew_2_0"/>
      <w:bookmarkStart w:id="14" w:name="_4a02b725_aae4_48a3_b51e_b6751091d035"/>
      <w:bookmarkEnd w:id="9"/>
      <w:bookmarkEnd w:id="10"/>
      <w:bookmarkEnd w:id="11"/>
      <w:bookmarkEnd w:id="12"/>
      <w:bookmarkEnd w:id="13"/>
      <w:bookmarkEnd w:id="14"/>
    </w:p>
    <w:tbl>
      <w:tblPr>
        <w:tblW w:w="7453" w:type="dxa"/>
        <w:jc w:val="left"/>
        <w:tblInd w:w="0" w:type="dxa"/>
        <w:tblLayout w:type="fixed"/>
        <w:tblCellMar>
          <w:top w:w="0" w:type="dxa"/>
          <w:left w:w="0" w:type="dxa"/>
          <w:bottom w:w="0" w:type="dxa"/>
          <w:right w:w="0" w:type="dxa"/>
        </w:tblCellMar>
      </w:tblPr>
      <w:tblGrid>
        <w:gridCol w:w="4321"/>
        <w:gridCol w:w="326"/>
        <w:gridCol w:w="28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855-596-3795</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DhUINW6I4Ea_55Mx1ilNmw_0_4"/>
      <w:bookmarkStart w:id="16" w:name="Tc_IZgubBuIikGbYLwlr4RFEA_0_2"/>
      <w:bookmarkStart w:id="17" w:name="Tc_QwlyE9haP0OkKMILbThDsA_0_0"/>
      <w:bookmarkStart w:id="18" w:name="_0da8eeab_f593_4d14_a62c_1c49a09957ef"/>
      <w:bookmarkStart w:id="19" w:name="Tc_DhUINW6I4Ea_55Mx1ilNmw_0_4"/>
      <w:bookmarkStart w:id="20" w:name="Tc_IZgubBuIikGbYLwlr4RFEA_0_2"/>
      <w:bookmarkStart w:id="21" w:name="Tc_QwlyE9haP0OkKMILbThDsA_0_0"/>
      <w:bookmarkStart w:id="22" w:name="_0da8eeab_f593_4d14_a62c_1c49a09957ef"/>
      <w:bookmarkEnd w:id="19"/>
      <w:bookmarkEnd w:id="20"/>
      <w:bookmarkEnd w:id="21"/>
      <w:bookmarkEnd w:id="22"/>
    </w:p>
    <w:tbl>
      <w:tblPr>
        <w:tblW w:w="7255" w:type="dxa"/>
        <w:jc w:val="left"/>
        <w:tblInd w:w="0" w:type="dxa"/>
        <w:tblLayout w:type="fixed"/>
        <w:tblCellMar>
          <w:top w:w="0" w:type="dxa"/>
          <w:left w:w="0" w:type="dxa"/>
          <w:bottom w:w="30" w:type="dxa"/>
          <w:right w:w="0" w:type="dxa"/>
        </w:tblCellMar>
      </w:tblPr>
      <w:tblGrid>
        <w:gridCol w:w="3076"/>
        <w:gridCol w:w="326"/>
        <w:gridCol w:w="1426"/>
        <w:gridCol w:w="326"/>
        <w:gridCol w:w="2101"/>
      </w:tblGrid>
      <w:tr>
        <w:trPr/>
        <w:tc>
          <w:tcPr>
            <w:tcW w:w="30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21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$0.01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42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10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47" w:type="dxa"/>
        <w:jc w:val="left"/>
        <w:tblInd w:w="0" w:type="dxa"/>
        <w:tblLayout w:type="fixed"/>
        <w:tblCellMar>
          <w:top w:w="0" w:type="dxa"/>
          <w:left w:w="0" w:type="dxa"/>
          <w:bottom w:w="0" w:type="dxa"/>
          <w:right w:w="0" w:type="dxa"/>
        </w:tblCellMar>
      </w:tblPr>
      <w:tblGrid>
        <w:gridCol w:w="1891"/>
        <w:gridCol w:w="2356"/>
      </w:tblGrid>
      <w:tr>
        <w:trPr/>
        <w:tc>
          <w:tcPr>
            <w:tcW w:w="1891"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4"/>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as of October 29, 2025 was 228,564,347.</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TOC"/>
      <w:bookmarkStart w:id="24" w:name="_e1bf2c1a_d7b5_4fa7_95d5_bc7d0f31bdd1"/>
      <w:bookmarkEnd w:id="23"/>
      <w:bookmarkEnd w:id="24"/>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155690" cy="14605"/>
                      <wp:effectExtent l="0" t="0" r="0" b="0"/>
                      <wp:wrapNone/>
                      <wp:docPr id="4" name="Frame4"/>
                      <a:graphic xmlns:a="http://schemas.openxmlformats.org/drawingml/2006/main">
                        <a:graphicData uri="http://schemas.microsoft.com/office/word/2010/wordprocessingShape">
                          <wps:wsp>
                            <wps:cNvSpPr txBox="1"/>
                            <wps:spPr>
                              <a:xfrm>
                                <a:off x="0" y="0"/>
                                <a:ext cx="6155690"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left"/>
              <w:rPr/>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ConsolidatedFinancialStatements_746">
              <w:r>
                <w:rPr>
                  <w:rStyle w:val="InternetLink"/>
                  <w:rFonts w:ascii="Times New Roman;Times;serif" w:hAnsi="Times New Roman;Times;serif"/>
                  <w:b w:val="false"/>
                  <w:i w:val="false"/>
                  <w:caps w:val="false"/>
                  <w:smallCaps w:val="false"/>
                  <w:sz w:val="20"/>
                </w:rPr>
                <w:t>Consolidated Income Statement for the three and six months ended September 30,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and six months ended September 30,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CONSOLIDATEDBALANCESHEET_346457">
              <w:r>
                <w:rPr>
                  <w:rStyle w:val="InternetLink"/>
                  <w:rFonts w:ascii="Times New Roman;Times;serif" w:hAnsi="Times New Roman;Times;serif"/>
                  <w:b w:val="false"/>
                  <w:i w:val="false"/>
                  <w:caps w:val="false"/>
                  <w:smallCaps w:val="false"/>
                  <w:sz w:val="20"/>
                </w:rPr>
                <w:t>Consolidated Balance Sheet at September 30, 2025 and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Cash_Flows">
              <w:r>
                <w:rPr>
                  <w:rStyle w:val="InternetLink"/>
                  <w:rFonts w:ascii="Times New Roman;Times;serif" w:hAnsi="Times New Roman;Times;serif"/>
                  <w:b w:val="false"/>
                  <w:i w:val="false"/>
                  <w:caps w:val="false"/>
                  <w:smallCaps w:val="false"/>
                  <w:sz w:val="20"/>
                </w:rPr>
                <w:t>Consolidated Statement of Cash Flows for the six months ended September 30,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 xml:space="preserve">Consolidated Statement of Equity for the three and six months ended September 30, 2025 and 2024 </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Use of Proceeds, and Issuer Purchases of Equity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PartIFinancialInformation_874614"/>
      <w:bookmarkStart w:id="26" w:name="_8709e1ab_6179_4d2c_8d33_f9dfac7eabd6"/>
      <w:bookmarkStart w:id="27" w:name="Item1ConsolidatedFinancialStatements_746"/>
      <w:bookmarkEnd w:id="25"/>
      <w:bookmarkEnd w:id="26"/>
      <w:bookmarkEnd w:id="27"/>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bidi w:val="0"/>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Normal"/>
        <w:bidi w:val="0"/>
        <w:spacing w:before="0" w:after="0"/>
        <w:jc w:val="left"/>
        <w:rPr>
          <w:sz w:val="4"/>
          <w:szCs w:val="4"/>
        </w:rPr>
      </w:pPr>
      <w:r>
        <w:rPr>
          <w:sz w:val="4"/>
          <w:szCs w:val="4"/>
        </w:rPr>
      </w:r>
      <w:bookmarkStart w:id="30" w:name="Tc_APjki3tR8k-PBywqZrovjg_21_0"/>
      <w:bookmarkStart w:id="31" w:name="Tc_15H1FIJ8cUyX25XncIfcAg_20_0"/>
      <w:bookmarkStart w:id="32" w:name="Tc_wUtRpr9u40S9noVqOtbDYw_18_11"/>
      <w:bookmarkStart w:id="33" w:name="Tc_JaWydSMZ9keZcmAESUNNGA_18_8"/>
      <w:bookmarkStart w:id="34" w:name="Tc_mVCUeRESXEiIWxdfxEceFg_18_5"/>
      <w:bookmarkStart w:id="35" w:name="Tc_YdCeVZsFj0WRK37I4PM7QA_18_2"/>
      <w:bookmarkStart w:id="36" w:name="Tc_ntNjl7_74UmfmFOxQyXc0g_18_0"/>
      <w:bookmarkStart w:id="37" w:name="Tc_ZsIt3jmnMkShz-FaaosmTA_17_11"/>
      <w:bookmarkStart w:id="38" w:name="Tc_RCUYteYWcEytfBBON-RyNg_17_8"/>
      <w:bookmarkStart w:id="39" w:name="Tc_P0JUvs4iK0ab140WfphFBA_17_5"/>
      <w:bookmarkStart w:id="40" w:name="Tc_VUr6Khsd8UOesZCMIcc3tQ_17_2"/>
      <w:bookmarkStart w:id="41" w:name="Tc_Vdf5m6cowEaE8hdxmu9ktA_17_0"/>
      <w:bookmarkStart w:id="42" w:name="Tc_8XcWsEyYrEmSjvKWzBcX-A_15_11"/>
      <w:bookmarkStart w:id="43" w:name="Tc_wT2FnCiSTEOAc2AcOMxp6g_15_8"/>
      <w:bookmarkStart w:id="44" w:name="Tc_eywORxppgkaVy84TMilMeQ_15_5"/>
      <w:bookmarkStart w:id="45" w:name="Tc_DJ6YvnzXbkmOh7WU5_V-uw_15_2"/>
      <w:bookmarkStart w:id="46" w:name="Tc_QSd5qD5eRkaLolR3Dd-ffg_15_0"/>
      <w:bookmarkStart w:id="47" w:name="Tc_Ou30G_ElTE2ARjOZqMhJ6w_14_11"/>
      <w:bookmarkStart w:id="48" w:name="Tc_T5clC2go00qo4M_Ps26QAg_14_8"/>
      <w:bookmarkStart w:id="49" w:name="Tc_pjL3METuDEqqjlLGaA8sLQ_14_5"/>
      <w:bookmarkStart w:id="50" w:name="Tc_XtU-cc2uxkyVxLYkAh_ihA_14_2"/>
      <w:bookmarkStart w:id="51" w:name="Tc_kzghCsazxkiNl-0SK_5vfw_14_0"/>
      <w:bookmarkStart w:id="52" w:name="Tc__nxjsSNxj0iptl9GE-semw_13_11"/>
      <w:bookmarkStart w:id="53" w:name="Tc_iy7l9I47h0W33bYhoYiZdQ_13_8"/>
      <w:bookmarkStart w:id="54" w:name="Tc_StZxUxgvAkiN35iXO72ESQ_13_5"/>
      <w:bookmarkStart w:id="55" w:name="Tc_iV5uFbQeqkmmCxQrdavhJQ_13_2"/>
      <w:bookmarkStart w:id="56" w:name="Tc_bHzFZkOCWkihELTa5PIA-A_13_0"/>
      <w:bookmarkStart w:id="57" w:name="Tc_9QSt9Auw8UOjxdeXb8vDPQ_11_11"/>
      <w:bookmarkStart w:id="58" w:name="Tc_qO2wBTQMqUadp8RZ2FqrTw_11_8"/>
      <w:bookmarkStart w:id="59" w:name="Tc_JbpduaN2aUqvQuH_5fCCZQ_11_5"/>
      <w:bookmarkStart w:id="60" w:name="Tc_fRr4j4QiUkKtaxy_wnMpVg_11_2"/>
      <w:bookmarkStart w:id="61" w:name="Tc_Wds_TF_yLESmhGuwoYjI2g_11_0"/>
      <w:bookmarkStart w:id="62" w:name="Tc_IdLCq8YaM0eXXEk35AL4VQ_10_0"/>
      <w:bookmarkStart w:id="63" w:name="Tc_s4L1219gNUW-gfH_txYaOg_9_0"/>
      <w:bookmarkStart w:id="64" w:name="Tc_g6I1OXuTXEagKaAbx1gB_A_8_9"/>
      <w:bookmarkStart w:id="65" w:name="Tc_dNfmi5gsTEePjnxTp9ldWg_8_6"/>
      <w:bookmarkStart w:id="66" w:name="Tc_dfFXiKj0qEeqa8CNXspOiw_8_3"/>
      <w:bookmarkStart w:id="67" w:name="Tc__8a_47JCfU6T4yVngTVJzQ_8_0"/>
      <w:bookmarkStart w:id="68" w:name="Tc_qWzhxQFQPEmd6yxDnm4_hw_7_0"/>
      <w:bookmarkStart w:id="69" w:name="Tc_eajri_djfkiOJWgWtnRJ4w_6_0"/>
      <w:bookmarkStart w:id="70" w:name="Tc_h2bk_O-jq0-SBYpZAhuv3A_5_11"/>
      <w:bookmarkStart w:id="71" w:name="Tc_WCyScYwQqUyNIoG-MkSwYA_5_8"/>
      <w:bookmarkStart w:id="72" w:name="Tc_TheN1GN3dEmiCc1viYD97Q_5_5"/>
      <w:bookmarkStart w:id="73" w:name="Tc_trNWx-6quE-s77vFzYskEw_5_2"/>
      <w:bookmarkStart w:id="74" w:name="Tc_hvvjylVQW0uuJJKDzOEzaA_5_0"/>
      <w:bookmarkStart w:id="75" w:name="Tc_9TzP2coYxUarGr8BzRwozg_3_11"/>
      <w:bookmarkStart w:id="76" w:name="Tc_pKQKBT5Aa02LtLOz1lUHZA_3_8"/>
      <w:bookmarkStart w:id="77" w:name="Tc_au1lXebTUUCIqLUvYG4LRw_3_5"/>
      <w:bookmarkStart w:id="78" w:name="Tc_YOVsAB1tzU6nYD7vmctfyQ_3_2"/>
      <w:bookmarkStart w:id="79" w:name="Tc_8YYN0kf58Umtz2nJMn0yjg_3_0"/>
      <w:bookmarkStart w:id="80" w:name="Tc_azEFxlVzfUqNNRqYQeRZWg_2_11"/>
      <w:bookmarkStart w:id="81" w:name="Tc_vTs-u7k6vECCUhpN9I3wsw_2_8"/>
      <w:bookmarkStart w:id="82" w:name="Tc_D3gypcLVVkOPkWW6idCfeA_2_5"/>
      <w:bookmarkStart w:id="83" w:name="Tc_rrMglUWj8USPuCBar8Ezeg_2_2"/>
      <w:bookmarkStart w:id="84" w:name="Tc_MDYTgDKLiE-nNQ2iRY065w_1_8"/>
      <w:bookmarkStart w:id="85" w:name="Tc_pRIrze-kq0u8BmkFjLyksA_1_2"/>
      <w:bookmarkStart w:id="86" w:name="_c443ebeb_d135_46b7_af73_8728d7f26085"/>
      <w:bookmarkStart w:id="87" w:name="Tc_APjki3tR8k-PBywqZrovjg_21_0"/>
      <w:bookmarkStart w:id="88" w:name="Tc_15H1FIJ8cUyX25XncIfcAg_20_0"/>
      <w:bookmarkStart w:id="89" w:name="Tc_wUtRpr9u40S9noVqOtbDYw_18_11"/>
      <w:bookmarkStart w:id="90" w:name="Tc_JaWydSMZ9keZcmAESUNNGA_18_8"/>
      <w:bookmarkStart w:id="91" w:name="Tc_mVCUeRESXEiIWxdfxEceFg_18_5"/>
      <w:bookmarkStart w:id="92" w:name="Tc_YdCeVZsFj0WRK37I4PM7QA_18_2"/>
      <w:bookmarkStart w:id="93" w:name="Tc_ntNjl7_74UmfmFOxQyXc0g_18_0"/>
      <w:bookmarkStart w:id="94" w:name="Tc_ZsIt3jmnMkShz-FaaosmTA_17_11"/>
      <w:bookmarkStart w:id="95" w:name="Tc_RCUYteYWcEytfBBON-RyNg_17_8"/>
      <w:bookmarkStart w:id="96" w:name="Tc_P0JUvs4iK0ab140WfphFBA_17_5"/>
      <w:bookmarkStart w:id="97" w:name="Tc_VUr6Khsd8UOesZCMIcc3tQ_17_2"/>
      <w:bookmarkStart w:id="98" w:name="Tc_Vdf5m6cowEaE8hdxmu9ktA_17_0"/>
      <w:bookmarkStart w:id="99" w:name="Tc_8XcWsEyYrEmSjvKWzBcX-A_15_11"/>
      <w:bookmarkStart w:id="100" w:name="Tc_wT2FnCiSTEOAc2AcOMxp6g_15_8"/>
      <w:bookmarkStart w:id="101" w:name="Tc_eywORxppgkaVy84TMilMeQ_15_5"/>
      <w:bookmarkStart w:id="102" w:name="Tc_DJ6YvnzXbkmOh7WU5_V-uw_15_2"/>
      <w:bookmarkStart w:id="103" w:name="Tc_QSd5qD5eRkaLolR3Dd-ffg_15_0"/>
      <w:bookmarkStart w:id="104" w:name="Tc_Ou30G_ElTE2ARjOZqMhJ6w_14_11"/>
      <w:bookmarkStart w:id="105" w:name="Tc_T5clC2go00qo4M_Ps26QAg_14_8"/>
      <w:bookmarkStart w:id="106" w:name="Tc_pjL3METuDEqqjlLGaA8sLQ_14_5"/>
      <w:bookmarkStart w:id="107" w:name="Tc_XtU-cc2uxkyVxLYkAh_ihA_14_2"/>
      <w:bookmarkStart w:id="108" w:name="Tc_kzghCsazxkiNl-0SK_5vfw_14_0"/>
      <w:bookmarkStart w:id="109" w:name="Tc__nxjsSNxj0iptl9GE-semw_13_11"/>
      <w:bookmarkStart w:id="110" w:name="Tc_iy7l9I47h0W33bYhoYiZdQ_13_8"/>
      <w:bookmarkStart w:id="111" w:name="Tc_StZxUxgvAkiN35iXO72ESQ_13_5"/>
      <w:bookmarkStart w:id="112" w:name="Tc_iV5uFbQeqkmmCxQrdavhJQ_13_2"/>
      <w:bookmarkStart w:id="113" w:name="Tc_bHzFZkOCWkihELTa5PIA-A_13_0"/>
      <w:bookmarkStart w:id="114" w:name="Tc_9QSt9Auw8UOjxdeXb8vDPQ_11_11"/>
      <w:bookmarkStart w:id="115" w:name="Tc_qO2wBTQMqUadp8RZ2FqrTw_11_8"/>
      <w:bookmarkStart w:id="116" w:name="Tc_JbpduaN2aUqvQuH_5fCCZQ_11_5"/>
      <w:bookmarkStart w:id="117" w:name="Tc_fRr4j4QiUkKtaxy_wnMpVg_11_2"/>
      <w:bookmarkStart w:id="118" w:name="Tc_Wds_TF_yLESmhGuwoYjI2g_11_0"/>
      <w:bookmarkStart w:id="119" w:name="Tc_IdLCq8YaM0eXXEk35AL4VQ_10_0"/>
      <w:bookmarkStart w:id="120" w:name="Tc_s4L1219gNUW-gfH_txYaOg_9_0"/>
      <w:bookmarkStart w:id="121" w:name="Tc_g6I1OXuTXEagKaAbx1gB_A_8_9"/>
      <w:bookmarkStart w:id="122" w:name="Tc_dNfmi5gsTEePjnxTp9ldWg_8_6"/>
      <w:bookmarkStart w:id="123" w:name="Tc_dfFXiKj0qEeqa8CNXspOiw_8_3"/>
      <w:bookmarkStart w:id="124" w:name="Tc__8a_47JCfU6T4yVngTVJzQ_8_0"/>
      <w:bookmarkStart w:id="125" w:name="Tc_qWzhxQFQPEmd6yxDnm4_hw_7_0"/>
      <w:bookmarkStart w:id="126" w:name="Tc_eajri_djfkiOJWgWtnRJ4w_6_0"/>
      <w:bookmarkStart w:id="127" w:name="Tc_h2bk_O-jq0-SBYpZAhuv3A_5_11"/>
      <w:bookmarkStart w:id="128" w:name="Tc_WCyScYwQqUyNIoG-MkSwYA_5_8"/>
      <w:bookmarkStart w:id="129" w:name="Tc_TheN1GN3dEmiCc1viYD97Q_5_5"/>
      <w:bookmarkStart w:id="130" w:name="Tc_trNWx-6quE-s77vFzYskEw_5_2"/>
      <w:bookmarkStart w:id="131" w:name="Tc_hvvjylVQW0uuJJKDzOEzaA_5_0"/>
      <w:bookmarkStart w:id="132" w:name="Tc_9TzP2coYxUarGr8BzRwozg_3_11"/>
      <w:bookmarkStart w:id="133" w:name="Tc_pKQKBT5Aa02LtLOz1lUHZA_3_8"/>
      <w:bookmarkStart w:id="134" w:name="Tc_au1lXebTUUCIqLUvYG4LRw_3_5"/>
      <w:bookmarkStart w:id="135" w:name="Tc_YOVsAB1tzU6nYD7vmctfyQ_3_2"/>
      <w:bookmarkStart w:id="136" w:name="Tc_8YYN0kf58Umtz2nJMn0yjg_3_0"/>
      <w:bookmarkStart w:id="137" w:name="Tc_azEFxlVzfUqNNRqYQeRZWg_2_11"/>
      <w:bookmarkStart w:id="138" w:name="Tc_vTs-u7k6vECCUhpN9I3wsw_2_8"/>
      <w:bookmarkStart w:id="139" w:name="Tc_D3gypcLVVkOPkWW6idCfeA_2_5"/>
      <w:bookmarkStart w:id="140" w:name="Tc_rrMglUWj8USPuCBar8Ezeg_2_2"/>
      <w:bookmarkStart w:id="141" w:name="Tc_MDYTgDKLiE-nNQ2iRY065w_1_8"/>
      <w:bookmarkStart w:id="142" w:name="Tc_pRIrze-kq0u8BmkFjLyksA_1_2"/>
      <w:bookmarkStart w:id="143" w:name="_c443ebeb_d135_46b7_af73_8728d7f2608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tbl>
      <w:tblPr>
        <w:tblW w:w="9754" w:type="dxa"/>
        <w:jc w:val="left"/>
        <w:tblInd w:w="0" w:type="dxa"/>
        <w:tblLayout w:type="fixed"/>
        <w:tblCellMar>
          <w:top w:w="0" w:type="dxa"/>
          <w:left w:w="0" w:type="dxa"/>
          <w:bottom w:w="0" w:type="dxa"/>
          <w:right w:w="0" w:type="dxa"/>
        </w:tblCellMar>
      </w:tblPr>
      <w:tblGrid>
        <w:gridCol w:w="3796"/>
        <w:gridCol w:w="326"/>
        <w:gridCol w:w="295"/>
        <w:gridCol w:w="799"/>
        <w:gridCol w:w="456"/>
        <w:gridCol w:w="358"/>
        <w:gridCol w:w="820"/>
        <w:gridCol w:w="326"/>
        <w:gridCol w:w="265"/>
        <w:gridCol w:w="718"/>
        <w:gridCol w:w="410"/>
        <w:gridCol w:w="322"/>
        <w:gridCol w:w="863"/>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7325" cy="175260"/>
                      <wp:effectExtent l="0" t="0" r="0" b="0"/>
                      <wp:wrapNone/>
                      <wp:docPr id="8" name="Frame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07365" cy="175260"/>
                      <wp:effectExtent l="0" t="0" r="0" b="0"/>
                      <wp:wrapNone/>
                      <wp:docPr id="9" name="Frame9"/>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89560" cy="175260"/>
                      <wp:effectExtent l="0" t="0" r="0" b="0"/>
                      <wp:wrapNone/>
                      <wp:docPr id="10" name="Frame10"/>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7330" cy="175260"/>
                      <wp:effectExtent l="0" t="0" r="0" b="0"/>
                      <wp:wrapNone/>
                      <wp:docPr id="11" name="Frame11"/>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0700" cy="175260"/>
                      <wp:effectExtent l="0" t="0" r="0" b="0"/>
                      <wp:wrapNone/>
                      <wp:docPr id="12" name="Frame12"/>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8275" cy="175260"/>
                      <wp:effectExtent l="0" t="0" r="0" b="0"/>
                      <wp:wrapNone/>
                      <wp:docPr id="14" name="Frame1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55930" cy="175260"/>
                      <wp:effectExtent l="0" t="0" r="0" b="0"/>
                      <wp:wrapNone/>
                      <wp:docPr id="15" name="Frame15"/>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0350" cy="175260"/>
                      <wp:effectExtent l="0" t="0" r="0" b="0"/>
                      <wp:wrapNone/>
                      <wp:docPr id="16" name="Frame16"/>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4470" cy="175260"/>
                      <wp:effectExtent l="0" t="0" r="0" b="0"/>
                      <wp:wrapNone/>
                      <wp:docPr id="17" name="Frame1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48005" cy="175260"/>
                      <wp:effectExtent l="0" t="0" r="0" b="0"/>
                      <wp:wrapNone/>
                      <wp:docPr id="18" name="Frame18"/>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center"/>
              <w:rPr/>
            </w:pPr>
            <w:r>
              <w:rPr/>
              <w:t>​</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6" w:type="dxa"/>
            <w:tcBorders/>
            <w:vAlign w:val="center"/>
          </w:tcPr>
          <w:p>
            <w:pPr>
              <w:pStyle w:val="TableContents"/>
              <w:bidi w:val="0"/>
              <w:spacing w:before="0" w:after="0"/>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0"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5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10"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7,454</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left"/>
              <w:rPr/>
            </w:pPr>
            <w:r>
              <w:rPr/>
              <w:t>​</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Provision for income taxes </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6" w:type="dxa"/>
            <w:tcBorders/>
            <w:vAlign w:val="center"/>
          </w:tcPr>
          <w:p>
            <w:pPr>
              <w:pStyle w:val="TableContents"/>
              <w:bidi w:val="0"/>
              <w:spacing w:before="0" w:after="0"/>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10"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pPr>
            <w:r>
              <w:rPr/>
              <w:t>​</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basic shares outstanding</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456" w:type="dxa"/>
            <w:tcBorders/>
            <w:vAlign w:val="center"/>
          </w:tcPr>
          <w:p>
            <w:pPr>
              <w:pStyle w:val="TableContents"/>
              <w:bidi w:val="0"/>
              <w:spacing w:before="0" w:after="0"/>
              <w:ind w:left="0" w:right="0" w:hanging="0"/>
              <w:jc w:val="left"/>
              <w:rPr/>
            </w:pPr>
            <w:r>
              <w:rPr/>
              <w:t>​</w:t>
            </w:r>
          </w:p>
        </w:tc>
        <w:tc>
          <w:tcPr>
            <w:tcW w:w="358" w:type="dxa"/>
            <w:tcBorders/>
            <w:vAlign w:val="center"/>
          </w:tcPr>
          <w:p>
            <w:pPr>
              <w:pStyle w:val="TableContents"/>
              <w:bidi w:val="0"/>
              <w:spacing w:before="0" w:after="0"/>
              <w:ind w:left="0" w:right="0" w:hanging="0"/>
              <w:jc w:val="left"/>
              <w:rPr/>
            </w:pPr>
            <w:r>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c>
          <w:tcPr>
            <w:tcW w:w="410"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diluted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w:t>
            </w:r>
          </w:p>
        </w:tc>
        <w:tc>
          <w:tcPr>
            <w:tcW w:w="410"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231.1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4" w:name="_38151cf4_87d7_4635_ba61_b2f4456a6d70"/>
      <w:bookmarkEnd w:id="144"/>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45" w:name="COMBINEDSTATEMENTOFCOMPREHENSIVEINCOME_3"/>
      <w:bookmarkStart w:id="146" w:name="INDEXOCI"/>
      <w:bookmarkEnd w:id="145"/>
      <w:bookmarkEnd w:id="146"/>
      <w:r>
        <w:rPr>
          <w:rFonts w:ascii="Times New Roman;Times;serif" w:hAnsi="Times New Roman;Times;serif"/>
          <w:b/>
          <w:sz w:val="20"/>
        </w:rPr>
        <w:t>CONSOLIDATED STATEMENT OF COMPREHENSIVE INCOME (LOSS)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7" w:name="Tc_NFNVWU_H7kCK4mrwsCH4fw_17_11"/>
      <w:bookmarkStart w:id="148" w:name="Tc_t2Hz0N3Wj0GrOm8jljrh7w_17_8"/>
      <w:bookmarkStart w:id="149" w:name="Tc_KTX2y_ITRkyxdOOTpra-rA_17_5"/>
      <w:bookmarkStart w:id="150" w:name="Tc_HRJvBhpYiEmP7BHe8vvA8Q_17_2"/>
      <w:bookmarkStart w:id="151" w:name="Tc_K8uaGbjuu0WNd1oASWiP7w_17_0"/>
      <w:bookmarkStart w:id="152" w:name="Tc_nElT80XxQE2DKVFHpulsTw_16_0"/>
      <w:bookmarkStart w:id="153" w:name="Tc_vpzd1Nn0Bk69BmB4D3p7FA_15_0"/>
      <w:bookmarkStart w:id="154" w:name="Tc_WO8xyBkB1Em80JRyVetmcQ_14_0"/>
      <w:bookmarkStart w:id="155" w:name="Tc_vpQDUYqzz0mOJr3r5voW6g_13_0"/>
      <w:bookmarkStart w:id="156" w:name="Tc_rLzGI6SIJUiR9Np6BMLj7g_12_0"/>
      <w:bookmarkStart w:id="157" w:name="Tc_7k0cT1pJkEqDUFHy1yzezA_11_12"/>
      <w:bookmarkStart w:id="158" w:name="Tc_4Mi-0VLqUEK-ZbFhEqIHcw_11_6"/>
      <w:bookmarkStart w:id="159" w:name="Tc_RiTOQsJvCkWMMQrn9NxHqw_11_0"/>
      <w:bookmarkStart w:id="160" w:name="Tc_qHioXc_NvEStk4-Cdx6zdA_10_0"/>
      <w:bookmarkStart w:id="161" w:name="Tc_L2le1-cxQEWPRI2gwEAC2w_9_0"/>
      <w:bookmarkStart w:id="162" w:name="Tc_ptrsAgBFuEeylHIYR5jmNg_8_0"/>
      <w:bookmarkStart w:id="163" w:name="Tc_tKrnkvV2AE69-_RHZTThqw_7_0"/>
      <w:bookmarkStart w:id="164" w:name="Tc_quculepKO0mYHGg8etYV6g_6_0"/>
      <w:bookmarkStart w:id="165" w:name="Tc_Dxh03iI0xUSdT5LcRVRWaQ_5_0"/>
      <w:bookmarkStart w:id="166" w:name="Tc_ohA3C2cXSk-v6Siv4BBthQ_4_0"/>
      <w:bookmarkStart w:id="167" w:name="Tc_mT8-seZTJUGQYAuObbF12w_3_11"/>
      <w:bookmarkStart w:id="168" w:name="Tc_ugH9dWa5WkKp5yz7QyPdKg_3_8"/>
      <w:bookmarkStart w:id="169" w:name="Tc_B6YGTE8MBk-KtKFQj9r3gw_3_5"/>
      <w:bookmarkStart w:id="170" w:name="Tc_3ttd_qw7GEi9AEbaJV_TqA_3_2"/>
      <w:bookmarkStart w:id="171" w:name="Tc_4_rYuLsZe0mgG2ASL0NyGA_3_0"/>
      <w:bookmarkStart w:id="172" w:name="Tc_dpTP-OcetUeLaoMQg1v2GA_2_11"/>
      <w:bookmarkStart w:id="173" w:name="Tc_2mKGTDUphUO4LMwvVoNUXg_2_8"/>
      <w:bookmarkStart w:id="174" w:name="Tc_PjSFiJblYkyv0KTVcM2VZA_2_5"/>
      <w:bookmarkStart w:id="175" w:name="Tc_GylcFzY0ykCnlYGiMAMhPg_2_2"/>
      <w:bookmarkStart w:id="176" w:name="Tc_-bbXsFs7fkiOJyo_3NDEhA_1_8"/>
      <w:bookmarkStart w:id="177" w:name="Tc_jYfcSpgNjUGuBjGU5VIxeQ_1_2"/>
      <w:bookmarkStart w:id="178" w:name="_243a285c_ff28_4e14_ae6f_650582907f46"/>
      <w:bookmarkStart w:id="179" w:name="Tc_NFNVWU_H7kCK4mrwsCH4fw_17_11"/>
      <w:bookmarkStart w:id="180" w:name="Tc_t2Hz0N3Wj0GrOm8jljrh7w_17_8"/>
      <w:bookmarkStart w:id="181" w:name="Tc_KTX2y_ITRkyxdOOTpra-rA_17_5"/>
      <w:bookmarkStart w:id="182" w:name="Tc_HRJvBhpYiEmP7BHe8vvA8Q_17_2"/>
      <w:bookmarkStart w:id="183" w:name="Tc_K8uaGbjuu0WNd1oASWiP7w_17_0"/>
      <w:bookmarkStart w:id="184" w:name="Tc_nElT80XxQE2DKVFHpulsTw_16_0"/>
      <w:bookmarkStart w:id="185" w:name="Tc_vpzd1Nn0Bk69BmB4D3p7FA_15_0"/>
      <w:bookmarkStart w:id="186" w:name="Tc_WO8xyBkB1Em80JRyVetmcQ_14_0"/>
      <w:bookmarkStart w:id="187" w:name="Tc_vpQDUYqzz0mOJr3r5voW6g_13_0"/>
      <w:bookmarkStart w:id="188" w:name="Tc_rLzGI6SIJUiR9Np6BMLj7g_12_0"/>
      <w:bookmarkStart w:id="189" w:name="Tc_7k0cT1pJkEqDUFHy1yzezA_11_12"/>
      <w:bookmarkStart w:id="190" w:name="Tc_4Mi-0VLqUEK-ZbFhEqIHcw_11_6"/>
      <w:bookmarkStart w:id="191" w:name="Tc_RiTOQsJvCkWMMQrn9NxHqw_11_0"/>
      <w:bookmarkStart w:id="192" w:name="Tc_qHioXc_NvEStk4-Cdx6zdA_10_0"/>
      <w:bookmarkStart w:id="193" w:name="Tc_L2le1-cxQEWPRI2gwEAC2w_9_0"/>
      <w:bookmarkStart w:id="194" w:name="Tc_ptrsAgBFuEeylHIYR5jmNg_8_0"/>
      <w:bookmarkStart w:id="195" w:name="Tc_tKrnkvV2AE69-_RHZTThqw_7_0"/>
      <w:bookmarkStart w:id="196" w:name="Tc_quculepKO0mYHGg8etYV6g_6_0"/>
      <w:bookmarkStart w:id="197" w:name="Tc_Dxh03iI0xUSdT5LcRVRWaQ_5_0"/>
      <w:bookmarkStart w:id="198" w:name="Tc_ohA3C2cXSk-v6Siv4BBthQ_4_0"/>
      <w:bookmarkStart w:id="199" w:name="Tc_mT8-seZTJUGQYAuObbF12w_3_11"/>
      <w:bookmarkStart w:id="200" w:name="Tc_ugH9dWa5WkKp5yz7QyPdKg_3_8"/>
      <w:bookmarkStart w:id="201" w:name="Tc_B6YGTE8MBk-KtKFQj9r3gw_3_5"/>
      <w:bookmarkStart w:id="202" w:name="Tc_3ttd_qw7GEi9AEbaJV_TqA_3_2"/>
      <w:bookmarkStart w:id="203" w:name="Tc_4_rYuLsZe0mgG2ASL0NyGA_3_0"/>
      <w:bookmarkStart w:id="204" w:name="Tc_dpTP-OcetUeLaoMQg1v2GA_2_11"/>
      <w:bookmarkStart w:id="205" w:name="Tc_2mKGTDUphUO4LMwvVoNUXg_2_8"/>
      <w:bookmarkStart w:id="206" w:name="Tc_PjSFiJblYkyv0KTVcM2VZA_2_5"/>
      <w:bookmarkStart w:id="207" w:name="Tc_GylcFzY0ykCnlYGiMAMhPg_2_2"/>
      <w:bookmarkStart w:id="208" w:name="Tc_-bbXsFs7fkiOJyo_3NDEhA_1_8"/>
      <w:bookmarkStart w:id="209" w:name="Tc_jYfcSpgNjUGuBjGU5VIxeQ_1_2"/>
      <w:bookmarkStart w:id="210" w:name="_243a285c_ff28_4e14_ae6f_650582907f46"/>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tbl>
      <w:tblPr>
        <w:tblW w:w="10205" w:type="dxa"/>
        <w:jc w:val="left"/>
        <w:tblInd w:w="0" w:type="dxa"/>
        <w:tblLayout w:type="fixed"/>
        <w:tblCellMar>
          <w:top w:w="0" w:type="dxa"/>
          <w:left w:w="0" w:type="dxa"/>
          <w:bottom w:w="0" w:type="dxa"/>
          <w:right w:w="0" w:type="dxa"/>
        </w:tblCellMar>
      </w:tblPr>
      <w:tblGrid>
        <w:gridCol w:w="5181"/>
        <w:gridCol w:w="326"/>
        <w:gridCol w:w="305"/>
        <w:gridCol w:w="612"/>
        <w:gridCol w:w="472"/>
        <w:gridCol w:w="305"/>
        <w:gridCol w:w="627"/>
        <w:gridCol w:w="109"/>
        <w:gridCol w:w="274"/>
        <w:gridCol w:w="683"/>
        <w:gridCol w:w="424"/>
        <w:gridCol w:w="274"/>
        <w:gridCol w:w="613"/>
      </w:tblGrid>
      <w:tr>
        <w:trPr/>
        <w:tc>
          <w:tcPr>
            <w:tcW w:w="5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289935" cy="175260"/>
                      <wp:effectExtent l="0" t="0" r="0" b="0"/>
                      <wp:wrapNone/>
                      <wp:docPr id="19" name="Frame19"/>
                      <a:graphic xmlns:a="http://schemas.openxmlformats.org/drawingml/2006/main">
                        <a:graphicData uri="http://schemas.microsoft.com/office/word/2010/wordprocessingShape">
                          <wps:wsp>
                            <wps:cNvSpPr txBox="1"/>
                            <wps:spPr>
                              <a:xfrm>
                                <a:off x="0" y="0"/>
                                <a:ext cx="328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93675" cy="175260"/>
                      <wp:effectExtent l="0" t="0" r="0" b="0"/>
                      <wp:wrapNone/>
                      <wp:docPr id="21" name="Frame2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88620" cy="175260"/>
                      <wp:effectExtent l="0" t="0" r="0" b="0"/>
                      <wp:wrapNone/>
                      <wp:docPr id="22" name="Frame22"/>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99720" cy="175260"/>
                      <wp:effectExtent l="0" t="0" r="0" b="0"/>
                      <wp:wrapNone/>
                      <wp:docPr id="23" name="Frame23"/>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93675" cy="175260"/>
                      <wp:effectExtent l="0" t="0" r="0" b="0"/>
                      <wp:wrapNone/>
                      <wp:docPr id="24" name="Frame24"/>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98145" cy="175260"/>
                      <wp:effectExtent l="0" t="0" r="0" b="0"/>
                      <wp:wrapNone/>
                      <wp:docPr id="25" name="Frame25"/>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73990" cy="175260"/>
                      <wp:effectExtent l="0" t="0" r="0" b="0"/>
                      <wp:wrapNone/>
                      <wp:docPr id="27" name="Frame2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33705" cy="175260"/>
                      <wp:effectExtent l="0" t="0" r="0" b="0"/>
                      <wp:wrapNone/>
                      <wp:docPr id="28" name="Frame28"/>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69240" cy="175260"/>
                      <wp:effectExtent l="0" t="0" r="0" b="0"/>
                      <wp:wrapNone/>
                      <wp:docPr id="29" name="Frame29"/>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3990" cy="175260"/>
                      <wp:effectExtent l="0" t="0" r="0" b="0"/>
                      <wp:wrapNone/>
                      <wp:docPr id="30" name="Frame30"/>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89255" cy="175260"/>
                      <wp:effectExtent l="0" t="0" r="0" b="0"/>
                      <wp:wrapNone/>
                      <wp:docPr id="31" name="Frame31"/>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center"/>
              <w:rPr/>
            </w:pPr>
            <w:r>
              <w:rPr/>
              <w:t>​</w:t>
            </w:r>
          </w:p>
        </w:tc>
        <w:tc>
          <w:tcPr>
            <w:tcW w:w="22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5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2"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4"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424"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72"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424"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2"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424"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72"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24"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72"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4"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72"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24"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1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72"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424"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51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72"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424"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11" w:name="_Hlk109048971"/>
      <w:bookmarkEnd w:id="211"/>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2" w:name="_57e8b10b_9550_422b_a96f_c14316801692"/>
      <w:bookmarkEnd w:id="212"/>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213" w:name="CONSOLIDATEDBALANCESHEET_346457"/>
      <w:bookmarkStart w:id="214" w:name="INDEXBALSHEET"/>
      <w:bookmarkStart w:id="215" w:name="COMBINEDBALANCESHEET_463848"/>
      <w:bookmarkEnd w:id="213"/>
      <w:bookmarkEnd w:id="214"/>
      <w:bookmarkEnd w:id="215"/>
      <w:r>
        <w:rPr>
          <w:rFonts w:ascii="Times New Roman;Times;serif" w:hAnsi="Times New Roman;Times;serif"/>
          <w:b/>
          <w:sz w:val="20"/>
        </w:rPr>
        <w:t>CONSOLIDATED BALANCE SHEET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6" w:name="Tc_vM7j2nYLaU6CB3ZORM4VRw_51_5"/>
      <w:bookmarkStart w:id="217" w:name="Tc_G4L3fmMEnkiNzzMxVAJN2w_51_2"/>
      <w:bookmarkStart w:id="218" w:name="Tc__pbV5SjOR0iT5EiQ1TauKw_51_0"/>
      <w:bookmarkStart w:id="219" w:name="Tc_7VdE8Linw02j8qx5c9SYcw_50_5"/>
      <w:bookmarkStart w:id="220" w:name="Tc_rkMTNJoTgk-NTPF7hrzM8Q_50_2"/>
      <w:bookmarkStart w:id="221" w:name="Tc_1-ADESgDDUOh6m8zAzEicA_50_0"/>
      <w:bookmarkStart w:id="222" w:name="Tc_O6fY2-gPNU-CP6Z9sXYQtQ_49_0"/>
      <w:bookmarkStart w:id="223" w:name="Tc_VS9-nfI0HUyhgmxRf3euOw_48_5"/>
      <w:bookmarkStart w:id="224" w:name="Tc_ERL380UgAE2Qfc9GTOQp8w_48_2"/>
      <w:bookmarkStart w:id="225" w:name="Tc_swW30wPXukukGe1st5h94w_48_0"/>
      <w:bookmarkStart w:id="226" w:name="Tc_8Dz4OGS3B0eAazCO36r4tw_47_0"/>
      <w:bookmarkStart w:id="227" w:name="Tc_949zxVNCdkizCYfQMSdodA_46_0"/>
      <w:bookmarkStart w:id="228" w:name="Tc_qX6yDWXhuEGHiUyVH8BYNA_45_0"/>
      <w:bookmarkStart w:id="229" w:name="Tc__qieouMivkCzpsJaJFnhpw_44_5"/>
      <w:bookmarkStart w:id="230" w:name="Tc_BIavMwPjGUWigZcwB9WNiQ_44_2"/>
      <w:bookmarkStart w:id="231" w:name="Tc_q9QTm-bYhUCS-qEvAmJTfw_44_0"/>
      <w:bookmarkStart w:id="232" w:name="Tc_3vCeWA6nF064VoAOU_ocJw_43_0"/>
      <w:bookmarkStart w:id="233" w:name="Tc_VRLuFxGCBUqGRCcweYF4ow_42_0"/>
      <w:bookmarkStart w:id="234" w:name="Tc_Y7eA2Ezonk-4ewnVHTIpcw_40_0"/>
      <w:bookmarkStart w:id="235" w:name="Tc_EJv9MVy52E67rzyAPLhMng_39_5"/>
      <w:bookmarkStart w:id="236" w:name="Tc_9FWvAIzOFkOQJzTyAHut7A_39_2"/>
      <w:bookmarkStart w:id="237" w:name="Tc_ZRjTk2qOo0CsQ2vvBVB7Yg_39_0"/>
      <w:bookmarkStart w:id="238" w:name="Tc_3iCtnRmf6Eqhz9Mk_5PmVA_38_0"/>
      <w:bookmarkStart w:id="239" w:name="Tc_2AR0R_fgkE2IwEgSHkQblQ_37_0"/>
      <w:bookmarkStart w:id="240" w:name="Tc_saWUEie_hEe1Aj7NBbhj_A_36_0"/>
      <w:bookmarkStart w:id="241" w:name="Tc_FXRfE--7d02NwtfWFC7qfQ_35_0"/>
      <w:bookmarkStart w:id="242" w:name="Tc_A7MTklyUN0KPnRJu6zTlnA_34_5"/>
      <w:bookmarkStart w:id="243" w:name="Tc_snrsxLLKhE6dfEY607k7WQ_34_2"/>
      <w:bookmarkStart w:id="244" w:name="Tc_HmZ5xjd7Zk2R21Za96yFkA_34_0"/>
      <w:bookmarkStart w:id="245" w:name="Tc_agdWp-giUEyhvqumaKPhqA_32_5"/>
      <w:bookmarkStart w:id="246" w:name="Tc_GOJyPWn1kU2UAM0uWFB4Dw_32_2"/>
      <w:bookmarkStart w:id="247" w:name="Tc_7ZPhZ-msC0GmbCy1jUieJg_32_0"/>
      <w:bookmarkStart w:id="248" w:name="Tc_L4tu5rlVgEK0q74n8m8ZwA_31_0"/>
      <w:bookmarkStart w:id="249" w:name="Tc_O_BOd1hg90y0msm3_qH6ow_30_0"/>
      <w:bookmarkStart w:id="250" w:name="Tc_-_dxKawXLUG4vzQjUxM7Pw_29_0"/>
      <w:bookmarkStart w:id="251" w:name="Tc_cddLEewLT0qdEpCOfi9irQ_28_0"/>
      <w:bookmarkStart w:id="252" w:name="Tc_gWLxvGLkYUe86hWDxYeqgg_27_0"/>
      <w:bookmarkStart w:id="253" w:name="Tc_5w_09_qorEqYZLq6FQK1dw_26_0"/>
      <w:bookmarkStart w:id="254" w:name="Tc_Ks8WpxHhf0-RMmLcqB9xdg_25_0"/>
      <w:bookmarkStart w:id="255" w:name="Tc_fbaJkdZazEWbrvXMjcjFYA_24_5"/>
      <w:bookmarkStart w:id="256" w:name="Tc_41qOl75IoUq50llG8nY23A_24_2"/>
      <w:bookmarkStart w:id="257" w:name="Tc_3yNM17G_60GRiCx9WZJitw_24_0"/>
      <w:bookmarkStart w:id="258" w:name="Tc_3ex19GM8a0iTNZwQ6ShSBw_23_0"/>
      <w:bookmarkStart w:id="259" w:name="Tc_zOzrtFhzBk6t_c8G9M1Lug_22_0"/>
      <w:bookmarkStart w:id="260" w:name="Tc_CZbEf5R4Tk2Ts--d15R4yA_20_5"/>
      <w:bookmarkStart w:id="261" w:name="Tc__WjUuMaPd0CIl9w-hHvazg_20_2"/>
      <w:bookmarkStart w:id="262" w:name="Tc_MmKhA7OUdEK5FdkLjEcBqw_20_0"/>
      <w:bookmarkStart w:id="263" w:name="Tc_s-SiW7QeKEGuCvHROSn4iA_19_0"/>
      <w:bookmarkStart w:id="264" w:name="Tc_r03bohqBaUyT3hs_djZzmg_18_0"/>
      <w:bookmarkStart w:id="265" w:name="Tc_hJsFPtnDHE6mJcgJOWerBw_17_0"/>
      <w:bookmarkStart w:id="266" w:name="Tc_CRnSsgJkFUGCbgLu0wFpig_16_0"/>
      <w:bookmarkStart w:id="267" w:name="Tc_0wrR3qA6d0uBUI3kuqpRKQ_15_0"/>
      <w:bookmarkStart w:id="268" w:name="Tc_LVhYXUtoo0Oxvz5anH23DA_14_0"/>
      <w:bookmarkStart w:id="269" w:name="Tc_EkJxTo9Dn0yYb65mlnHuZA_13_0"/>
      <w:bookmarkStart w:id="270" w:name="Tc_F7PAqxSL6keE9brPD0Ucmg_12_5"/>
      <w:bookmarkStart w:id="271" w:name="Tc_RtUSGw-Wv02oYLYHXcsR8A_12_2"/>
      <w:bookmarkStart w:id="272" w:name="Tc_jXoUyi3QxUKTTVqRT3-ojw_12_0"/>
      <w:bookmarkStart w:id="273" w:name="Tc_ZzbuiK6opk-bXxRb0tSxTg_10_5"/>
      <w:bookmarkStart w:id="274" w:name="Tc_-VW9BMaT80S7JdeHIdjTcw_10_2"/>
      <w:bookmarkStart w:id="275" w:name="Tc_vc8yVPQPakqod7mtoJeZ4w_10_0"/>
      <w:bookmarkStart w:id="276" w:name="Tc_luEVCumlM0CCl6oNGZvwqQ_9_0"/>
      <w:bookmarkStart w:id="277" w:name="Tc_EvrqLm2BKkWRwOLCJu4icA_8_0"/>
      <w:bookmarkStart w:id="278" w:name="Tc_vacQGLhi9UqdQ-VeXWtmIw_7_0"/>
      <w:bookmarkStart w:id="279" w:name="Tc_pU8n5b-4YUeWdfj8ei1bDA_6_0"/>
      <w:bookmarkStart w:id="280" w:name="Tc_E4DM0aT9c0y3d81Ich-vnA_5_5"/>
      <w:bookmarkStart w:id="281" w:name="Tc_Hjcitgc17k2mpmVZ_ODOlw_5_2"/>
      <w:bookmarkStart w:id="282" w:name="Tc_fHY6Euf7hkSLU4qk0pwlZw_5_0"/>
      <w:bookmarkStart w:id="283" w:name="Tc_adSZBsb_I0ahenCbnXn4GA_4_0"/>
      <w:bookmarkStart w:id="284" w:name="Tc_Apg0CCJ_40-roFkAkQoubg_3_0"/>
      <w:bookmarkStart w:id="285" w:name="Tc_UfYqtN5dZ0CmUcyHhDDkmw_2_5"/>
      <w:bookmarkStart w:id="286" w:name="Tc_5LzbWl_XBU2mKunfFDaPJw_2_2"/>
      <w:bookmarkStart w:id="287" w:name="Tc_BcCc0pMlnkejqyDXHMZyfQ_1_5"/>
      <w:bookmarkStart w:id="288" w:name="Tc_UPDU6WMAsUChMUYS6hgL6w_1_2"/>
      <w:bookmarkStart w:id="289" w:name="_b4b8c342_fcfb_430e_a9c4_94fc9617f619"/>
      <w:bookmarkStart w:id="290" w:name="Tc_vM7j2nYLaU6CB3ZORM4VRw_51_5"/>
      <w:bookmarkStart w:id="291" w:name="Tc_G4L3fmMEnkiNzzMxVAJN2w_51_2"/>
      <w:bookmarkStart w:id="292" w:name="Tc__pbV5SjOR0iT5EiQ1TauKw_51_0"/>
      <w:bookmarkStart w:id="293" w:name="Tc_7VdE8Linw02j8qx5c9SYcw_50_5"/>
      <w:bookmarkStart w:id="294" w:name="Tc_rkMTNJoTgk-NTPF7hrzM8Q_50_2"/>
      <w:bookmarkStart w:id="295" w:name="Tc_1-ADESgDDUOh6m8zAzEicA_50_0"/>
      <w:bookmarkStart w:id="296" w:name="Tc_O6fY2-gPNU-CP6Z9sXYQtQ_49_0"/>
      <w:bookmarkStart w:id="297" w:name="Tc_VS9-nfI0HUyhgmxRf3euOw_48_5"/>
      <w:bookmarkStart w:id="298" w:name="Tc_ERL380UgAE2Qfc9GTOQp8w_48_2"/>
      <w:bookmarkStart w:id="299" w:name="Tc_swW30wPXukukGe1st5h94w_48_0"/>
      <w:bookmarkStart w:id="300" w:name="Tc_8Dz4OGS3B0eAazCO36r4tw_47_0"/>
      <w:bookmarkStart w:id="301" w:name="Tc_949zxVNCdkizCYfQMSdodA_46_0"/>
      <w:bookmarkStart w:id="302" w:name="Tc_qX6yDWXhuEGHiUyVH8BYNA_45_0"/>
      <w:bookmarkStart w:id="303" w:name="Tc__qieouMivkCzpsJaJFnhpw_44_5"/>
      <w:bookmarkStart w:id="304" w:name="Tc_BIavMwPjGUWigZcwB9WNiQ_44_2"/>
      <w:bookmarkStart w:id="305" w:name="Tc_q9QTm-bYhUCS-qEvAmJTfw_44_0"/>
      <w:bookmarkStart w:id="306" w:name="Tc_3vCeWA6nF064VoAOU_ocJw_43_0"/>
      <w:bookmarkStart w:id="307" w:name="Tc_VRLuFxGCBUqGRCcweYF4ow_42_0"/>
      <w:bookmarkStart w:id="308" w:name="Tc_Y7eA2Ezonk-4ewnVHTIpcw_40_0"/>
      <w:bookmarkStart w:id="309" w:name="Tc_EJv9MVy52E67rzyAPLhMng_39_5"/>
      <w:bookmarkStart w:id="310" w:name="Tc_9FWvAIzOFkOQJzTyAHut7A_39_2"/>
      <w:bookmarkStart w:id="311" w:name="Tc_ZRjTk2qOo0CsQ2vvBVB7Yg_39_0"/>
      <w:bookmarkStart w:id="312" w:name="Tc_3iCtnRmf6Eqhz9Mk_5PmVA_38_0"/>
      <w:bookmarkStart w:id="313" w:name="Tc_2AR0R_fgkE2IwEgSHkQblQ_37_0"/>
      <w:bookmarkStart w:id="314" w:name="Tc_saWUEie_hEe1Aj7NBbhj_A_36_0"/>
      <w:bookmarkStart w:id="315" w:name="Tc_FXRfE--7d02NwtfWFC7qfQ_35_0"/>
      <w:bookmarkStart w:id="316" w:name="Tc_A7MTklyUN0KPnRJu6zTlnA_34_5"/>
      <w:bookmarkStart w:id="317" w:name="Tc_snrsxLLKhE6dfEY607k7WQ_34_2"/>
      <w:bookmarkStart w:id="318" w:name="Tc_HmZ5xjd7Zk2R21Za96yFkA_34_0"/>
      <w:bookmarkStart w:id="319" w:name="Tc_agdWp-giUEyhvqumaKPhqA_32_5"/>
      <w:bookmarkStart w:id="320" w:name="Tc_GOJyPWn1kU2UAM0uWFB4Dw_32_2"/>
      <w:bookmarkStart w:id="321" w:name="Tc_7ZPhZ-msC0GmbCy1jUieJg_32_0"/>
      <w:bookmarkStart w:id="322" w:name="Tc_L4tu5rlVgEK0q74n8m8ZwA_31_0"/>
      <w:bookmarkStart w:id="323" w:name="Tc_O_BOd1hg90y0msm3_qH6ow_30_0"/>
      <w:bookmarkStart w:id="324" w:name="Tc_-_dxKawXLUG4vzQjUxM7Pw_29_0"/>
      <w:bookmarkStart w:id="325" w:name="Tc_cddLEewLT0qdEpCOfi9irQ_28_0"/>
      <w:bookmarkStart w:id="326" w:name="Tc_gWLxvGLkYUe86hWDxYeqgg_27_0"/>
      <w:bookmarkStart w:id="327" w:name="Tc_5w_09_qorEqYZLq6FQK1dw_26_0"/>
      <w:bookmarkStart w:id="328" w:name="Tc_Ks8WpxHhf0-RMmLcqB9xdg_25_0"/>
      <w:bookmarkStart w:id="329" w:name="Tc_fbaJkdZazEWbrvXMjcjFYA_24_5"/>
      <w:bookmarkStart w:id="330" w:name="Tc_41qOl75IoUq50llG8nY23A_24_2"/>
      <w:bookmarkStart w:id="331" w:name="Tc_3yNM17G_60GRiCx9WZJitw_24_0"/>
      <w:bookmarkStart w:id="332" w:name="Tc_3ex19GM8a0iTNZwQ6ShSBw_23_0"/>
      <w:bookmarkStart w:id="333" w:name="Tc_zOzrtFhzBk6t_c8G9M1Lug_22_0"/>
      <w:bookmarkStart w:id="334" w:name="Tc_CZbEf5R4Tk2Ts--d15R4yA_20_5"/>
      <w:bookmarkStart w:id="335" w:name="Tc__WjUuMaPd0CIl9w-hHvazg_20_2"/>
      <w:bookmarkStart w:id="336" w:name="Tc_MmKhA7OUdEK5FdkLjEcBqw_20_0"/>
      <w:bookmarkStart w:id="337" w:name="Tc_s-SiW7QeKEGuCvHROSn4iA_19_0"/>
      <w:bookmarkStart w:id="338" w:name="Tc_r03bohqBaUyT3hs_djZzmg_18_0"/>
      <w:bookmarkStart w:id="339" w:name="Tc_hJsFPtnDHE6mJcgJOWerBw_17_0"/>
      <w:bookmarkStart w:id="340" w:name="Tc_CRnSsgJkFUGCbgLu0wFpig_16_0"/>
      <w:bookmarkStart w:id="341" w:name="Tc_0wrR3qA6d0uBUI3kuqpRKQ_15_0"/>
      <w:bookmarkStart w:id="342" w:name="Tc_LVhYXUtoo0Oxvz5anH23DA_14_0"/>
      <w:bookmarkStart w:id="343" w:name="Tc_EkJxTo9Dn0yYb65mlnHuZA_13_0"/>
      <w:bookmarkStart w:id="344" w:name="Tc_F7PAqxSL6keE9brPD0Ucmg_12_5"/>
      <w:bookmarkStart w:id="345" w:name="Tc_RtUSGw-Wv02oYLYHXcsR8A_12_2"/>
      <w:bookmarkStart w:id="346" w:name="Tc_jXoUyi3QxUKTTVqRT3-ojw_12_0"/>
      <w:bookmarkStart w:id="347" w:name="Tc_ZzbuiK6opk-bXxRb0tSxTg_10_5"/>
      <w:bookmarkStart w:id="348" w:name="Tc_-VW9BMaT80S7JdeHIdjTcw_10_2"/>
      <w:bookmarkStart w:id="349" w:name="Tc_vc8yVPQPakqod7mtoJeZ4w_10_0"/>
      <w:bookmarkStart w:id="350" w:name="Tc_luEVCumlM0CCl6oNGZvwqQ_9_0"/>
      <w:bookmarkStart w:id="351" w:name="Tc_EvrqLm2BKkWRwOLCJu4icA_8_0"/>
      <w:bookmarkStart w:id="352" w:name="Tc_vacQGLhi9UqdQ-VeXWtmIw_7_0"/>
      <w:bookmarkStart w:id="353" w:name="Tc_pU8n5b-4YUeWdfj8ei1bDA_6_0"/>
      <w:bookmarkStart w:id="354" w:name="Tc_E4DM0aT9c0y3d81Ich-vnA_5_5"/>
      <w:bookmarkStart w:id="355" w:name="Tc_Hjcitgc17k2mpmVZ_ODOlw_5_2"/>
      <w:bookmarkStart w:id="356" w:name="Tc_fHY6Euf7hkSLU4qk0pwlZw_5_0"/>
      <w:bookmarkStart w:id="357" w:name="Tc_adSZBsb_I0ahenCbnXn4GA_4_0"/>
      <w:bookmarkStart w:id="358" w:name="Tc_Apg0CCJ_40-roFkAkQoubg_3_0"/>
      <w:bookmarkStart w:id="359" w:name="Tc_UfYqtN5dZ0CmUcyHhDDkmw_2_5"/>
      <w:bookmarkStart w:id="360" w:name="Tc_5LzbWl_XBU2mKunfFDaPJw_2_2"/>
      <w:bookmarkStart w:id="361" w:name="Tc_BcCc0pMlnkejqyDXHMZyfQ_1_5"/>
      <w:bookmarkStart w:id="362" w:name="Tc_UPDU6WMAsUChMUYS6hgL6w_1_2"/>
      <w:bookmarkStart w:id="363" w:name="_b4b8c342_fcfb_430e_a9c4_94fc9617f61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tbl>
      <w:tblPr>
        <w:tblW w:w="10205" w:type="dxa"/>
        <w:jc w:val="left"/>
        <w:tblInd w:w="0" w:type="dxa"/>
        <w:tblLayout w:type="fixed"/>
        <w:tblCellMar>
          <w:top w:w="0" w:type="dxa"/>
          <w:left w:w="0" w:type="dxa"/>
          <w:bottom w:w="0" w:type="dxa"/>
          <w:right w:w="0" w:type="dxa"/>
        </w:tblCellMar>
      </w:tblPr>
      <w:tblGrid>
        <w:gridCol w:w="7434"/>
        <w:gridCol w:w="326"/>
        <w:gridCol w:w="289"/>
        <w:gridCol w:w="888"/>
        <w:gridCol w:w="326"/>
        <w:gridCol w:w="206"/>
        <w:gridCol w:w="736"/>
      </w:tblGrid>
      <w:tr>
        <w:trPr/>
        <w:tc>
          <w:tcPr>
            <w:tcW w:w="7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720590" cy="175260"/>
                      <wp:effectExtent l="0" t="0" r="0" b="0"/>
                      <wp:wrapNone/>
                      <wp:docPr id="32" name="Frame32"/>
                      <a:graphic xmlns:a="http://schemas.openxmlformats.org/drawingml/2006/main">
                        <a:graphicData uri="http://schemas.microsoft.com/office/word/2010/wordprocessingShape">
                          <wps:wsp>
                            <wps:cNvSpPr txBox="1"/>
                            <wps:spPr>
                              <a:xfrm>
                                <a:off x="0" y="0"/>
                                <a:ext cx="4720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83515" cy="175260"/>
                      <wp:effectExtent l="0" t="0" r="0" b="0"/>
                      <wp:wrapNone/>
                      <wp:docPr id="34" name="Frame34"/>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63880" cy="175260"/>
                      <wp:effectExtent l="0" t="0" r="0" b="0"/>
                      <wp:wrapNone/>
                      <wp:docPr id="35" name="Frame3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0810" cy="175260"/>
                      <wp:effectExtent l="0" t="0" r="0" b="0"/>
                      <wp:wrapNone/>
                      <wp:docPr id="37" name="Frame3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7360" cy="175260"/>
                      <wp:effectExtent l="0" t="0" r="0" b="0"/>
                      <wp:wrapNone/>
                      <wp:docPr id="38" name="Frame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9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1,786</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$9 at September 30, 2025 and $13 at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1,345</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 portion)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1,101</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4,291</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4,589</w:t>
            </w:r>
          </w:p>
        </w:tc>
      </w:tr>
      <w:tr>
        <w:trPr/>
        <w:tc>
          <w:tcPr>
            <w:tcW w:w="74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2,628</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2,570</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(noncurrent portion)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1,890</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1,040</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Goodwill </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791</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790</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Pension assets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11,244</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10,452</w:t>
            </w:r>
          </w:p>
        </w:tc>
      </w:tr>
      <w:tr>
        <w:trPr/>
        <w:tc>
          <w:tcPr>
            <w:tcW w:w="74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1,117</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Value-added tax and income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(current portion)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contract costs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679</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4,197</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4,300</w:t>
            </w:r>
          </w:p>
        </w:tc>
      </w:tr>
      <w:tr>
        <w:trPr/>
        <w:tc>
          <w:tcPr>
            <w:tcW w:w="74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3,004</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3,042</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(noncurrent portion)</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(noncurrent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607</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1,191</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443</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9,904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9,121</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(shares </w:t>
              <w:br/>
              <w:t xml:space="preserve">authorized: 1,000.0; shares issued: September 30, 2025 – 243.9, March 31, 2025 – 238.2) </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4,686</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4,631</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w:t>
            </w:r>
          </w:p>
        </w:tc>
        <w:tc>
          <w:tcPr>
            <w:tcW w:w="88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(1,943)</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(shares: September 30, 2025 – 14.5, March 31, 2025 – 7.5)</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88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32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(1,088)</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1,227</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1,219</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7434"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1,340</w:t>
            </w:r>
          </w:p>
        </w:tc>
        <w:tc>
          <w:tcPr>
            <w:tcW w:w="32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7434"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11,244</w:t>
            </w:r>
          </w:p>
        </w:tc>
        <w:tc>
          <w:tcPr>
            <w:tcW w:w="32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10,452</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4" w:name="_4f86c771_8f68_4d9f_a527_30b5cd685e5a"/>
      <w:bookmarkEnd w:id="364"/>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365" w:name="Cash_Flows"/>
      <w:bookmarkStart w:id="366" w:name="INDEXCASHFLOW"/>
      <w:bookmarkStart w:id="367" w:name="COMBINEDSTATEMENTOFCASHFLOWS_358039"/>
      <w:bookmarkEnd w:id="365"/>
      <w:bookmarkEnd w:id="366"/>
      <w:bookmarkEnd w:id="367"/>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8" w:name="Tc_xsrqgdksvUyJdAhNbPVubw_47_5"/>
      <w:bookmarkStart w:id="369" w:name="Tc_oIGETYdMNUWeB3n5Key4gw_47_2"/>
      <w:bookmarkStart w:id="370" w:name="Tc_AfIiOK1nDk204HIrgwQ_Hw_47_0"/>
      <w:bookmarkStart w:id="371" w:name="Tc_6bXcGuPnZUi6eYUt02-sfw_46_5"/>
      <w:bookmarkStart w:id="372" w:name="Tc_Uov6WsRTZ02gFkwnXfBWMQ_46_2"/>
      <w:bookmarkStart w:id="373" w:name="Tc_u68ynSY4u0KU60tBXXL9QA_46_0"/>
      <w:bookmarkStart w:id="374" w:name="Tc_r3h59FVfqUigadOxr9eJvA_45_0"/>
      <w:bookmarkStart w:id="375" w:name="Tc_Q9ULHUd58kmYYRMDjsEp6A_43_5"/>
      <w:bookmarkStart w:id="376" w:name="Tc_Umv6fzgAwU6TB0MLcX0lpw_43_2"/>
      <w:bookmarkStart w:id="377" w:name="Tc_JyOX7Q0tf0ipTCSmBAwZZw_43_0"/>
      <w:bookmarkStart w:id="378" w:name="Tc_v97YcWKU4UGWYqSpDTuGdg_42_5"/>
      <w:bookmarkStart w:id="379" w:name="Tc_28WRL1zPsUqiqdvmu9II8g_42_2"/>
      <w:bookmarkStart w:id="380" w:name="Tc_k-4rObwP9km8Sctx8cDDQw_42_0"/>
      <w:bookmarkStart w:id="381" w:name="Tc_qv5a25i6kEO63cQwm7ZZ9A_40_5"/>
      <w:bookmarkStart w:id="382" w:name="Tc_aiYjrRcJpU-nU8uY09-ZKw_40_2"/>
      <w:bookmarkStart w:id="383" w:name="Tc_oxfTneFq70-SnP9NP9y_Dg_40_0"/>
      <w:bookmarkStart w:id="384" w:name="Tc_xReq6ADf6kur947HkMvTiQ_39_5"/>
      <w:bookmarkStart w:id="385" w:name="Tc_4elR0jMaPUGHBIMbKFAEgg_39_2"/>
      <w:bookmarkStart w:id="386" w:name="Tc_nirQAUvg2UmvO1pUxVNO7A_39_0"/>
      <w:bookmarkStart w:id="387" w:name="Tc_bqo_dt0j9EeFs1aIi5EmOw_37_5"/>
      <w:bookmarkStart w:id="388" w:name="Tc_Ut9P1yEAL0aZs3-Zks-eFA_37_2"/>
      <w:bookmarkStart w:id="389" w:name="Tc_WluVzZXjqk6aqDp6DtcQgQ_37_0"/>
      <w:bookmarkStart w:id="390" w:name="Tc_XzDZ0evjZ06DOPKgErUFFw_36_0"/>
      <w:bookmarkStart w:id="391" w:name="Tc_i0_zZ7WNFU-BLDPSKCfblw_35_0"/>
      <w:bookmarkStart w:id="392" w:name="Tc_JWwhOg_y2EKvujBceJEfng_34_6"/>
      <w:bookmarkStart w:id="393" w:name="Tc_QGPuuqlGiUC1PeUo0S1Z6A_34_0"/>
      <w:bookmarkStart w:id="394" w:name="Tc_9xlVMU9VQ0iPu_-Yjyoi-w_33_5"/>
      <w:bookmarkStart w:id="395" w:name="Tc_DJHMthqtOESETFzTLygj7w_33_2"/>
      <w:bookmarkStart w:id="396" w:name="Tc_JanbRwoeD02Ddz2V2BjmJg_33_0"/>
      <w:bookmarkStart w:id="397" w:name="Tc_rs1Ibo26TEeZMJjXzb6q_Q_32_0"/>
      <w:bookmarkStart w:id="398" w:name="Tc_iwJlFtU0CESgMD60P2VDBg_30_5"/>
      <w:bookmarkStart w:id="399" w:name="Tc_H3ylQwbyCEGqdpdJQzcbZQ_30_2"/>
      <w:bookmarkStart w:id="400" w:name="Tc_1JdDEum-WUiJ67IMAsCyqQ_30_0"/>
      <w:bookmarkStart w:id="401" w:name="Tc_N4duakHjA0uMKoH6pqOSwA_29_0"/>
      <w:bookmarkStart w:id="402" w:name="Tc_Ut6jsYGf5EGMq3Oqo36yTg_28_0"/>
      <w:bookmarkStart w:id="403" w:name="Tc_u-mjNkYbj0mOGWPNqzPl7g_27_0"/>
      <w:bookmarkStart w:id="404" w:name="Tc_iFdGveze4kmvpEYbBsOgkw_26_5"/>
      <w:bookmarkStart w:id="405" w:name="Tc_R1oPNiMLek6Y_QtzGzBPIw_26_2"/>
      <w:bookmarkStart w:id="406" w:name="Tc_CenLGSafokmEL-2PUNkg8g_26_0"/>
      <w:bookmarkStart w:id="407" w:name="Tc_ZrvqEfuIRkqbBrQGJddLSg_25_0"/>
      <w:bookmarkStart w:id="408" w:name="Tc_6jpH-WwXs0e9ariHfs1OXw_23_5"/>
      <w:bookmarkStart w:id="409" w:name="Tc_pLcxVGPqokqRqaaoE3Qn2Q_23_2"/>
      <w:bookmarkStart w:id="410" w:name="Tc_XlIrMSXgMUCsVHAjGHeBbQ_23_0"/>
      <w:bookmarkStart w:id="411" w:name="Tc_H_ZJDhViF0iRoIxkZnQHhQ_22_0"/>
      <w:bookmarkStart w:id="412" w:name="Tc_baJyF6BHZ0qKRuGcQi98Fg_21_0"/>
      <w:bookmarkStart w:id="413" w:name="Tc_xlfE7KLM7EKnv9iI8YLSRw_20_0"/>
      <w:bookmarkStart w:id="414" w:name="Tc_QsLeVesnkUSCxNo5WZKQ-g_19_0"/>
      <w:bookmarkStart w:id="415" w:name="Tc_Zw53I5k5NUqxWYkkQl88uQ_18_0"/>
      <w:bookmarkStart w:id="416" w:name="Tc_oeo8p_sc3ESrZzrZr0Kpaw_17_0"/>
      <w:bookmarkStart w:id="417" w:name="Tc_7PKrjVG4skqzArrKqGGvMQ_16_0"/>
      <w:bookmarkStart w:id="418" w:name="Tc_paJIrKrcLk6fGvIhyIvLzg_15_0"/>
      <w:bookmarkStart w:id="419" w:name="Tc_gpP3l26Y6UOAmARjSsI71A_14_3"/>
      <w:bookmarkStart w:id="420" w:name="Tc_BI9rb1c5y0Gsc-qkkpVjXg_14_0"/>
      <w:bookmarkStart w:id="421" w:name="Tc_V2H-sZlGYUu0p3MNuzvI7Q_13_0"/>
      <w:bookmarkStart w:id="422" w:name="Tc_gXysG_5TuUOCfpdEgFkNXw_12_0"/>
      <w:bookmarkStart w:id="423" w:name="Tc_gcehTNHTd0G0TkrZOfjgoA_11_0"/>
      <w:bookmarkStart w:id="424" w:name="Tc_EcANd5fa_UaNwFyKgV3ZXw_10_0"/>
      <w:bookmarkStart w:id="425" w:name="Tc_d9ktOhViEEW0UgqCsWoDOA_9_0"/>
      <w:bookmarkStart w:id="426" w:name="Tc_Pw9wtGp5BkeLRMegvQY8QQ_8_0"/>
      <w:bookmarkStart w:id="427" w:name="Tc_Qq6a4iTVukSl7uBwQCLeLg_7_0"/>
      <w:bookmarkStart w:id="428" w:name="Tc_9ca_9M8KzUWjbcCwk6NDnQ_6_0"/>
      <w:bookmarkStart w:id="429" w:name="Tc_G-6mjXe5D0mlzD6opXyBYA_5_0"/>
      <w:bookmarkStart w:id="430" w:name="Tc_pSd92y9e_EmGDCxvT_Jnug_4_5"/>
      <w:bookmarkStart w:id="431" w:name="Tc_mUlqzuF3IkanAX6PBa7rKA_4_2"/>
      <w:bookmarkStart w:id="432" w:name="Tc_lj5oztq-w0iLDVbXh-pOdw_4_0"/>
      <w:bookmarkStart w:id="433" w:name="Tc_EB6_vDE0f0-7utcmSOZELg_3_0"/>
      <w:bookmarkStart w:id="434" w:name="Tc_ub6JM4trBU2kwPBDPVxF5Q_2_5"/>
      <w:bookmarkStart w:id="435" w:name="Tc_pnUgSV74GEWHrTVO1DYohw_2_2"/>
      <w:bookmarkStart w:id="436" w:name="Tc_7h4FENtz9ESsoa1QG4sZdQ_1_2"/>
      <w:bookmarkStart w:id="437" w:name="_99bcfdad_2ab4_431f_a83c_729ddb865911"/>
      <w:bookmarkStart w:id="438" w:name="Tc_xsrqgdksvUyJdAhNbPVubw_47_5"/>
      <w:bookmarkStart w:id="439" w:name="Tc_oIGETYdMNUWeB3n5Key4gw_47_2"/>
      <w:bookmarkStart w:id="440" w:name="Tc_AfIiOK1nDk204HIrgwQ_Hw_47_0"/>
      <w:bookmarkStart w:id="441" w:name="Tc_6bXcGuPnZUi6eYUt02-sfw_46_5"/>
      <w:bookmarkStart w:id="442" w:name="Tc_Uov6WsRTZ02gFkwnXfBWMQ_46_2"/>
      <w:bookmarkStart w:id="443" w:name="Tc_u68ynSY4u0KU60tBXXL9QA_46_0"/>
      <w:bookmarkStart w:id="444" w:name="Tc_r3h59FVfqUigadOxr9eJvA_45_0"/>
      <w:bookmarkStart w:id="445" w:name="Tc_Q9ULHUd58kmYYRMDjsEp6A_43_5"/>
      <w:bookmarkStart w:id="446" w:name="Tc_Umv6fzgAwU6TB0MLcX0lpw_43_2"/>
      <w:bookmarkStart w:id="447" w:name="Tc_JyOX7Q0tf0ipTCSmBAwZZw_43_0"/>
      <w:bookmarkStart w:id="448" w:name="Tc_v97YcWKU4UGWYqSpDTuGdg_42_5"/>
      <w:bookmarkStart w:id="449" w:name="Tc_28WRL1zPsUqiqdvmu9II8g_42_2"/>
      <w:bookmarkStart w:id="450" w:name="Tc_k-4rObwP9km8Sctx8cDDQw_42_0"/>
      <w:bookmarkStart w:id="451" w:name="Tc_qv5a25i6kEO63cQwm7ZZ9A_40_5"/>
      <w:bookmarkStart w:id="452" w:name="Tc_aiYjrRcJpU-nU8uY09-ZKw_40_2"/>
      <w:bookmarkStart w:id="453" w:name="Tc_oxfTneFq70-SnP9NP9y_Dg_40_0"/>
      <w:bookmarkStart w:id="454" w:name="Tc_xReq6ADf6kur947HkMvTiQ_39_5"/>
      <w:bookmarkStart w:id="455" w:name="Tc_4elR0jMaPUGHBIMbKFAEgg_39_2"/>
      <w:bookmarkStart w:id="456" w:name="Tc_nirQAUvg2UmvO1pUxVNO7A_39_0"/>
      <w:bookmarkStart w:id="457" w:name="Tc_bqo_dt0j9EeFs1aIi5EmOw_37_5"/>
      <w:bookmarkStart w:id="458" w:name="Tc_Ut9P1yEAL0aZs3-Zks-eFA_37_2"/>
      <w:bookmarkStart w:id="459" w:name="Tc_WluVzZXjqk6aqDp6DtcQgQ_37_0"/>
      <w:bookmarkStart w:id="460" w:name="Tc_XzDZ0evjZ06DOPKgErUFFw_36_0"/>
      <w:bookmarkStart w:id="461" w:name="Tc_i0_zZ7WNFU-BLDPSKCfblw_35_0"/>
      <w:bookmarkStart w:id="462" w:name="Tc_JWwhOg_y2EKvujBceJEfng_34_6"/>
      <w:bookmarkStart w:id="463" w:name="Tc_QGPuuqlGiUC1PeUo0S1Z6A_34_0"/>
      <w:bookmarkStart w:id="464" w:name="Tc_9xlVMU9VQ0iPu_-Yjyoi-w_33_5"/>
      <w:bookmarkStart w:id="465" w:name="Tc_DJHMthqtOESETFzTLygj7w_33_2"/>
      <w:bookmarkStart w:id="466" w:name="Tc_JanbRwoeD02Ddz2V2BjmJg_33_0"/>
      <w:bookmarkStart w:id="467" w:name="Tc_rs1Ibo26TEeZMJjXzb6q_Q_32_0"/>
      <w:bookmarkStart w:id="468" w:name="Tc_iwJlFtU0CESgMD60P2VDBg_30_5"/>
      <w:bookmarkStart w:id="469" w:name="Tc_H3ylQwbyCEGqdpdJQzcbZQ_30_2"/>
      <w:bookmarkStart w:id="470" w:name="Tc_1JdDEum-WUiJ67IMAsCyqQ_30_0"/>
      <w:bookmarkStart w:id="471" w:name="Tc_N4duakHjA0uMKoH6pqOSwA_29_0"/>
      <w:bookmarkStart w:id="472" w:name="Tc_Ut6jsYGf5EGMq3Oqo36yTg_28_0"/>
      <w:bookmarkStart w:id="473" w:name="Tc_u-mjNkYbj0mOGWPNqzPl7g_27_0"/>
      <w:bookmarkStart w:id="474" w:name="Tc_iFdGveze4kmvpEYbBsOgkw_26_5"/>
      <w:bookmarkStart w:id="475" w:name="Tc_R1oPNiMLek6Y_QtzGzBPIw_26_2"/>
      <w:bookmarkStart w:id="476" w:name="Tc_CenLGSafokmEL-2PUNkg8g_26_0"/>
      <w:bookmarkStart w:id="477" w:name="Tc_ZrvqEfuIRkqbBrQGJddLSg_25_0"/>
      <w:bookmarkStart w:id="478" w:name="Tc_6jpH-WwXs0e9ariHfs1OXw_23_5"/>
      <w:bookmarkStart w:id="479" w:name="Tc_pLcxVGPqokqRqaaoE3Qn2Q_23_2"/>
      <w:bookmarkStart w:id="480" w:name="Tc_XlIrMSXgMUCsVHAjGHeBbQ_23_0"/>
      <w:bookmarkStart w:id="481" w:name="Tc_H_ZJDhViF0iRoIxkZnQHhQ_22_0"/>
      <w:bookmarkStart w:id="482" w:name="Tc_baJyF6BHZ0qKRuGcQi98Fg_21_0"/>
      <w:bookmarkStart w:id="483" w:name="Tc_xlfE7KLM7EKnv9iI8YLSRw_20_0"/>
      <w:bookmarkStart w:id="484" w:name="Tc_QsLeVesnkUSCxNo5WZKQ-g_19_0"/>
      <w:bookmarkStart w:id="485" w:name="Tc_Zw53I5k5NUqxWYkkQl88uQ_18_0"/>
      <w:bookmarkStart w:id="486" w:name="Tc_oeo8p_sc3ESrZzrZr0Kpaw_17_0"/>
      <w:bookmarkStart w:id="487" w:name="Tc_7PKrjVG4skqzArrKqGGvMQ_16_0"/>
      <w:bookmarkStart w:id="488" w:name="Tc_paJIrKrcLk6fGvIhyIvLzg_15_0"/>
      <w:bookmarkStart w:id="489" w:name="Tc_gpP3l26Y6UOAmARjSsI71A_14_3"/>
      <w:bookmarkStart w:id="490" w:name="Tc_BI9rb1c5y0Gsc-qkkpVjXg_14_0"/>
      <w:bookmarkStart w:id="491" w:name="Tc_V2H-sZlGYUu0p3MNuzvI7Q_13_0"/>
      <w:bookmarkStart w:id="492" w:name="Tc_gXysG_5TuUOCfpdEgFkNXw_12_0"/>
      <w:bookmarkStart w:id="493" w:name="Tc_gcehTNHTd0G0TkrZOfjgoA_11_0"/>
      <w:bookmarkStart w:id="494" w:name="Tc_EcANd5fa_UaNwFyKgV3ZXw_10_0"/>
      <w:bookmarkStart w:id="495" w:name="Tc_d9ktOhViEEW0UgqCsWoDOA_9_0"/>
      <w:bookmarkStart w:id="496" w:name="Tc_Pw9wtGp5BkeLRMegvQY8QQ_8_0"/>
      <w:bookmarkStart w:id="497" w:name="Tc_Qq6a4iTVukSl7uBwQCLeLg_7_0"/>
      <w:bookmarkStart w:id="498" w:name="Tc_9ca_9M8KzUWjbcCwk6NDnQ_6_0"/>
      <w:bookmarkStart w:id="499" w:name="Tc_G-6mjXe5D0mlzD6opXyBYA_5_0"/>
      <w:bookmarkStart w:id="500" w:name="Tc_pSd92y9e_EmGDCxvT_Jnug_4_5"/>
      <w:bookmarkStart w:id="501" w:name="Tc_mUlqzuF3IkanAX6PBa7rKA_4_2"/>
      <w:bookmarkStart w:id="502" w:name="Tc_lj5oztq-w0iLDVbXh-pOdw_4_0"/>
      <w:bookmarkStart w:id="503" w:name="Tc_EB6_vDE0f0-7utcmSOZELg_3_0"/>
      <w:bookmarkStart w:id="504" w:name="Tc_ub6JM4trBU2kwPBDPVxF5Q_2_5"/>
      <w:bookmarkStart w:id="505" w:name="Tc_pnUgSV74GEWHrTVO1DYohw_2_2"/>
      <w:bookmarkStart w:id="506" w:name="Tc_7h4FENtz9ESsoa1QG4sZdQ_1_2"/>
      <w:bookmarkStart w:id="507" w:name="_99bcfdad_2ab4_431f_a83c_729ddb865911"/>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tbl>
      <w:tblPr>
        <w:tblW w:w="8890" w:type="dxa"/>
        <w:jc w:val="left"/>
        <w:tblInd w:w="0" w:type="dxa"/>
        <w:tblLayout w:type="fixed"/>
        <w:tblCellMar>
          <w:top w:w="0" w:type="dxa"/>
          <w:left w:w="0" w:type="dxa"/>
          <w:bottom w:w="0" w:type="dxa"/>
          <w:right w:w="0" w:type="dxa"/>
        </w:tblCellMar>
      </w:tblPr>
      <w:tblGrid>
        <w:gridCol w:w="5986"/>
        <w:gridCol w:w="326"/>
        <w:gridCol w:w="265"/>
        <w:gridCol w:w="854"/>
        <w:gridCol w:w="441"/>
        <w:gridCol w:w="265"/>
        <w:gridCol w:w="753"/>
      </w:tblGrid>
      <w:tr>
        <w:trPr/>
        <w:tc>
          <w:tcPr>
            <w:tcW w:w="5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801110" cy="175260"/>
                      <wp:effectExtent l="0" t="0" r="0" b="0"/>
                      <wp:wrapNone/>
                      <wp:docPr id="39" name="Frame39"/>
                      <a:graphic xmlns:a="http://schemas.openxmlformats.org/drawingml/2006/main">
                        <a:graphicData uri="http://schemas.microsoft.com/office/word/2010/wordprocessingShape">
                          <wps:wsp>
                            <wps:cNvSpPr txBox="1"/>
                            <wps:spPr>
                              <a:xfrm>
                                <a:off x="0" y="0"/>
                                <a:ext cx="3801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8275" cy="175260"/>
                      <wp:effectExtent l="0" t="0" r="0" b="0"/>
                      <wp:wrapNone/>
                      <wp:docPr id="41" name="Frame4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42290" cy="175260"/>
                      <wp:effectExtent l="0" t="0" r="0" b="0"/>
                      <wp:wrapNone/>
                      <wp:docPr id="42" name="Frame42"/>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80035" cy="175260"/>
                      <wp:effectExtent l="0" t="0" r="0" b="0"/>
                      <wp:wrapNone/>
                      <wp:docPr id="43" name="Frame43"/>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68275" cy="175260"/>
                      <wp:effectExtent l="0" t="0" r="0" b="0"/>
                      <wp:wrapNone/>
                      <wp:docPr id="44" name="Frame4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78155" cy="175260"/>
                      <wp:effectExtent l="0" t="0" r="0" b="0"/>
                      <wp:wrapNone/>
                      <wp:docPr id="45" name="Frame45"/>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59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1" w:type="dxa"/>
            <w:tcBorders/>
            <w:vAlign w:val="center"/>
          </w:tcPr>
          <w:p>
            <w:pPr>
              <w:pStyle w:val="TableContents"/>
              <w:bidi w:val="0"/>
              <w:spacing w:before="0" w:after="0"/>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  </w:t>
            </w:r>
          </w:p>
        </w:tc>
        <w:tc>
          <w:tcPr>
            <w:tcW w:w="441" w:type="dxa"/>
            <w:tcBorders/>
            <w:shd w:fill="CCEEFF" w:val="clear"/>
            <w:vAlign w:val="center"/>
          </w:tcPr>
          <w:p>
            <w:pPr>
              <w:pStyle w:val="TableContents"/>
              <w:bidi w:val="0"/>
              <w:spacing w:before="0" w:after="0"/>
              <w:ind w:left="0" w:right="0" w:hanging="0"/>
              <w:jc w:val="left"/>
              <w:rPr/>
            </w:pPr>
            <w:r>
              <w:rPr/>
              <w:t> </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  </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property, equipment and 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right-of-use assets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capitalized contract costs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acquisition-related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asset sales and other</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Workforce rebalancing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 </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193 </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23 </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 (excluding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(1,697)</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other liabilities</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645 </w:t>
            </w:r>
          </w:p>
        </w:tc>
        <w:tc>
          <w:tcPr>
            <w:tcW w:w="441"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disposition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and divestitures, net of cash acquired</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investing activities,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441"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r>
      <w:tr>
        <w:trPr/>
        <w:tc>
          <w:tcPr>
            <w:tcW w:w="59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753" w:type="dxa"/>
            <w:tcBorders/>
            <w:vAlign w:val="center"/>
          </w:tcPr>
          <w:p>
            <w:pPr>
              <w:pStyle w:val="TableContents"/>
              <w:bidi w:val="0"/>
              <w:spacing w:before="0" w:after="0"/>
              <w:ind w:left="0" w:right="0" w:hanging="0"/>
              <w:jc w:val="righ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repayments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repurchases </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for tax withholdings</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financing activities, net</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41"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Net cash used in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r>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pPr>
            <w:r>
              <w:rPr/>
              <w:t>​</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30 </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 </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r>
      <w:tr>
        <w:trPr/>
        <w:tc>
          <w:tcPr>
            <w:tcW w:w="59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1,789</w:t>
            </w:r>
          </w:p>
        </w:tc>
        <w:tc>
          <w:tcPr>
            <w:tcW w:w="441"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1,336</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1,330</w:t>
            </w:r>
          </w:p>
        </w:tc>
      </w:tr>
      <w:tr>
        <w:trPr/>
        <w:tc>
          <w:tcPr>
            <w:tcW w:w="5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data</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r>
      <w:tr>
        <w:trPr/>
        <w:tc>
          <w:tcPr>
            <w:tcW w:w="5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refunds received</w:t>
            </w:r>
          </w:p>
        </w:tc>
        <w:tc>
          <w:tcPr>
            <w:tcW w:w="32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44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59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on debt</w:t>
            </w:r>
          </w:p>
        </w:tc>
        <w:tc>
          <w:tcPr>
            <w:tcW w:w="32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44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08" w:name="Equity"/>
      <w:bookmarkStart w:id="509" w:name="_43d01a35_b03d_4c82_8025_93e65a28da2f"/>
      <w:bookmarkEnd w:id="508"/>
      <w:bookmarkEnd w:id="509"/>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510" w:name="COMBINEDSTATEMENTOFEQUITY_472371"/>
      <w:bookmarkStart w:id="511" w:name="INDEXEQUITY"/>
      <w:bookmarkEnd w:id="510"/>
      <w:bookmarkEnd w:id="511"/>
      <w:r>
        <w:rPr>
          <w:rFonts w:ascii="Times New Roman;Times;serif" w:hAnsi="Times New Roman;Times;serif"/>
          <w:b/>
          <w:sz w:val="20"/>
        </w:rPr>
        <w:t>CONSOLIDATED STATEMENT OF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512" w:name="Tc_d9oqc9AkgEmEUy1OGbkKuw_11_0"/>
      <w:bookmarkStart w:id="513" w:name="Tc_CFymjOHlokuv4jSCAmvWiw_10_0"/>
      <w:bookmarkStart w:id="514" w:name="Tc_GMs5hSQdXEKuiB4TxpY3-g_9_0"/>
      <w:bookmarkStart w:id="515" w:name="Tc_-AaYeBJ7eU654ZA9pcCHLA_8_0"/>
      <w:bookmarkStart w:id="516" w:name="Tc_H2aZa5Z810CrfaDPZXR7AA_7_0"/>
      <w:bookmarkStart w:id="517" w:name="Tc_sN1xmzMqtkOI_YAh9QEMeg_6_0"/>
      <w:bookmarkStart w:id="518" w:name="Tc_8pZHAaXfIUev2CxvqchxfQ_5_20"/>
      <w:bookmarkStart w:id="519" w:name="Tc_f3xcuGLnVUuyE_CSrhEzUA_5_17"/>
      <w:bookmarkStart w:id="520" w:name="Tc_XTAoYkQewkaGWI2aiGRTtw_5_14"/>
      <w:bookmarkStart w:id="521" w:name="Tc_JzXP45dSBUuwZvxQmvxI3w_5_11"/>
      <w:bookmarkStart w:id="522" w:name="Tc_rDFe2zI6vkWPKGinYrlP5A_5_8"/>
      <w:bookmarkStart w:id="523" w:name="Tc_gUyaToaS90-F3rJxs6o_Og_5_5"/>
      <w:bookmarkStart w:id="524" w:name="Tc_9tXNpTwD7kmh1U2eWwpprQ_5_0"/>
      <w:bookmarkStart w:id="525" w:name="Tc_y6U1c2Jj6kauQP_udqb_0Q_4_20"/>
      <w:bookmarkStart w:id="526" w:name="Tc_QSOc-c7tIkujU-VBAQzSaQ_4_17"/>
      <w:bookmarkStart w:id="527" w:name="Tc_RaOydX7nw02MjeU-QiexiQ_4_14"/>
      <w:bookmarkStart w:id="528" w:name="Tc__MWcx9iUg0ecMComBc1qBw_4_11"/>
      <w:bookmarkStart w:id="529" w:name="Tc_2C7wRAh1s0iFMEFPbpkY0A_4_8"/>
      <w:bookmarkStart w:id="530" w:name="Tc_vt8VRM_ZdEap9p7juQm4kA_4_5"/>
      <w:bookmarkStart w:id="531" w:name="Tc_77oEhHWca0qcowRLPxh--g_4_2"/>
      <w:bookmarkStart w:id="532" w:name="Tc_yGpCbbc5L0aQCTazVrp0VA_3_20"/>
      <w:bookmarkStart w:id="533" w:name="Tc_iricdHuiikOgq_m4lL4Wwg_3_17"/>
      <w:bookmarkStart w:id="534" w:name="Tc_N0lHEr_N3Eik0r_JTRaghw_3_14"/>
      <w:bookmarkStart w:id="535" w:name="Tc_KVLJsLoxZ0-9ppa49Yx0Zw_3_11"/>
      <w:bookmarkStart w:id="536" w:name="Tc_58BMKE4y302zdnflG6RJoQ_3_8"/>
      <w:bookmarkStart w:id="537" w:name="Tc_Lw0XXJ1O_0KZgpIWMU8tmA_3_2"/>
      <w:bookmarkStart w:id="538" w:name="Tc_w1-Ll0SZi0OerQneZ5Hd_g_2_17"/>
      <w:bookmarkStart w:id="539" w:name="Tc_hffcbne2LEWwlnLeDjTmwQ_2_8"/>
      <w:bookmarkStart w:id="540" w:name="Tc_TcwEEPe2JUauzdtAeUm5fA_2_2"/>
      <w:bookmarkStart w:id="541" w:name="Tc_4FdmZRoaKEelxMjaIIR9pg_1_8"/>
      <w:bookmarkStart w:id="542" w:name="Tc_o_Bx8Z9kXU2mfijkjHLMPQ_1_2"/>
      <w:bookmarkStart w:id="543" w:name="_47db32ab_119b_404b_a709_ac6699479d8e"/>
      <w:bookmarkStart w:id="544" w:name="Tc_d9oqc9AkgEmEUy1OGbkKuw_11_0"/>
      <w:bookmarkStart w:id="545" w:name="Tc_CFymjOHlokuv4jSCAmvWiw_10_0"/>
      <w:bookmarkStart w:id="546" w:name="Tc_GMs5hSQdXEKuiB4TxpY3-g_9_0"/>
      <w:bookmarkStart w:id="547" w:name="Tc_-AaYeBJ7eU654ZA9pcCHLA_8_0"/>
      <w:bookmarkStart w:id="548" w:name="Tc_H2aZa5Z810CrfaDPZXR7AA_7_0"/>
      <w:bookmarkStart w:id="549" w:name="Tc_sN1xmzMqtkOI_YAh9QEMeg_6_0"/>
      <w:bookmarkStart w:id="550" w:name="Tc_8pZHAaXfIUev2CxvqchxfQ_5_20"/>
      <w:bookmarkStart w:id="551" w:name="Tc_f3xcuGLnVUuyE_CSrhEzUA_5_17"/>
      <w:bookmarkStart w:id="552" w:name="Tc_XTAoYkQewkaGWI2aiGRTtw_5_14"/>
      <w:bookmarkStart w:id="553" w:name="Tc_JzXP45dSBUuwZvxQmvxI3w_5_11"/>
      <w:bookmarkStart w:id="554" w:name="Tc_rDFe2zI6vkWPKGinYrlP5A_5_8"/>
      <w:bookmarkStart w:id="555" w:name="Tc_gUyaToaS90-F3rJxs6o_Og_5_5"/>
      <w:bookmarkStart w:id="556" w:name="Tc_9tXNpTwD7kmh1U2eWwpprQ_5_0"/>
      <w:bookmarkStart w:id="557" w:name="Tc_y6U1c2Jj6kauQP_udqb_0Q_4_20"/>
      <w:bookmarkStart w:id="558" w:name="Tc_QSOc-c7tIkujU-VBAQzSaQ_4_17"/>
      <w:bookmarkStart w:id="559" w:name="Tc_RaOydX7nw02MjeU-QiexiQ_4_14"/>
      <w:bookmarkStart w:id="560" w:name="Tc__MWcx9iUg0ecMComBc1qBw_4_11"/>
      <w:bookmarkStart w:id="561" w:name="Tc_2C7wRAh1s0iFMEFPbpkY0A_4_8"/>
      <w:bookmarkStart w:id="562" w:name="Tc_vt8VRM_ZdEap9p7juQm4kA_4_5"/>
      <w:bookmarkStart w:id="563" w:name="Tc_77oEhHWca0qcowRLPxh--g_4_2"/>
      <w:bookmarkStart w:id="564" w:name="Tc_yGpCbbc5L0aQCTazVrp0VA_3_20"/>
      <w:bookmarkStart w:id="565" w:name="Tc_iricdHuiikOgq_m4lL4Wwg_3_17"/>
      <w:bookmarkStart w:id="566" w:name="Tc_N0lHEr_N3Eik0r_JTRaghw_3_14"/>
      <w:bookmarkStart w:id="567" w:name="Tc_KVLJsLoxZ0-9ppa49Yx0Zw_3_11"/>
      <w:bookmarkStart w:id="568" w:name="Tc_58BMKE4y302zdnflG6RJoQ_3_8"/>
      <w:bookmarkStart w:id="569" w:name="Tc_Lw0XXJ1O_0KZgpIWMU8tmA_3_2"/>
      <w:bookmarkStart w:id="570" w:name="Tc_w1-Ll0SZi0OerQneZ5Hd_g_2_17"/>
      <w:bookmarkStart w:id="571" w:name="Tc_hffcbne2LEWwlnLeDjTmwQ_2_8"/>
      <w:bookmarkStart w:id="572" w:name="Tc_TcwEEPe2JUauzdtAeUm5fA_2_2"/>
      <w:bookmarkStart w:id="573" w:name="Tc_4FdmZRoaKEelxMjaIIR9pg_1_8"/>
      <w:bookmarkStart w:id="574" w:name="Tc_o_Bx8Z9kXU2mfijkjHLMPQ_1_2"/>
      <w:bookmarkStart w:id="575" w:name="_47db32ab_119b_404b_a709_ac6699479d8e"/>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60575" cy="175260"/>
                      <wp:effectExtent l="0" t="0" r="0" b="0"/>
                      <wp:wrapNone/>
                      <wp:docPr id="46" name="Frame46"/>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2425" cy="175260"/>
                      <wp:effectExtent l="0" t="0" r="0" b="0"/>
                      <wp:wrapNone/>
                      <wp:docPr id="49" name="Frame49"/>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52425" cy="175260"/>
                      <wp:effectExtent l="0" t="0" r="0" b="0"/>
                      <wp:wrapNone/>
                      <wp:docPr id="52" name="Frame5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6850" cy="175260"/>
                      <wp:effectExtent l="0" t="0" r="0" b="0"/>
                      <wp:wrapNone/>
                      <wp:docPr id="54" name="Frame5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75310" cy="175260"/>
                      <wp:effectExtent l="0" t="0" r="0" b="0"/>
                      <wp:wrapNone/>
                      <wp:docPr id="55" name="Frame5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0495" cy="175260"/>
                      <wp:effectExtent l="0" t="0" r="0" b="0"/>
                      <wp:wrapNone/>
                      <wp:docPr id="57" name="Frame5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35915" cy="175260"/>
                      <wp:effectExtent l="0" t="0" r="0" b="0"/>
                      <wp:wrapNone/>
                      <wp:docPr id="58" name="Frame58"/>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0180" cy="175260"/>
                      <wp:effectExtent l="0" t="0" r="0" b="0"/>
                      <wp:wrapNone/>
                      <wp:docPr id="60" name="Frame6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7205" cy="175260"/>
                      <wp:effectExtent l="0" t="0" r="0" b="0"/>
                      <wp:wrapNone/>
                      <wp:docPr id="61" name="Frame6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5740" cy="175260"/>
                      <wp:effectExtent l="0" t="0" r="0" b="0"/>
                      <wp:wrapNone/>
                      <wp:docPr id="63" name="Frame6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94970" cy="175260"/>
                      <wp:effectExtent l="0" t="0" r="0" b="0"/>
                      <wp:wrapNone/>
                      <wp:docPr id="64" name="Frame64"/>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85445" cy="175260"/>
                      <wp:effectExtent l="0" t="0" r="0" b="0"/>
                      <wp:wrapNone/>
                      <wp:docPr id="67" name="Frame6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July 1,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4,656</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(1,094)</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(2,011)</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1,343</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7 </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1.7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September 30,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229.4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4,686 </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(1,088)</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(1,943)</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1,340</w:t>
            </w:r>
          </w:p>
        </w:tc>
      </w:tr>
    </w:tbl>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576" w:name="Tc_HrPc9LmyLUOWxCM3D7R-Ig_11_20"/>
      <w:bookmarkStart w:id="577" w:name="Tc_ZEeePqiOVE-85nHiUzaeyg_11_17"/>
      <w:bookmarkStart w:id="578" w:name="Tc_lFbSNS6A4Eik-rGKoBzfWQ_11_14"/>
      <w:bookmarkStart w:id="579" w:name="Tc_IvjrbZAbUUeTA2ubEnDclQ_11_11"/>
      <w:bookmarkStart w:id="580" w:name="Tc_Oj6Ju9SxHUecndyv0oGcKA_11_8"/>
      <w:bookmarkStart w:id="581" w:name="Tc_SvrZzAr4DkyTDMkPvtxtUg_11_5"/>
      <w:bookmarkStart w:id="582" w:name="Tc_8qglIsbvvE2RPuIctR21jQ_11_0"/>
      <w:bookmarkStart w:id="583" w:name="Tc_IPuK-9BjykymhMS3RaWqrg_10_0"/>
      <w:bookmarkStart w:id="584" w:name="Tc_3UocWnnA_E-SctUcNnBpfw_9_0"/>
      <w:bookmarkStart w:id="585" w:name="Tc_K3IAY-4BREebXGnnhpv89Q_8_0"/>
      <w:bookmarkStart w:id="586" w:name="Tc_kODMqpz0N0aHa_wctS_lmg_7_0"/>
      <w:bookmarkStart w:id="587" w:name="Tc_tyNnMuHZ3UGUZSOe0LtFjA_6_0"/>
      <w:bookmarkStart w:id="588" w:name="Tc_CrQDjFj6GkKlyxYQI6CtkQ_5_20"/>
      <w:bookmarkStart w:id="589" w:name="Tc_W62HadBN7kKzmLcTFjBWKA_5_17"/>
      <w:bookmarkStart w:id="590" w:name="Tc_GVBkFO3SsECFmvqj9TtYmw_5_14"/>
      <w:bookmarkStart w:id="591" w:name="Tc_9HmHwnCfgEuBMWfnbN52NA_5_11"/>
      <w:bookmarkStart w:id="592" w:name="Tc_FSWiN0U28UioqEStbBaFpw_5_8"/>
      <w:bookmarkStart w:id="593" w:name="Tc_BjGJWlpcp0Gtnm8Xkx6B9g_5_5"/>
      <w:bookmarkStart w:id="594" w:name="Tc_AfLRo3OqsEKenu10fuf11A_5_0"/>
      <w:bookmarkStart w:id="595" w:name="Tc_Sn4rkvKayEa9W2DXEm0P9g_4_20"/>
      <w:bookmarkStart w:id="596" w:name="Tc_H5a1N0-l10m5_SSyHyI6JQ_4_17"/>
      <w:bookmarkStart w:id="597" w:name="Tc_uxt6foeCxEKDEbPTSBwE7A_4_14"/>
      <w:bookmarkStart w:id="598" w:name="Tc_qZpKN0I53E2a6osMQx04RA_4_11"/>
      <w:bookmarkStart w:id="599" w:name="Tc_s7xC3iTkjUq5GYbsCgr38w_4_8"/>
      <w:bookmarkStart w:id="600" w:name="Tc_n9ebxnHTlECorhax2cF_tA_4_5"/>
      <w:bookmarkStart w:id="601" w:name="Tc_cO9Yl36ZpU6O9F3zONILNQ_4_2"/>
      <w:bookmarkStart w:id="602" w:name="Tc_J02gJGy6SECPEqPrF4U5Ow_3_20"/>
      <w:bookmarkStart w:id="603" w:name="Tc_kWHIBn3b-kyTp-89O-xIlQ_3_17"/>
      <w:bookmarkStart w:id="604" w:name="Tc_m6eA7LIS3kClsycIfEAB5A_3_14"/>
      <w:bookmarkStart w:id="605" w:name="Tc_wRaq47nzIUijCz22LFb5Iw_3_11"/>
      <w:bookmarkStart w:id="606" w:name="Tc_gUHZjVdwVUahhU7eKxFGVw_3_8"/>
      <w:bookmarkStart w:id="607" w:name="Tc_zjcnk35xtE2T9liT7NEcMQ_3_2"/>
      <w:bookmarkStart w:id="608" w:name="Tc_7sc-sxvhbkSN7O1m31Nrng_2_17"/>
      <w:bookmarkStart w:id="609" w:name="Tc_d21SemrhsUC0FNVv77M3NA_2_8"/>
      <w:bookmarkStart w:id="610" w:name="Tc_5SKHd2DVDU2tn7q43uNa3Q_2_2"/>
      <w:bookmarkStart w:id="611" w:name="Tc_COVdjeJv8k-jQXSSmH2fRQ_1_8"/>
      <w:bookmarkStart w:id="612" w:name="Tc_XE0xLubh_k-qm8tM6zsAcg_1_2"/>
      <w:bookmarkStart w:id="613" w:name="_167ce71d_873f_4e0f_9af5_7cef9af5f15d"/>
      <w:bookmarkStart w:id="614" w:name="Tc_HrPc9LmyLUOWxCM3D7R-Ig_11_20"/>
      <w:bookmarkStart w:id="615" w:name="Tc_ZEeePqiOVE-85nHiUzaeyg_11_17"/>
      <w:bookmarkStart w:id="616" w:name="Tc_lFbSNS6A4Eik-rGKoBzfWQ_11_14"/>
      <w:bookmarkStart w:id="617" w:name="Tc_IvjrbZAbUUeTA2ubEnDclQ_11_11"/>
      <w:bookmarkStart w:id="618" w:name="Tc_Oj6Ju9SxHUecndyv0oGcKA_11_8"/>
      <w:bookmarkStart w:id="619" w:name="Tc_SvrZzAr4DkyTDMkPvtxtUg_11_5"/>
      <w:bookmarkStart w:id="620" w:name="Tc_8qglIsbvvE2RPuIctR21jQ_11_0"/>
      <w:bookmarkStart w:id="621" w:name="Tc_IPuK-9BjykymhMS3RaWqrg_10_0"/>
      <w:bookmarkStart w:id="622" w:name="Tc_3UocWnnA_E-SctUcNnBpfw_9_0"/>
      <w:bookmarkStart w:id="623" w:name="Tc_K3IAY-4BREebXGnnhpv89Q_8_0"/>
      <w:bookmarkStart w:id="624" w:name="Tc_kODMqpz0N0aHa_wctS_lmg_7_0"/>
      <w:bookmarkStart w:id="625" w:name="Tc_tyNnMuHZ3UGUZSOe0LtFjA_6_0"/>
      <w:bookmarkStart w:id="626" w:name="Tc_CrQDjFj6GkKlyxYQI6CtkQ_5_20"/>
      <w:bookmarkStart w:id="627" w:name="Tc_W62HadBN7kKzmLcTFjBWKA_5_17"/>
      <w:bookmarkStart w:id="628" w:name="Tc_GVBkFO3SsECFmvqj9TtYmw_5_14"/>
      <w:bookmarkStart w:id="629" w:name="Tc_9HmHwnCfgEuBMWfnbN52NA_5_11"/>
      <w:bookmarkStart w:id="630" w:name="Tc_FSWiN0U28UioqEStbBaFpw_5_8"/>
      <w:bookmarkStart w:id="631" w:name="Tc_BjGJWlpcp0Gtnm8Xkx6B9g_5_5"/>
      <w:bookmarkStart w:id="632" w:name="Tc_AfLRo3OqsEKenu10fuf11A_5_0"/>
      <w:bookmarkStart w:id="633" w:name="Tc_Sn4rkvKayEa9W2DXEm0P9g_4_20"/>
      <w:bookmarkStart w:id="634" w:name="Tc_H5a1N0-l10m5_SSyHyI6JQ_4_17"/>
      <w:bookmarkStart w:id="635" w:name="Tc_uxt6foeCxEKDEbPTSBwE7A_4_14"/>
      <w:bookmarkStart w:id="636" w:name="Tc_qZpKN0I53E2a6osMQx04RA_4_11"/>
      <w:bookmarkStart w:id="637" w:name="Tc_s7xC3iTkjUq5GYbsCgr38w_4_8"/>
      <w:bookmarkStart w:id="638" w:name="Tc_n9ebxnHTlECorhax2cF_tA_4_5"/>
      <w:bookmarkStart w:id="639" w:name="Tc_cO9Yl36ZpU6O9F3zONILNQ_4_2"/>
      <w:bookmarkStart w:id="640" w:name="Tc_J02gJGy6SECPEqPrF4U5Ow_3_20"/>
      <w:bookmarkStart w:id="641" w:name="Tc_kWHIBn3b-kyTp-89O-xIlQ_3_17"/>
      <w:bookmarkStart w:id="642" w:name="Tc_m6eA7LIS3kClsycIfEAB5A_3_14"/>
      <w:bookmarkStart w:id="643" w:name="Tc_wRaq47nzIUijCz22LFb5Iw_3_11"/>
      <w:bookmarkStart w:id="644" w:name="Tc_gUHZjVdwVUahhU7eKxFGVw_3_8"/>
      <w:bookmarkStart w:id="645" w:name="Tc_zjcnk35xtE2T9liT7NEcMQ_3_2"/>
      <w:bookmarkStart w:id="646" w:name="Tc_7sc-sxvhbkSN7O1m31Nrng_2_17"/>
      <w:bookmarkStart w:id="647" w:name="Tc_d21SemrhsUC0FNVv77M3NA_2_8"/>
      <w:bookmarkStart w:id="648" w:name="Tc_5SKHd2DVDU2tn7q43uNa3Q_2_2"/>
      <w:bookmarkStart w:id="649" w:name="Tc_COVdjeJv8k-jQXSSmH2fRQ_1_8"/>
      <w:bookmarkStart w:id="650" w:name="Tc_XE0xLubh_k-qm8tM6zsAcg_1_2"/>
      <w:bookmarkStart w:id="651" w:name="_167ce71d_873f_4e0f_9af5_7cef9af5f15d"/>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77"/>
        <w:gridCol w:w="48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60575" cy="175260"/>
                      <wp:effectExtent l="0" t="0" r="0" b="0"/>
                      <wp:wrapNone/>
                      <wp:docPr id="68" name="Frame68"/>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52425" cy="175260"/>
                      <wp:effectExtent l="0" t="0" r="0" b="0"/>
                      <wp:wrapNone/>
                      <wp:docPr id="71" name="Frame71"/>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52425" cy="175260"/>
                      <wp:effectExtent l="0" t="0" r="0" b="0"/>
                      <wp:wrapNone/>
                      <wp:docPr id="74" name="Frame7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96850" cy="175260"/>
                      <wp:effectExtent l="0" t="0" r="0" b="0"/>
                      <wp:wrapNone/>
                      <wp:docPr id="76" name="Frame7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75310" cy="175260"/>
                      <wp:effectExtent l="0" t="0" r="0" b="0"/>
                      <wp:wrapNone/>
                      <wp:docPr id="77" name="Frame7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75895" cy="175260"/>
                      <wp:effectExtent l="0" t="0" r="0" b="0"/>
                      <wp:wrapNone/>
                      <wp:docPr id="79" name="Frame7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10515" cy="175260"/>
                      <wp:effectExtent l="0" t="0" r="0" b="0"/>
                      <wp:wrapNone/>
                      <wp:docPr id="80" name="Frame80"/>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0180" cy="175260"/>
                      <wp:effectExtent l="0" t="0" r="0" b="0"/>
                      <wp:wrapNone/>
                      <wp:docPr id="82" name="Frame8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7205" cy="175260"/>
                      <wp:effectExtent l="0" t="0" r="0" b="0"/>
                      <wp:wrapNone/>
                      <wp:docPr id="83" name="Frame8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5740" cy="175260"/>
                      <wp:effectExtent l="0" t="0" r="0" b="0"/>
                      <wp:wrapNone/>
                      <wp:docPr id="85" name="Frame8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94970" cy="175260"/>
                      <wp:effectExtent l="0" t="0" r="0" b="0"/>
                      <wp:wrapNone/>
                      <wp:docPr id="86" name="Frame86"/>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85445" cy="175260"/>
                      <wp:effectExtent l="0" t="0" r="0" b="0"/>
                      <wp:wrapNone/>
                      <wp:docPr id="89" name="Frame89"/>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July 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4,549</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(2,308)</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1,101</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102 </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1.9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232.2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4,575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(2,351)</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1,172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2" w:name="Tc_s8oEfIUq0EWQCy2tYKGGxA_11_20"/>
      <w:bookmarkStart w:id="653" w:name="Tc_bKi9rpdVK0en0mzKajfT8w_11_17"/>
      <w:bookmarkStart w:id="654" w:name="Tc_cBVwWyvgtUmkySKHdDqp5A_11_14"/>
      <w:bookmarkStart w:id="655" w:name="Tc_EoY3zLTAaUGPi_9wjQdvdg_11_11"/>
      <w:bookmarkStart w:id="656" w:name="Tc_m4mhkiC3mk209RLPloDulw_11_8"/>
      <w:bookmarkStart w:id="657" w:name="Tc_CLEZAAmnik2av4XOlaUzgA_11_5"/>
      <w:bookmarkStart w:id="658" w:name="Tc_mhUAAdnRPUaVPvFAvPYfSw_11_0"/>
      <w:bookmarkStart w:id="659" w:name="Tc_Q20BPw_PJU2HzEM6xmjRjA_10_21"/>
      <w:bookmarkStart w:id="660" w:name="Tc_UJQrIaEulkeyRNz-YMjUWQ_10_18"/>
      <w:bookmarkStart w:id="661" w:name="Tc_20fCcWtXBkGsDgo8qrgwuQ_10_0"/>
      <w:bookmarkStart w:id="662" w:name="Tc_NYgk_JOjgEWQzpswt4SZxg_9_0"/>
      <w:bookmarkStart w:id="663" w:name="Tc_Hin80dwGf0yKNbk6T80ekA_8_0"/>
      <w:bookmarkStart w:id="664" w:name="Tc_1WNsSypJ_0moG0rVD9rkLA_7_0"/>
      <w:bookmarkStart w:id="665" w:name="Tc_01QPXY_iPEyD0zeP6qH9Ew_6_0"/>
      <w:bookmarkStart w:id="666" w:name="Tc_YP40mgx_XUWRfr_pR2D3fQ_5_20"/>
      <w:bookmarkStart w:id="667" w:name="Tc_EkDIBapoykmIoXobMF4kVw_5_17"/>
      <w:bookmarkStart w:id="668" w:name="Tc_MKutgqVom0SAjtBPqNLCnA_5_14"/>
      <w:bookmarkStart w:id="669" w:name="Tc_jF-PyGuC4kKdLol7hGx8Og_5_11"/>
      <w:bookmarkStart w:id="670" w:name="Tc_DCzkGTr3zkqdJKRBdvQbYw_5_8"/>
      <w:bookmarkStart w:id="671" w:name="Tc_31orW140H0WdPpXgqpct-w_5_5"/>
      <w:bookmarkStart w:id="672" w:name="Tc_R1oD7kokNk-1IWGdyZdKBg_5_0"/>
      <w:bookmarkStart w:id="673" w:name="Tc_KATKSP75hk-AFoUcx07TZw_4_20"/>
      <w:bookmarkStart w:id="674" w:name="Tc_j1VjLG8XsEykkpBlC18POg_4_17"/>
      <w:bookmarkStart w:id="675" w:name="Tc_Jtmxhn6nD0WMk2EaFSr2OA_4_14"/>
      <w:bookmarkStart w:id="676" w:name="Tc_rzAzBIoSMkuw17IdtAWNFg_4_11"/>
      <w:bookmarkStart w:id="677" w:name="Tc_m3LYjihv40iSDW098G_-ww_4_8"/>
      <w:bookmarkStart w:id="678" w:name="Tc_zAHBcWW5J028BQszEDMHow_4_5"/>
      <w:bookmarkStart w:id="679" w:name="Tc_N6dOOEiTykCkuZx1Tt3emg_4_2"/>
      <w:bookmarkStart w:id="680" w:name="Tc_p02IneTlnkKIJWCBp9Vaxg_3_20"/>
      <w:bookmarkStart w:id="681" w:name="Tc_4zDBjGIWHkmK3KMYdf-paw_3_17"/>
      <w:bookmarkStart w:id="682" w:name="Tc_GRUX5igEzke-N8SkgzYVVQ_3_14"/>
      <w:bookmarkStart w:id="683" w:name="Tc_lHs7Zb-VFE2y-VbZ-CSsHg_3_11"/>
      <w:bookmarkStart w:id="684" w:name="Tc_hRNlCTxdwE6Kgvm6TctusQ_3_8"/>
      <w:bookmarkStart w:id="685" w:name="Tc_S-ehAz5wbEuQfxdGDc4BwA_3_2"/>
      <w:bookmarkStart w:id="686" w:name="Tc_Xvqkves_CUS3mlDrREVoHg_2_17"/>
      <w:bookmarkStart w:id="687" w:name="Tc_HlHX2OX-zUCpttreioL9-g_2_8"/>
      <w:bookmarkStart w:id="688" w:name="Tc_h5vdZxVk_EqxcWbUCuU27A_2_2"/>
      <w:bookmarkStart w:id="689" w:name="Tc_Mb8wyxtT5UqAo2vLgkm4ZA_1_8"/>
      <w:bookmarkStart w:id="690" w:name="Tc_Gnh0SQpYTE6UvR0WrqtXDA_1_2"/>
      <w:bookmarkStart w:id="691" w:name="_5abc9c47_b66c_4000_951e_b413024fdce8"/>
      <w:bookmarkStart w:id="692" w:name="Tc_s8oEfIUq0EWQCy2tYKGGxA_11_20"/>
      <w:bookmarkStart w:id="693" w:name="Tc_bKi9rpdVK0en0mzKajfT8w_11_17"/>
      <w:bookmarkStart w:id="694" w:name="Tc_cBVwWyvgtUmkySKHdDqp5A_11_14"/>
      <w:bookmarkStart w:id="695" w:name="Tc_EoY3zLTAaUGPi_9wjQdvdg_11_11"/>
      <w:bookmarkStart w:id="696" w:name="Tc_m4mhkiC3mk209RLPloDulw_11_8"/>
      <w:bookmarkStart w:id="697" w:name="Tc_CLEZAAmnik2av4XOlaUzgA_11_5"/>
      <w:bookmarkStart w:id="698" w:name="Tc_mhUAAdnRPUaVPvFAvPYfSw_11_0"/>
      <w:bookmarkStart w:id="699" w:name="Tc_Q20BPw_PJU2HzEM6xmjRjA_10_21"/>
      <w:bookmarkStart w:id="700" w:name="Tc_UJQrIaEulkeyRNz-YMjUWQ_10_18"/>
      <w:bookmarkStart w:id="701" w:name="Tc_20fCcWtXBkGsDgo8qrgwuQ_10_0"/>
      <w:bookmarkStart w:id="702" w:name="Tc_NYgk_JOjgEWQzpswt4SZxg_9_0"/>
      <w:bookmarkStart w:id="703" w:name="Tc_Hin80dwGf0yKNbk6T80ekA_8_0"/>
      <w:bookmarkStart w:id="704" w:name="Tc_1WNsSypJ_0moG0rVD9rkLA_7_0"/>
      <w:bookmarkStart w:id="705" w:name="Tc_01QPXY_iPEyD0zeP6qH9Ew_6_0"/>
      <w:bookmarkStart w:id="706" w:name="Tc_YP40mgx_XUWRfr_pR2D3fQ_5_20"/>
      <w:bookmarkStart w:id="707" w:name="Tc_EkDIBapoykmIoXobMF4kVw_5_17"/>
      <w:bookmarkStart w:id="708" w:name="Tc_MKutgqVom0SAjtBPqNLCnA_5_14"/>
      <w:bookmarkStart w:id="709" w:name="Tc_jF-PyGuC4kKdLol7hGx8Og_5_11"/>
      <w:bookmarkStart w:id="710" w:name="Tc_DCzkGTr3zkqdJKRBdvQbYw_5_8"/>
      <w:bookmarkStart w:id="711" w:name="Tc_31orW140H0WdPpXgqpct-w_5_5"/>
      <w:bookmarkStart w:id="712" w:name="Tc_R1oD7kokNk-1IWGdyZdKBg_5_0"/>
      <w:bookmarkStart w:id="713" w:name="Tc_KATKSP75hk-AFoUcx07TZw_4_20"/>
      <w:bookmarkStart w:id="714" w:name="Tc_j1VjLG8XsEykkpBlC18POg_4_17"/>
      <w:bookmarkStart w:id="715" w:name="Tc_Jtmxhn6nD0WMk2EaFSr2OA_4_14"/>
      <w:bookmarkStart w:id="716" w:name="Tc_rzAzBIoSMkuw17IdtAWNFg_4_11"/>
      <w:bookmarkStart w:id="717" w:name="Tc_m3LYjihv40iSDW098G_-ww_4_8"/>
      <w:bookmarkStart w:id="718" w:name="Tc_zAHBcWW5J028BQszEDMHow_4_5"/>
      <w:bookmarkStart w:id="719" w:name="Tc_N6dOOEiTykCkuZx1Tt3emg_4_2"/>
      <w:bookmarkStart w:id="720" w:name="Tc_p02IneTlnkKIJWCBp9Vaxg_3_20"/>
      <w:bookmarkStart w:id="721" w:name="Tc_4zDBjGIWHkmK3KMYdf-paw_3_17"/>
      <w:bookmarkStart w:id="722" w:name="Tc_GRUX5igEzke-N8SkgzYVVQ_3_14"/>
      <w:bookmarkStart w:id="723" w:name="Tc_lHs7Zb-VFE2y-VbZ-CSsHg_3_11"/>
      <w:bookmarkStart w:id="724" w:name="Tc_hRNlCTxdwE6Kgvm6TctusQ_3_8"/>
      <w:bookmarkStart w:id="725" w:name="Tc_S-ehAz5wbEuQfxdGDc4BwA_3_2"/>
      <w:bookmarkStart w:id="726" w:name="Tc_Xvqkves_CUS3mlDrREVoHg_2_17"/>
      <w:bookmarkStart w:id="727" w:name="Tc_HlHX2OX-zUCpttreioL9-g_2_8"/>
      <w:bookmarkStart w:id="728" w:name="Tc_h5vdZxVk_EqxcWbUCuU27A_2_2"/>
      <w:bookmarkStart w:id="729" w:name="Tc_Mb8wyxtT5UqAo2vLgkm4ZA_1_8"/>
      <w:bookmarkStart w:id="730" w:name="Tc_Gnh0SQpYTE6UvR0WrqtXDA_1_2"/>
      <w:bookmarkStart w:id="731" w:name="_5abc9c47_b66c_4000_951e_b413024fdce8"/>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60575" cy="175260"/>
                      <wp:effectExtent l="0" t="0" r="0" b="0"/>
                      <wp:wrapNone/>
                      <wp:docPr id="90" name="Frame90"/>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52425" cy="175260"/>
                      <wp:effectExtent l="0" t="0" r="0" b="0"/>
                      <wp:wrapNone/>
                      <wp:docPr id="93" name="Frame9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52425" cy="175260"/>
                      <wp:effectExtent l="0" t="0" r="0" b="0"/>
                      <wp:wrapNone/>
                      <wp:docPr id="96" name="Frame96"/>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6850" cy="175260"/>
                      <wp:effectExtent l="0" t="0" r="0" b="0"/>
                      <wp:wrapNone/>
                      <wp:docPr id="98" name="Frame9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75310" cy="175260"/>
                      <wp:effectExtent l="0" t="0" r="0" b="0"/>
                      <wp:wrapNone/>
                      <wp:docPr id="99" name="Frame9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0495" cy="175260"/>
                      <wp:effectExtent l="0" t="0" r="0" b="0"/>
                      <wp:wrapNone/>
                      <wp:docPr id="101" name="Frame10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35915" cy="175260"/>
                      <wp:effectExtent l="0" t="0" r="0" b="0"/>
                      <wp:wrapNone/>
                      <wp:docPr id="102" name="Frame102"/>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0180" cy="175260"/>
                      <wp:effectExtent l="0" t="0" r="0" b="0"/>
                      <wp:wrapNone/>
                      <wp:docPr id="104" name="Frame10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7205" cy="175260"/>
                      <wp:effectExtent l="0" t="0" r="0" b="0"/>
                      <wp:wrapNone/>
                      <wp:docPr id="105" name="Frame10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5740" cy="175260"/>
                      <wp:effectExtent l="0" t="0" r="0" b="0"/>
                      <wp:wrapNone/>
                      <wp:docPr id="107" name="Frame10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94970" cy="175260"/>
                      <wp:effectExtent l="0" t="0" r="0" b="0"/>
                      <wp:wrapNone/>
                      <wp:docPr id="108" name="Frame10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85445" cy="175260"/>
                      <wp:effectExtent l="0" t="0" r="0" b="0"/>
                      <wp:wrapNone/>
                      <wp:docPr id="111" name="Frame111"/>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5.7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229.4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4,686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(1,943)</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1,340</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32" w:name="Tc_8c7FbMsaO0qPy1mC8F3wbw_11_20"/>
      <w:bookmarkStart w:id="733" w:name="Tc_lZAngekI4Eieh-V3qvemyw_11_17"/>
      <w:bookmarkStart w:id="734" w:name="Tc_2uEhRzkwF0GIyY2AgJTwPw_11_14"/>
      <w:bookmarkStart w:id="735" w:name="Tc_BT5Fry35pEmW0QxPg3ihRw_11_11"/>
      <w:bookmarkStart w:id="736" w:name="Tc_kPxpt5mmKEaFlVPHozdCEw_11_8"/>
      <w:bookmarkStart w:id="737" w:name="Tc_jXalx_Fp802S9c1AJnpDEg_11_5"/>
      <w:bookmarkStart w:id="738" w:name="Tc_I-aY7Wjqbkaz4qEGaw-7fQ_11_0"/>
      <w:bookmarkStart w:id="739" w:name="Tc_7MjQa5iDqkyLibq_8ypgug_10_21"/>
      <w:bookmarkStart w:id="740" w:name="Tc_ZFKhyiAQykmX-y9LzyCzVw_10_18"/>
      <w:bookmarkStart w:id="741" w:name="Tc_rUsWKA9w8k6YSGd7Xi1Y1w_10_0"/>
      <w:bookmarkStart w:id="742" w:name="Tc_GNH5pqWPy0asiwXayuipfQ_9_0"/>
      <w:bookmarkStart w:id="743" w:name="Tc_2I0GnEf1QEeZe569N9FgHA_8_0"/>
      <w:bookmarkStart w:id="744" w:name="Tc_53rZVWOf3EqlvkAAaZpkng_7_0"/>
      <w:bookmarkStart w:id="745" w:name="Tc_z7FW1GGA1kCZcx7TGkFmmg_6_0"/>
      <w:bookmarkStart w:id="746" w:name="Tc_J9tqK71e7kCKYSW21qvWgA_5_20"/>
      <w:bookmarkStart w:id="747" w:name="Tc_6aHCAjHtbEWzOl-v8ycRCg_5_17"/>
      <w:bookmarkStart w:id="748" w:name="Tc_J9alQj4c0UmbXZXfibANUw_5_14"/>
      <w:bookmarkStart w:id="749" w:name="Tc_FQ_bNpqrBkad0Kf0lsHMww_5_11"/>
      <w:bookmarkStart w:id="750" w:name="Tc_Rz_oY1zcYkWE8OMcpNrJOQ_5_8"/>
      <w:bookmarkStart w:id="751" w:name="Tc_9E-1geAK3Ey3EGBKnMDUmw_5_5"/>
      <w:bookmarkStart w:id="752" w:name="Tc_G3ILGjtZV0WckFeYq0VLFg_5_0"/>
      <w:bookmarkStart w:id="753" w:name="Tc_BzvzFZnbQUSnX0cpBnWrbg_4_20"/>
      <w:bookmarkStart w:id="754" w:name="Tc__LemVVk_dEG8AhCcOHjdUA_4_17"/>
      <w:bookmarkStart w:id="755" w:name="Tc_WcZsMgwvPEqI34jL2d7HNg_4_14"/>
      <w:bookmarkStart w:id="756" w:name="Tc_QaKgRO9Aw0eWtUBkw8Ys1g_4_11"/>
      <w:bookmarkStart w:id="757" w:name="Tc_Z1yEgcjDnkGEUEoiIB2q6A_4_8"/>
      <w:bookmarkStart w:id="758" w:name="Tc_hnfLSaVFKUyrRLzi9pf4Ag_4_5"/>
      <w:bookmarkStart w:id="759" w:name="Tc_UhJNN_jKokKyOvE7vGBsGA_4_2"/>
      <w:bookmarkStart w:id="760" w:name="Tc_DLqHxdKGbE2ZesKkTS2E3A_3_20"/>
      <w:bookmarkStart w:id="761" w:name="Tc__oUSHq_CKkuEwdnBJGBeAg_3_17"/>
      <w:bookmarkStart w:id="762" w:name="Tc_pFGOBl8XoEm1rk8j6eb0cg_3_14"/>
      <w:bookmarkStart w:id="763" w:name="Tc_X8V_08E7FEG6nBhXQEH8gA_3_11"/>
      <w:bookmarkStart w:id="764" w:name="Tc_tS61fgkmREK9BEVum7j0Fw_3_8"/>
      <w:bookmarkStart w:id="765" w:name="Tc_s6z7WyH0HkyhkILvrVDr2A_3_2"/>
      <w:bookmarkStart w:id="766" w:name="Tc_tthWpcpGzkW19AYvXlSp_A_2_17"/>
      <w:bookmarkStart w:id="767" w:name="Tc_tZLcLUOAD0OzyZwBQuhJMQ_2_8"/>
      <w:bookmarkStart w:id="768" w:name="Tc_cHT7EIkDFkSSAd82dQYD5w_2_2"/>
      <w:bookmarkStart w:id="769" w:name="Tc_Y6IdnFGdKkKsRYK1IQG7Xw_1_8"/>
      <w:bookmarkStart w:id="770" w:name="Tc_SsG2Tn_-B0ee5PwAxE3xCw_1_2"/>
      <w:bookmarkStart w:id="771" w:name="_493ccc99_bae8_400c_b2a7_d2d9aad19f49"/>
      <w:bookmarkStart w:id="772" w:name="Tc_8c7FbMsaO0qPy1mC8F3wbw_11_20"/>
      <w:bookmarkStart w:id="773" w:name="Tc_lZAngekI4Eieh-V3qvemyw_11_17"/>
      <w:bookmarkStart w:id="774" w:name="Tc_2uEhRzkwF0GIyY2AgJTwPw_11_14"/>
      <w:bookmarkStart w:id="775" w:name="Tc_BT5Fry35pEmW0QxPg3ihRw_11_11"/>
      <w:bookmarkStart w:id="776" w:name="Tc_kPxpt5mmKEaFlVPHozdCEw_11_8"/>
      <w:bookmarkStart w:id="777" w:name="Tc_jXalx_Fp802S9c1AJnpDEg_11_5"/>
      <w:bookmarkStart w:id="778" w:name="Tc_I-aY7Wjqbkaz4qEGaw-7fQ_11_0"/>
      <w:bookmarkStart w:id="779" w:name="Tc_7MjQa5iDqkyLibq_8ypgug_10_21"/>
      <w:bookmarkStart w:id="780" w:name="Tc_ZFKhyiAQykmX-y9LzyCzVw_10_18"/>
      <w:bookmarkStart w:id="781" w:name="Tc_rUsWKA9w8k6YSGd7Xi1Y1w_10_0"/>
      <w:bookmarkStart w:id="782" w:name="Tc_GNH5pqWPy0asiwXayuipfQ_9_0"/>
      <w:bookmarkStart w:id="783" w:name="Tc_2I0GnEf1QEeZe569N9FgHA_8_0"/>
      <w:bookmarkStart w:id="784" w:name="Tc_53rZVWOf3EqlvkAAaZpkng_7_0"/>
      <w:bookmarkStart w:id="785" w:name="Tc_z7FW1GGA1kCZcx7TGkFmmg_6_0"/>
      <w:bookmarkStart w:id="786" w:name="Tc_J9tqK71e7kCKYSW21qvWgA_5_20"/>
      <w:bookmarkStart w:id="787" w:name="Tc_6aHCAjHtbEWzOl-v8ycRCg_5_17"/>
      <w:bookmarkStart w:id="788" w:name="Tc_J9alQj4c0UmbXZXfibANUw_5_14"/>
      <w:bookmarkStart w:id="789" w:name="Tc_FQ_bNpqrBkad0Kf0lsHMww_5_11"/>
      <w:bookmarkStart w:id="790" w:name="Tc_Rz_oY1zcYkWE8OMcpNrJOQ_5_8"/>
      <w:bookmarkStart w:id="791" w:name="Tc_9E-1geAK3Ey3EGBKnMDUmw_5_5"/>
      <w:bookmarkStart w:id="792" w:name="Tc_G3ILGjtZV0WckFeYq0VLFg_5_0"/>
      <w:bookmarkStart w:id="793" w:name="Tc_BzvzFZnbQUSnX0cpBnWrbg_4_20"/>
      <w:bookmarkStart w:id="794" w:name="Tc__LemVVk_dEG8AhCcOHjdUA_4_17"/>
      <w:bookmarkStart w:id="795" w:name="Tc_WcZsMgwvPEqI34jL2d7HNg_4_14"/>
      <w:bookmarkStart w:id="796" w:name="Tc_QaKgRO9Aw0eWtUBkw8Ys1g_4_11"/>
      <w:bookmarkStart w:id="797" w:name="Tc_Z1yEgcjDnkGEUEoiIB2q6A_4_8"/>
      <w:bookmarkStart w:id="798" w:name="Tc_hnfLSaVFKUyrRLzi9pf4Ag_4_5"/>
      <w:bookmarkStart w:id="799" w:name="Tc_UhJNN_jKokKyOvE7vGBsGA_4_2"/>
      <w:bookmarkStart w:id="800" w:name="Tc_DLqHxdKGbE2ZesKkTS2E3A_3_20"/>
      <w:bookmarkStart w:id="801" w:name="Tc__oUSHq_CKkuEwdnBJGBeAg_3_17"/>
      <w:bookmarkStart w:id="802" w:name="Tc_pFGOBl8XoEm1rk8j6eb0cg_3_14"/>
      <w:bookmarkStart w:id="803" w:name="Tc_X8V_08E7FEG6nBhXQEH8gA_3_11"/>
      <w:bookmarkStart w:id="804" w:name="Tc_tS61fgkmREK9BEVum7j0Fw_3_8"/>
      <w:bookmarkStart w:id="805" w:name="Tc_s6z7WyH0HkyhkILvrVDr2A_3_2"/>
      <w:bookmarkStart w:id="806" w:name="Tc_tthWpcpGzkW19AYvXlSp_A_2_17"/>
      <w:bookmarkStart w:id="807" w:name="Tc_tZLcLUOAD0OzyZwBQuhJMQ_2_8"/>
      <w:bookmarkStart w:id="808" w:name="Tc_cHT7EIkDFkSSAd82dQYD5w_2_2"/>
      <w:bookmarkStart w:id="809" w:name="Tc_Y6IdnFGdKkKsRYK1IQG7Xw_1_8"/>
      <w:bookmarkStart w:id="810" w:name="Tc_SsG2Tn_-B0ee5PwAxE3xCw_1_2"/>
      <w:bookmarkStart w:id="811" w:name="_493ccc99_bae8_400c_b2a7_d2d9aad19f49"/>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77"/>
        <w:gridCol w:w="48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60575" cy="175260"/>
                      <wp:effectExtent l="0" t="0" r="0" b="0"/>
                      <wp:wrapNone/>
                      <wp:docPr id="112" name="Frame112"/>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52425" cy="175260"/>
                      <wp:effectExtent l="0" t="0" r="0" b="0"/>
                      <wp:wrapNone/>
                      <wp:docPr id="115" name="Frame115"/>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52425" cy="175260"/>
                      <wp:effectExtent l="0" t="0" r="0" b="0"/>
                      <wp:wrapNone/>
                      <wp:docPr id="118" name="Frame11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6850" cy="175260"/>
                      <wp:effectExtent l="0" t="0" r="0" b="0"/>
                      <wp:wrapNone/>
                      <wp:docPr id="120" name="Frame12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5310" cy="175260"/>
                      <wp:effectExtent l="0" t="0" r="0" b="0"/>
                      <wp:wrapNone/>
                      <wp:docPr id="121" name="Frame121"/>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5895" cy="175260"/>
                      <wp:effectExtent l="0" t="0" r="0" b="0"/>
                      <wp:wrapNone/>
                      <wp:docPr id="123" name="Frame123"/>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10515" cy="175260"/>
                      <wp:effectExtent l="0" t="0" r="0" b="0"/>
                      <wp:wrapNone/>
                      <wp:docPr id="124" name="Frame124"/>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0180" cy="175260"/>
                      <wp:effectExtent l="0" t="0" r="0" b="0"/>
                      <wp:wrapNone/>
                      <wp:docPr id="126" name="Frame12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7205" cy="175260"/>
                      <wp:effectExtent l="0" t="0" r="0" b="0"/>
                      <wp:wrapNone/>
                      <wp:docPr id="127" name="Frame12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5740" cy="175260"/>
                      <wp:effectExtent l="0" t="0" r="0" b="0"/>
                      <wp:wrapNone/>
                      <wp:docPr id="129" name="Frame12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94970" cy="175260"/>
                      <wp:effectExtent l="0" t="0" r="0" b="0"/>
                      <wp:wrapNone/>
                      <wp:docPr id="130" name="Frame130"/>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5445" cy="175260"/>
                      <wp:effectExtent l="0" t="0" r="0" b="0"/>
                      <wp:wrapNone/>
                      <wp:docPr id="133" name="Frame13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4,524</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(2,319)</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2.8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232.2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4,575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(2,351)</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1,172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12" w:name="NOTES"/>
      <w:bookmarkStart w:id="813" w:name="_9d0700a9_b1ea_432b_a981_19307229d258"/>
      <w:bookmarkEnd w:id="812"/>
      <w:bookmarkEnd w:id="813"/>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November 3, 2021, the Company was wholly owned by International Business Machines Corporation (“IBM” or “former Parent”). In November 2021, our former Parent effected the spin-off (the “Separation” or the “Spin-off”) of the infrastructure services unit of its Global Technology Services segment through the distribution of shares of Kyndryl’s common stock to IBM stockholders.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and footnotes have been prepared in accordance with accounting principles generally accepted in the United States of America (“U.S. GAAP”). Management believes the accompanying financial statements include all adjustments necessary to state fairly the Company’s financial position and its results of operations for all the periods presented. </w:t>
      </w:r>
      <w:r>
        <w:rPr>
          <w:rFonts w:ascii="Times New Roman;Times;serif" w:hAnsi="Times New Roman;Times;serif"/>
          <w:sz w:val="20"/>
          <w:shd w:fill="FFFFFF" w:val="clear"/>
        </w:rPr>
        <w:t>The information included in this Form 10-Q should be read in conjunction with the Company’s Annual Report on Form 10-K for the fiscal year ended March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financial statements are presented on a consolidated basis. All significant transactions and intercompany accounts between Kyndryl entities were eliminated.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We prepared these estimates based on the most current and best available information, but actual results could differ materially from these estimates and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2. ACCOUNTING PRONOUNCEMENTS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Recent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is intended to enhance the transparency and usefulness of income tax disclosures through improved reporting related to the rate reconciliation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income taxes paid. The guidance is effective for annual periods beginning after December 15, 2024, with early adoption permitted. The Company is currently evaluating the impact of this guidance on the disclosures in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Business Combinations (Topic 805) and Consolidation (Topic 810): Determining the Accounting Acquirer in the Acquisition of a Variable Interest Entity</w:t>
      </w:r>
      <w:r>
        <w:rPr>
          <w:rFonts w:ascii="Times New Roman;Times;serif" w:hAnsi="Times New Roman;Times;serif"/>
          <w:sz w:val="20"/>
        </w:rPr>
        <w:t xml:space="preserve">, which amends the guidance for determining the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Times;serif" w:hAnsi="Times New Roman;Times;serif"/>
          <w:color w:val="212529"/>
          <w:sz w:val="20"/>
        </w:rPr>
        <w:t>has evaluated the impact of the guidance and does not expect it to have a material impact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(Topic 350): Targeted Improvements to the Accounting for Internal-Use Software</w:t>
      </w:r>
      <w:r>
        <w:rPr>
          <w:rFonts w:ascii="Times New Roman;Times;serif" w:hAnsi="Times New Roman;Times;serif"/>
          <w:sz w:val="20"/>
        </w:rPr>
        <w:t>, which amends the criteria for capitalization of internal-use software costs. The guidance is effective for the fiscal years beginning after December 15, 2027 and interim reporting periods within fiscal years beginning after December 15, 2027, with early adoption permitted. The Company has evaluated the impact of the guidance and does not expect it to have a material impact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views its segment results to be the best view of disaggregated revenue. Refer to Note 4 –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the aggregate amount of RPO related to customer contracts that are unsatisfied or partially unsatisfied was $34.0 billion. Approximately 57 percent of the amount is expected to be recognized as revenue in the next two years, approximately 38 percent in the subsequent three years, and the balance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September 30, 2025, revenue was increased by $18 million and $25 million, respectively, and during the three and six months ended September 30, 2024, revenue was increased by $13 million and $20 million, respectively, for performance obligations satisfied (or partially satisfied) in previous periods, mainly due to changes in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14" w:name="_3249cde8_2926_46b5_aa05_5447ac72f901"/>
      <w:bookmarkStart w:id="815" w:name="Tc_406yv4k4_EaIuJ9EUUfV4Q_7_5"/>
      <w:bookmarkStart w:id="816" w:name="Tc_5J817A37hkyesl8-HUwA9w_7_2"/>
      <w:bookmarkStart w:id="817" w:name="Tc_FqrQrA1EG0y-qmmJfyk_ng_7_0"/>
      <w:bookmarkStart w:id="818" w:name="Tc_7guXA7v4Fk-Y0X65mS9JMw_6_6"/>
      <w:bookmarkStart w:id="819" w:name="Tc_yTk1eCd2Ck2Rp0aJasfIlQ_6_0"/>
      <w:bookmarkStart w:id="820" w:name="Tc_7dPMCUacN0e1oX5CoeGc7A_5_0"/>
      <w:bookmarkStart w:id="821" w:name="Tc_Uc7p4InIDky4q7cT0QSTvg_4_0"/>
      <w:bookmarkStart w:id="822" w:name="Tc_yoGH9eSvA0aBq1cLvQ79CQ_3_5"/>
      <w:bookmarkStart w:id="823" w:name="Tc_l95qySeIWE6QilVxbE0oiw_3_2"/>
      <w:bookmarkStart w:id="824" w:name="Tc_1Fg6vC-MwECJ0lWAOBoOrQ_3_0"/>
      <w:bookmarkStart w:id="825" w:name="Tc_hAg_Ct5VAUOAnrakURI9ng_2_5"/>
      <w:bookmarkStart w:id="826" w:name="Tc_5wyVhg2qgk6KGrFo-hioWQ_2_2"/>
      <w:bookmarkStart w:id="827" w:name="Tc_0VvXMVZlbkm7JXrcSEK-fQ_2_0"/>
      <w:bookmarkStart w:id="828" w:name="Tc_q9Jr7NIOd0-PlF0EOhmuag_1_2"/>
      <w:bookmarkStart w:id="829" w:name="_28f9506e_d6c1_47ac_a1f0_ca6078fb5fae"/>
      <w:bookmarkStart w:id="830" w:name="Tc_qieQsEeh4E-o1I8b2zgPWw_6_0"/>
      <w:bookmarkStart w:id="831" w:name="Tc_TH3jT_BvL06f5D_-1sjOcQ_5_0"/>
      <w:bookmarkStart w:id="832" w:name="Tc_ouEvfK7BHkKhArS1gP4qNQ_4_0"/>
      <w:bookmarkStart w:id="833" w:name="Tc_PWG4Wui5AkiBJVxWh2XjNA_3_5"/>
      <w:bookmarkStart w:id="834" w:name="Tc_Srw3wU-SmkuP0NDlgJHswg_3_2"/>
      <w:bookmarkStart w:id="835" w:name="Tc_WRMR0JDrMEa7AIJuhvHpkg_3_0"/>
      <w:bookmarkStart w:id="836" w:name="Tc_uEBoD16BlECM8cbBXYU6Rw_2_5"/>
      <w:bookmarkStart w:id="837" w:name="Tc_e0T9YnHEC0OwLHunCL8o2Q_2_2"/>
      <w:bookmarkStart w:id="838" w:name="Tc_bW068Q7FNEKSqZUAy35NhQ_2_0"/>
      <w:bookmarkStart w:id="839" w:name="Tc_vR0l9rOT1kyRu0fk2tXuMw_1_5"/>
      <w:bookmarkStart w:id="840" w:name="Tc_UgL3aJIUskWdOr8oJUD3RA_1_2"/>
      <w:bookmarkStart w:id="841" w:name="_5c0cd96f_8ff4_4e2c_9d81_b33386a756e8"/>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b/>
          <w:sz w:val="20"/>
        </w:rPr>
        <w:t>Contract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accounts receivable, contract assets and deferred income balances: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503"/>
        <w:gridCol w:w="326"/>
        <w:gridCol w:w="313"/>
        <w:gridCol w:w="851"/>
        <w:gridCol w:w="326"/>
        <w:gridCol w:w="225"/>
        <w:gridCol w:w="661"/>
      </w:tblGrid>
      <w:tr>
        <w:trPr/>
        <w:tc>
          <w:tcPr>
            <w:tcW w:w="75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8755" cy="175260"/>
                      <wp:effectExtent l="0" t="0" r="0" b="0"/>
                      <wp:wrapNone/>
                      <wp:docPr id="134" name="Frame13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40385" cy="175260"/>
                      <wp:effectExtent l="0" t="0" r="0" b="0"/>
                      <wp:wrapNone/>
                      <wp:docPr id="135" name="Frame135"/>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2875" cy="175260"/>
                      <wp:effectExtent l="0" t="0" r="0" b="0"/>
                      <wp:wrapNone/>
                      <wp:docPr id="137" name="Frame13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19735" cy="175260"/>
                      <wp:effectExtent l="0" t="0" r="0" b="0"/>
                      <wp:wrapNone/>
                      <wp:docPr id="138" name="Frame13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50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of $9 at September 30, 2025 and $13 at March 31, 2025)*</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r>
      <w:tr>
        <w:trPr/>
        <w:tc>
          <w:tcPr>
            <w:tcW w:w="75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5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(current)</w:t>
            </w:r>
          </w:p>
        </w:tc>
        <w:tc>
          <w:tcPr>
            <w:tcW w:w="326" w:type="dxa"/>
            <w:tcBorders/>
            <w:shd w:fill="CCEEFF" w:val="clear"/>
            <w:vAlign w:val="center"/>
          </w:tcPr>
          <w:p>
            <w:pPr>
              <w:pStyle w:val="TableContents"/>
              <w:bidi w:val="0"/>
              <w:spacing w:before="0" w:after="1"/>
              <w:ind w:left="0" w:right="0" w:hanging="0"/>
              <w:jc w:val="left"/>
              <w:rPr/>
            </w:pPr>
            <w:r>
              <w:rPr/>
              <w:t>​</w:t>
            </w:r>
          </w:p>
        </w:tc>
        <w:tc>
          <w:tcPr>
            <w:tcW w:w="313" w:type="dxa"/>
            <w:tcBorders/>
            <w:shd w:fill="CCEEFF" w:val="clear"/>
            <w:vAlign w:val="center"/>
          </w:tcPr>
          <w:p>
            <w:pPr>
              <w:pStyle w:val="TableContents"/>
              <w:bidi w:val="0"/>
              <w:spacing w:before="0" w:after="1"/>
              <w:ind w:left="0" w:right="0" w:hanging="0"/>
              <w:jc w:val="left"/>
              <w:rPr/>
            </w:pPr>
            <w:r>
              <w:rPr/>
              <w:t> </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75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(noncurrent)</w:t>
            </w:r>
          </w:p>
        </w:tc>
        <w:tc>
          <w:tcPr>
            <w:tcW w:w="326" w:type="dxa"/>
            <w:tcBorders/>
            <w:vAlign w:val="center"/>
          </w:tcPr>
          <w:p>
            <w:pPr>
              <w:pStyle w:val="TableContents"/>
              <w:bidi w:val="0"/>
              <w:spacing w:before="0" w:after="1"/>
              <w:ind w:left="0" w:right="0" w:hanging="0"/>
              <w:jc w:val="left"/>
              <w:rPr/>
            </w:pPr>
            <w:r>
              <w:rPr/>
              <w:t>​</w:t>
            </w:r>
          </w:p>
        </w:tc>
        <w:tc>
          <w:tcPr>
            <w:tcW w:w="313" w:type="dxa"/>
            <w:tcBorders/>
            <w:vAlign w:val="center"/>
          </w:tcPr>
          <w:p>
            <w:pPr>
              <w:pStyle w:val="TableContents"/>
              <w:bidi w:val="0"/>
              <w:spacing w:before="0" w:after="1"/>
              <w:ind w:left="0" w:right="0" w:hanging="0"/>
              <w:jc w:val="left"/>
              <w:rPr/>
            </w:pPr>
            <w:r>
              <w:rPr/>
              <w:t> </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341</w:t>
            </w:r>
          </w:p>
        </w:tc>
      </w:tr>
    </w:tbl>
    <w:tbl>
      <w:tblPr>
        <w:tblW w:w="8387" w:type="dxa"/>
        <w:jc w:val="left"/>
        <w:tblInd w:w="0" w:type="dxa"/>
        <w:tblLayout w:type="fixed"/>
        <w:tblCellMar>
          <w:top w:w="0" w:type="dxa"/>
          <w:left w:w="0" w:type="dxa"/>
          <w:bottom w:w="0" w:type="dxa"/>
          <w:right w:w="0" w:type="dxa"/>
        </w:tblCellMar>
      </w:tblPr>
      <w:tblGrid>
        <w:gridCol w:w="211"/>
        <w:gridCol w:w="8176"/>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81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Included unbilled receivable balances of $442</w:t>
            </w:r>
            <w:r>
              <w:rPr>
                <w:caps w:val="false"/>
                <w:smallCaps w:val="false"/>
              </w:rPr>
              <w:t xml:space="preserve"> </w:t>
            </w:r>
            <w:r>
              <w:rPr>
                <w:rFonts w:ascii="Times New Roman;Times;serif" w:hAnsi="Times New Roman;Times;serif"/>
                <w:b w:val="false"/>
                <w:i w:val="false"/>
                <w:caps w:val="false"/>
                <w:smallCaps w:val="false"/>
                <w:sz w:val="16"/>
              </w:rPr>
              <w:t>million at September 30, 2025 and $425</w:t>
            </w:r>
            <w:r>
              <w:rPr>
                <w:caps w:val="false"/>
                <w:smallCaps w:val="false"/>
              </w:rPr>
              <w:t xml:space="preserve"> </w:t>
            </w:r>
            <w:r>
              <w:rPr>
                <w:rFonts w:ascii="Times New Roman;Times;serif" w:hAnsi="Times New Roman;Times;serif"/>
                <w:b w:val="false"/>
                <w:i w:val="false"/>
                <w:caps w:val="false"/>
                <w:smallCaps w:val="false"/>
                <w:sz w:val="16"/>
              </w:rPr>
              <w:t>million at March 31, 2025.</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pPr>
            <w:r>
              <w:rPr/>
              <w:t xml:space="preserve">† </w:t>
            </w:r>
          </w:p>
        </w:tc>
        <w:tc>
          <w:tcPr>
            <w:tcW w:w="993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tc>
      </w:tr>
    </w:tbl>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revenue recognized during the three and six months ended September 30, 2025 that was included within the deferred income balance at the beginning of the period was $362 million and $517 million, respectively. The amount of revenue recognized during the three and six months ended September 30, 2024 that was included within the deferred income balance at the beginning of the period was $335 million and $524 million,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six months ended September 30, 2025 and 2024.</w:t>
      </w:r>
    </w:p>
    <w:p>
      <w:pPr>
        <w:pStyle w:val="TextBody"/>
        <w:bidi w:val="0"/>
        <w:spacing w:before="0" w:after="0"/>
        <w:ind w:left="0" w:right="0" w:hanging="0"/>
        <w:jc w:val="left"/>
        <w:rPr/>
      </w:pPr>
      <w:r>
        <w:rPr/>
        <w:t>​</w:t>
      </w:r>
    </w:p>
    <w:tbl>
      <w:tblPr>
        <w:tblW w:w="4368" w:type="dxa"/>
        <w:jc w:val="left"/>
        <w:tblInd w:w="0" w:type="dxa"/>
        <w:tblLayout w:type="fixed"/>
        <w:tblCellMar>
          <w:top w:w="0" w:type="dxa"/>
          <w:left w:w="0" w:type="dxa"/>
          <w:bottom w:w="0" w:type="dxa"/>
          <w:right w:w="0" w:type="dxa"/>
        </w:tblCellMar>
      </w:tblPr>
      <w:tblGrid>
        <w:gridCol w:w="1726"/>
        <w:gridCol w:w="109"/>
        <w:gridCol w:w="354"/>
        <w:gridCol w:w="555"/>
        <w:gridCol w:w="547"/>
        <w:gridCol w:w="354"/>
        <w:gridCol w:w="723"/>
      </w:tblGrid>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4790" cy="175260"/>
                      <wp:effectExtent l="0" t="0" r="0" b="0"/>
                      <wp:wrapNone/>
                      <wp:docPr id="139" name="Frame139"/>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52425" cy="175260"/>
                      <wp:effectExtent l="0" t="0" r="0" b="0"/>
                      <wp:wrapNone/>
                      <wp:docPr id="140" name="Frame140"/>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47345" cy="175260"/>
                      <wp:effectExtent l="0" t="0" r="0" b="0"/>
                      <wp:wrapNone/>
                      <wp:docPr id="141" name="Frame141"/>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4790" cy="175260"/>
                      <wp:effectExtent l="0" t="0" r="0" b="0"/>
                      <wp:wrapNone/>
                      <wp:docPr id="142" name="Frame14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59105" cy="175260"/>
                      <wp:effectExtent l="0" t="0" r="0" b="0"/>
                      <wp:wrapNone/>
                      <wp:docPr id="143" name="Frame14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47" w:type="dxa"/>
            <w:tcBorders/>
            <w:vAlign w:val="center"/>
          </w:tcPr>
          <w:p>
            <w:pPr>
              <w:pStyle w:val="TableContents"/>
              <w:bidi w:val="0"/>
              <w:spacing w:before="0" w:after="1"/>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47"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(releases)</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47"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547"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47" w:type="dxa"/>
            <w:tcBorders/>
            <w:vAlign w:val="center"/>
          </w:tcPr>
          <w:p>
            <w:pPr>
              <w:pStyle w:val="TableContents"/>
              <w:bidi w:val="0"/>
              <w:spacing w:before="0" w:after="1"/>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547" w:type="dxa"/>
            <w:tcBorders/>
            <w:shd w:fill="CCEEFF" w:val="clear"/>
            <w:vAlign w:val="center"/>
          </w:tcPr>
          <w:p>
            <w:pPr>
              <w:pStyle w:val="TableContents"/>
              <w:bidi w:val="0"/>
              <w:spacing w:before="0" w:after="1"/>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w:t>
            </w:r>
          </w:p>
        </w:tc>
      </w:tr>
    </w:tbl>
    <w:tbl>
      <w:tblPr>
        <w:tblW w:w="3392" w:type="dxa"/>
        <w:jc w:val="left"/>
        <w:tblInd w:w="0" w:type="dxa"/>
        <w:tblLayout w:type="fixed"/>
        <w:tblCellMar>
          <w:top w:w="0" w:type="dxa"/>
          <w:left w:w="0" w:type="dxa"/>
          <w:bottom w:w="0" w:type="dxa"/>
          <w:right w:w="0" w:type="dxa"/>
        </w:tblCellMar>
      </w:tblPr>
      <w:tblGrid>
        <w:gridCol w:w="211"/>
        <w:gridCol w:w="3181"/>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3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Primarily represents translation adjustments</w:t>
            </w:r>
            <w:r>
              <w:rPr>
                <w:rFonts w:ascii="Times New Roman;Times;serif" w:hAnsi="Times New Roman;Times;serif"/>
                <w:sz w:val="14"/>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allowance for expected credit losses for contract assets was not material in any of the periods presented.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Clients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and six months ended September 30, 2025 and 2024. No single client represented more than 10 percent of the Company’s total accounts receivable balance as of September 30, 2025 and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842" w:name="Tc_mC-7rZAxLkyLMIjb922Nng_7_5"/>
      <w:bookmarkStart w:id="843" w:name="Tc_C8HIPaOCpEmbvNmxxozhwQ_7_2"/>
      <w:bookmarkStart w:id="844" w:name="Tc_hIHEUE6sB06nZhCIzzssRg_7_0"/>
      <w:bookmarkStart w:id="845" w:name="Tc_mrCiWwDoUkWuzmVc5i1i9Q_6_0"/>
      <w:bookmarkStart w:id="846" w:name="Tc_ap_KuqhgxUCtt4RLUwdrrg_5_0"/>
      <w:bookmarkStart w:id="847" w:name="Tc_B7XJuC68nUuZSbrPqqd3CA_4_0"/>
      <w:bookmarkStart w:id="848" w:name="Tc_x5L-KeprHEarvtlmztfEPQ_3_5"/>
      <w:bookmarkStart w:id="849" w:name="Tc_JUwL0P_feEmsQt2vo6iPww_3_2"/>
      <w:bookmarkStart w:id="850" w:name="Tc_SbZT8-_9qEaUXNUvSBtzLQ_3_0"/>
      <w:bookmarkStart w:id="851" w:name="Tc_XlQ_W1YvfEWZTUeRSz2cXA_2_5"/>
      <w:bookmarkStart w:id="852" w:name="Tc_pprLrgV0I0qou57b5JTusw_2_2"/>
      <w:bookmarkStart w:id="853" w:name="Tc_t06Nh0LsjEm7QRxDnDj0Uw_2_0"/>
      <w:bookmarkStart w:id="854" w:name="Tc_Sq8uwsjybEy1wuTMt4oy7A_1_5"/>
      <w:bookmarkStart w:id="855" w:name="Tc_iF2uNXHkrEWv6Ikza3Coog_1_2"/>
      <w:bookmarkStart w:id="856" w:name="_038843f9_8cc6_4be9_aef8_c74b28048e38"/>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b/>
          <w:sz w:val="20"/>
        </w:rPr>
        <w:t>Deferred Costs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amounts of capitalized costs to acquire and fulfill customer contracts at September 30, 2025 and March 31, 2025:</w:t>
      </w:r>
    </w:p>
    <w:p>
      <w:pPr>
        <w:pStyle w:val="TextBody"/>
        <w:bidi w:val="0"/>
        <w:spacing w:before="0" w:after="240"/>
        <w:ind w:left="0" w:right="0" w:firstLine="720"/>
        <w:jc w:val="left"/>
        <w:rPr/>
      </w:pPr>
      <w:r>
        <w:rPr/>
        <w:t>​</w:t>
      </w:r>
    </w:p>
    <w:tbl>
      <w:tblPr>
        <w:tblW w:w="5922" w:type="dxa"/>
        <w:jc w:val="left"/>
        <w:tblInd w:w="0" w:type="dxa"/>
        <w:tblLayout w:type="fixed"/>
        <w:tblCellMar>
          <w:top w:w="0" w:type="dxa"/>
          <w:left w:w="0" w:type="dxa"/>
          <w:bottom w:w="0" w:type="dxa"/>
          <w:right w:w="0" w:type="dxa"/>
        </w:tblCellMar>
      </w:tblPr>
      <w:tblGrid>
        <w:gridCol w:w="3076"/>
        <w:gridCol w:w="326"/>
        <w:gridCol w:w="319"/>
        <w:gridCol w:w="866"/>
        <w:gridCol w:w="326"/>
        <w:gridCol w:w="230"/>
        <w:gridCol w:w="625"/>
        <w:gridCol w:w="154"/>
      </w:tblGrid>
      <w:tr>
        <w:trPr/>
        <w:tc>
          <w:tcPr>
            <w:tcW w:w="30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2565" cy="175260"/>
                      <wp:effectExtent l="0" t="0" r="0" b="0"/>
                      <wp:wrapNone/>
                      <wp:docPr id="145" name="Frame14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49910" cy="175260"/>
                      <wp:effectExtent l="0" t="0" r="0" b="0"/>
                      <wp:wrapNone/>
                      <wp:docPr id="146" name="Frame14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6050" cy="175260"/>
                      <wp:effectExtent l="0" t="0" r="0" b="0"/>
                      <wp:wrapNone/>
                      <wp:docPr id="148" name="Frame14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96875" cy="175260"/>
                      <wp:effectExtent l="0" t="0" r="0" b="0"/>
                      <wp:wrapNone/>
                      <wp:docPr id="149" name="Frame149"/>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7790" cy="175260"/>
                      <wp:effectExtent l="0" t="0" r="0" b="0"/>
                      <wp:wrapNone/>
                      <wp:docPr id="150" name="Frame1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54" w:type="dxa"/>
            <w:tcBorders/>
            <w:vAlign w:val="center"/>
          </w:tcPr>
          <w:p>
            <w:pPr>
              <w:pStyle w:val="TableContents"/>
              <w:bidi w:val="0"/>
              <w:spacing w:before="0" w:after="1"/>
              <w:ind w:left="0" w:right="0" w:hanging="0"/>
              <w:jc w:val="center"/>
              <w:rPr/>
            </w:pPr>
            <w:r>
              <w:rPr/>
              <w:t>​</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transition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costs</w:t>
            </w:r>
          </w:p>
        </w:tc>
        <w:tc>
          <w:tcPr>
            <w:tcW w:w="326"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 </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c>
          <w:tcPr>
            <w:tcW w:w="154" w:type="dxa"/>
            <w:tcBorders/>
            <w:vAlign w:val="center"/>
          </w:tcPr>
          <w:p>
            <w:pPr>
              <w:pStyle w:val="TableContents"/>
              <w:bidi w:val="0"/>
              <w:spacing w:before="0" w:after="1"/>
              <w:ind w:left="0" w:right="0" w:hanging="0"/>
              <w:jc w:val="lef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fulfill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pPr>
            <w:r>
              <w:rPr/>
              <w:t> </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pPr>
            <w:r>
              <w:rPr/>
              <w:t> </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obtain contracts</w:t>
            </w:r>
          </w:p>
        </w:tc>
        <w:tc>
          <w:tcPr>
            <w:tcW w:w="32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154" w:type="dxa"/>
            <w:tcBorders/>
            <w:vAlign w:val="center"/>
          </w:tcPr>
          <w:p>
            <w:pPr>
              <w:pStyle w:val="TableContents"/>
              <w:bidi w:val="0"/>
              <w:spacing w:before="0" w:after="1"/>
              <w:ind w:left="0" w:right="0" w:hanging="0"/>
              <w:jc w:val="lef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costs*</w:t>
            </w:r>
          </w:p>
        </w:tc>
        <w:tc>
          <w:tcPr>
            <w:tcW w:w="32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w:t>
            </w:r>
          </w:p>
        </w:tc>
        <w:tc>
          <w:tcPr>
            <w:tcW w:w="154"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Of the total deferred costs, $1,101</w:t>
            </w:r>
            <w:r>
              <w:rPr>
                <w:rFonts w:ascii="Times New Roman;Times;serif" w:hAnsi="Times New Roman;Times;serif"/>
                <w:sz w:val="20"/>
              </w:rPr>
              <w:t xml:space="preserve"> </w:t>
            </w:r>
            <w:r>
              <w:rPr>
                <w:rFonts w:ascii="Times New Roman;Times;serif" w:hAnsi="Times New Roman;Times;serif"/>
                <w:sz w:val="16"/>
              </w:rPr>
              <w:t>million was current and $1,890</w:t>
            </w:r>
            <w:r>
              <w:rPr>
                <w:rFonts w:ascii="Times New Roman;Times;serif" w:hAnsi="Times New Roman;Times;serif"/>
                <w:sz w:val="20"/>
              </w:rPr>
              <w:t xml:space="preserve"> </w:t>
            </w:r>
            <w:r>
              <w:rPr>
                <w:rFonts w:ascii="Times New Roman;Times;serif" w:hAnsi="Times New Roman;Times;serif"/>
                <w:sz w:val="16"/>
              </w:rPr>
              <w:t>million was noncurrent at September 30, 2025, and $1,009</w:t>
            </w:r>
            <w:r>
              <w:rPr>
                <w:rFonts w:ascii="Times New Roman;Times;serif" w:hAnsi="Times New Roman;Times;serif"/>
                <w:sz w:val="20"/>
              </w:rPr>
              <w:t xml:space="preserve"> </w:t>
            </w:r>
            <w:r>
              <w:rPr>
                <w:rFonts w:ascii="Times New Roman;Times;serif" w:hAnsi="Times New Roman;Times;serif"/>
                <w:sz w:val="16"/>
              </w:rPr>
              <w:t>million was current and $1,040</w:t>
            </w:r>
            <w:r>
              <w:rPr>
                <w:rFonts w:ascii="Times New Roman;Times;serif" w:hAnsi="Times New Roman;Times;serif"/>
                <w:sz w:val="20"/>
              </w:rPr>
              <w:t xml:space="preserve"> </w:t>
            </w:r>
            <w:r>
              <w:rPr>
                <w:rFonts w:ascii="Times New Roman;Times;serif" w:hAnsi="Times New Roman;Times;serif"/>
                <w:sz w:val="16"/>
              </w:rPr>
              <w:t>million was noncurrent at March 31, 2025.</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The amount of total deferred costs amortized for the three months ended September 30, 2025 was $431 million, composed of $59 million of amortization of deferred transition costs, $246 million of amortization of prepaid software and $125 million of amortization of capitalized contract costs.</w:t>
      </w:r>
      <w:r>
        <w:rPr>
          <w:rFonts w:ascii="Times New Roman;Times;serif" w:hAnsi="Times New Roman;Times;serif"/>
          <w:sz w:val="20"/>
        </w:rPr>
        <w:t xml:space="preserve"> </w:t>
      </w:r>
      <w:r>
        <w:rPr>
          <w:rFonts w:ascii="Times New Roman;Times;serif" w:hAnsi="Times New Roman;Times;serif"/>
          <w:sz w:val="20"/>
          <w:shd w:fill="FFFFFF" w:val="clear"/>
        </w:rPr>
        <w:t>The amount of total deferred costs amortized for the six months ended September 30, 2025 was $844 million, composed of $122 million of amortization of deferred transition costs, $491 million of amortization of prepaid software and $231 million of amortization of capitalized contract costs. The amount of total deferred costs amortized for the three months ended September 30, 2024 was $435 million, composed of $75 million of amortization of deferred transition costs, $262 million of amortization of prepaid software and $98 million of amortization of capitalized contract costs. The amount of total deferred costs amortized for the six months ended September 30, 2024 was $852 million, composed of $147 million of amortization of deferred transition costs, $500 million of amortization of prepaid software and $205 million of amortization of capitalized contract costs.</w:t>
      </w:r>
    </w:p>
    <w:p>
      <w:pPr>
        <w:pStyle w:val="TextBody"/>
        <w:bidi w:val="0"/>
        <w:spacing w:before="0" w:after="0"/>
        <w:ind w:left="0" w:right="0" w:hanging="0"/>
        <w:jc w:val="left"/>
        <w:rPr>
          <w:rFonts w:ascii="Times New Roman;Times;serif" w:hAnsi="Times New Roman;Times;serif"/>
          <w:b/>
          <w:sz w:val="20"/>
        </w:rPr>
      </w:pPr>
      <w:bookmarkStart w:id="857" w:name="_Hlk195173242"/>
      <w:bookmarkEnd w:id="857"/>
      <w:r>
        <w:rPr>
          <w:rFonts w:ascii="Times New Roman;Times;serif" w:hAnsi="Times New Roman;Times;serif"/>
          <w:b/>
          <w:sz w:val="20"/>
        </w:rPr>
        <w:t>NOTE 4. SEGMENTS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reportable segments correspond to how the chief operating decision maker (“CODM”), our chief executive officer, reviews performance and allocates resources. Our four reportable segments consist of the following: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Canada, France, Germany, India, Italy, Spain / Portugal, and the United Kingdom / Ireland.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measure of segment operating performance used by Kyndryl’s CODM is adjusted EBITDA</w:t>
      </w:r>
      <w:r>
        <w:rPr>
          <w:rFonts w:ascii="Times New Roman;Times;serif" w:hAnsi="Times New Roman;Times;serif"/>
          <w:sz w:val="20"/>
          <w:shd w:fill="FFFFFF" w:val="clear"/>
        </w:rPr>
        <w:t>, which allows our CODM to evaluate operating results excluding certain items whose fluctuation from period to period do not necessarily correspond to changes in the operations of our business.</w:t>
      </w:r>
      <w:r>
        <w:rPr>
          <w:rFonts w:ascii="Times New Roman;Times;serif" w:hAnsi="Times New Roman;Times;serif"/>
          <w:sz w:val="20"/>
        </w:rPr>
        <w:t xml:space="preserve">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The CODM reviews revenue and adjusted EBITDA to assess performance and allocate resources to the segments. The Company does not allocate assets to the above reportable segments for our CODM’s review.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858" w:name="Tc_p831ee0XzECsgaZhgWVy3w_17_14"/>
      <w:bookmarkStart w:id="859" w:name="Tc_bIpJesDdW0WyvwSSTrQ4xQ_17_11"/>
      <w:bookmarkStart w:id="860" w:name="Tc_1AujdfGpKUuRdBkyKeE_9Q_17_8"/>
      <w:bookmarkStart w:id="861" w:name="Tc_8fJge_2q7E-UJ0hsZqSabw_17_5"/>
      <w:bookmarkStart w:id="862" w:name="Tc_BkwJUeA_Ckibtjc65wpRQQ_17_2"/>
      <w:bookmarkStart w:id="863" w:name="Tc_P11hBNRzCUe1s_g_fkIe0g_17_0"/>
      <w:bookmarkStart w:id="864" w:name="Tc_ZwxIuy4GSESKlaH4XTfhFg_16_0"/>
      <w:bookmarkStart w:id="865" w:name="Tc_QvEipWytnUmvs6PSdGvSXA_15_0"/>
      <w:bookmarkStart w:id="866" w:name="Tc_bNJhmasIj0OVmpVmdz27RQ_14_0"/>
      <w:bookmarkStart w:id="867" w:name="Tc_FeuT3NFogUGingl39AIsUg_13_14"/>
      <w:bookmarkStart w:id="868" w:name="Tc_mHDQ10HnYEyuLxCzmN2olw_13_11"/>
      <w:bookmarkStart w:id="869" w:name="Tc_qRA5LuiQPUywLROQeSv2eQ_13_8"/>
      <w:bookmarkStart w:id="870" w:name="Tc_GSRtMCZFb0eZiQDeaDGFbg_13_5"/>
      <w:bookmarkStart w:id="871" w:name="Tc_3TzoGt0LuUGDVaIZZ1qWGg_13_2"/>
      <w:bookmarkStart w:id="872" w:name="Tc_GFLK-mWRK02aVjqH2EZr2g_13_0"/>
      <w:bookmarkStart w:id="873" w:name="Tc_S51Aq26c3UmoqeAYW90Waw_12_14"/>
      <w:bookmarkStart w:id="874" w:name="Tc_Bh9Du3auQUu6koxGtESfcg_12_11"/>
      <w:bookmarkStart w:id="875" w:name="Tc_FD_7eTC4TkKQU729huBOFw_12_8"/>
      <w:bookmarkStart w:id="876" w:name="Tc_MRBV-KG3EUilq6KrFZ0qkg_12_5"/>
      <w:bookmarkStart w:id="877" w:name="Tc_AyXD_Oomn02fX0KERlF0pA_12_2"/>
      <w:bookmarkStart w:id="878" w:name="Tc_YiUk8z2qdkGCGsngzf5JMQ_12_0"/>
      <w:bookmarkStart w:id="879" w:name="Tc_HVSRC9a6ZkivI6sbehxSJw_11_14"/>
      <w:bookmarkStart w:id="880" w:name="Tc_k7MALsYJVEqxGS2o0wmx7Q_11_11"/>
      <w:bookmarkStart w:id="881" w:name="Tc_sI9PfsvidU6Z_88MviGbTg_11_8"/>
      <w:bookmarkStart w:id="882" w:name="Tc_brpZDeCbaES3CdG1PES1EQ_11_2"/>
      <w:bookmarkStart w:id="883" w:name="Tc_YCrfVeTukk2ctgV1P6T-QQ_10_2"/>
      <w:bookmarkStart w:id="884" w:name="Tc_7FRRJrjI8EK4403H8-N1vQ_8_14"/>
      <w:bookmarkStart w:id="885" w:name="Tc_tYrvXs5oWU-8kfGXGQBCFQ_8_11"/>
      <w:bookmarkStart w:id="886" w:name="Tc_B1ipQLpOME2PjabZJNw6sQ_8_8"/>
      <w:bookmarkStart w:id="887" w:name="Tc_O1PMPynfOUeho6NpSeqUHA_8_5"/>
      <w:bookmarkStart w:id="888" w:name="Tc_VrDzB4V3k0qe8dauEz2hNA_8_2"/>
      <w:bookmarkStart w:id="889" w:name="Tc_cpaBnbD_V0SeqWrQ_FVCfw_8_0"/>
      <w:bookmarkStart w:id="890" w:name="Tc_I0Xe2xUpS0u_HMkkyKlnSA_7_0"/>
      <w:bookmarkStart w:id="891" w:name="Tc_xnuVCgSxX0SUNxAcaDUGfA_6_0"/>
      <w:bookmarkStart w:id="892" w:name="Tc_ONid6N3agk-e52WiitdJkg_5_0"/>
      <w:bookmarkStart w:id="893" w:name="Tc_vLQ6uSomBEGiVrlfte06wA_4_14"/>
      <w:bookmarkStart w:id="894" w:name="Tc_LMIKZcjhvkmNOkb_RUdNXw_4_11"/>
      <w:bookmarkStart w:id="895" w:name="Tc_Xoy1j0nVv0Sx7QYpW4dscw_4_8"/>
      <w:bookmarkStart w:id="896" w:name="Tc_t__IhtrTsUytpBV0JK50IQ_4_5"/>
      <w:bookmarkStart w:id="897" w:name="Tc_ias6GB3nc0eEfRoV4MsZsw_4_2"/>
      <w:bookmarkStart w:id="898" w:name="Tc_VzUPdBLnAkaAe-uIPFlkkw_4_0"/>
      <w:bookmarkStart w:id="899" w:name="Tc_tj8lfEQ9j0uUuXHlQrDYhg_3_14"/>
      <w:bookmarkStart w:id="900" w:name="Tc_LBxT7G_yGUODejMscIXPnA_3_11"/>
      <w:bookmarkStart w:id="901" w:name="Tc_3FaPIuU6U0COKJSBtPLIJQ_3_8"/>
      <w:bookmarkStart w:id="902" w:name="Tc_lN_wdPEd_0uzsMt1aiucZA_3_5"/>
      <w:bookmarkStart w:id="903" w:name="Tc_ERvjIrfWR0i2qsoznY1fKQ_3_2"/>
      <w:bookmarkStart w:id="904" w:name="Tc_AJzM2mKgaEeAj-ufbgzSpA_3_0"/>
      <w:bookmarkStart w:id="905" w:name="Tc_J-eBjwbRmUuYD5g4kWYD5g_2_14"/>
      <w:bookmarkStart w:id="906" w:name="Tc_lUBP6q5WzkiaxwRVAZ7Lug_2_11"/>
      <w:bookmarkStart w:id="907" w:name="Tc_FWc7ZD-m4kmrRf5OVDJwLw_2_8"/>
      <w:bookmarkStart w:id="908" w:name="Tc_OxFpxKLLbkauTi1MOm-RuQ_2_2"/>
      <w:bookmarkStart w:id="909" w:name="Tc_eZeBw_ec7kWnySaM73jtog_1_2"/>
      <w:bookmarkStart w:id="910" w:name="_4b63389b_9af6_42d9_9b4e_876e081d5272"/>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rFonts w:ascii="Times New Roman;Times;serif" w:hAnsi="Times New Roman;Times;serif"/>
          <w:sz w:val="20"/>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tables reflect the results of the Company’s segments:</w:t>
      </w:r>
    </w:p>
    <w:tbl>
      <w:tblPr>
        <w:tblW w:w="10205" w:type="dxa"/>
        <w:jc w:val="left"/>
        <w:tblInd w:w="0" w:type="dxa"/>
        <w:tblLayout w:type="fixed"/>
        <w:tblCellMar>
          <w:top w:w="0" w:type="dxa"/>
          <w:left w:w="0" w:type="dxa"/>
          <w:bottom w:w="0" w:type="dxa"/>
          <w:right w:w="0" w:type="dxa"/>
        </w:tblCellMar>
      </w:tblPr>
      <w:tblGrid>
        <w:gridCol w:w="4936"/>
        <w:gridCol w:w="326"/>
        <w:gridCol w:w="211"/>
        <w:gridCol w:w="421"/>
        <w:gridCol w:w="326"/>
        <w:gridCol w:w="211"/>
        <w:gridCol w:w="421"/>
        <w:gridCol w:w="326"/>
        <w:gridCol w:w="211"/>
        <w:gridCol w:w="571"/>
        <w:gridCol w:w="326"/>
        <w:gridCol w:w="255"/>
        <w:gridCol w:w="511"/>
        <w:gridCol w:w="326"/>
        <w:gridCol w:w="211"/>
        <w:gridCol w:w="616"/>
      </w:tblGrid>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67335" cy="175260"/>
                      <wp:effectExtent l="0" t="0" r="0" b="0"/>
                      <wp:wrapNone/>
                      <wp:docPr id="153" name="Frame15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67335" cy="175260"/>
                      <wp:effectExtent l="0" t="0" r="0" b="0"/>
                      <wp:wrapNone/>
                      <wp:docPr id="156" name="Frame15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62585" cy="175260"/>
                      <wp:effectExtent l="0" t="0" r="0" b="0"/>
                      <wp:wrapNone/>
                      <wp:docPr id="159" name="Frame1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1925" cy="175260"/>
                      <wp:effectExtent l="0" t="0" r="0" b="0"/>
                      <wp:wrapNone/>
                      <wp:docPr id="161" name="Frame16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24485" cy="175260"/>
                      <wp:effectExtent l="0" t="0" r="0" b="0"/>
                      <wp:wrapNone/>
                      <wp:docPr id="162" name="Frame16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91160" cy="175260"/>
                      <wp:effectExtent l="0" t="0" r="0" b="0"/>
                      <wp:wrapNone/>
                      <wp:docPr id="165" name="Frame165"/>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2025</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2,425</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4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2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2,529</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r>
      <w:tr>
        <w:trPr/>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579</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Cost of service, excluding depreciation and amortization and selling, general and administrative expenses, excluding depreciation and </w:t>
        <w:br/>
        <w:t>amortization are both used in calculating segment adjusted EBITDA and exclude depreciation of property, equipment and capitalized software</w:t>
        <w:br/>
        <w:t>and amortization of transition costs and prepaid software.</w:t>
      </w:r>
    </w:p>
    <w:p>
      <w:pPr>
        <w:pStyle w:val="TextBody"/>
        <w:bidi w:val="0"/>
        <w:spacing w:before="0" w:after="240"/>
        <w:ind w:left="0" w:right="0" w:hanging="0"/>
        <w:jc w:val="left"/>
        <w:rPr/>
      </w:pPr>
      <w:r>
        <w:rPr/>
        <w:t xml:space="preserve">† </w:t>
      </w:r>
      <w:r>
        <w:rPr>
          <w:rFonts w:ascii="Times New Roman;Times;serif" w:hAnsi="Times New Roman;Times;serif"/>
          <w:sz w:val="16"/>
        </w:rPr>
        <w:t>Other items include workforce rebalancing charges and other expense.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911" w:name="Tc_JTv7nZ_GU06MIyaBQ-qjLw_12_11"/>
      <w:bookmarkStart w:id="912" w:name="Tc_0oWRCpogmEaSBvQg3WFPEA_12_8"/>
      <w:bookmarkStart w:id="913" w:name="Tc_RZeH9qqc60q_TTKZShnzUA_12_5"/>
      <w:bookmarkStart w:id="914" w:name="Tc_5NGjJIT8sEipMvzp8cgnsw_12_2"/>
      <w:bookmarkStart w:id="915" w:name="Tc_Q3n8aPScS0a-WnY6qwjUSA_12_0"/>
      <w:bookmarkStart w:id="916" w:name="Tc_R4M_czoqOE2_E75zOtE0Og_11_0"/>
      <w:bookmarkStart w:id="917" w:name="Tc_TGT6ifu3EkKpVv5hdorPzw_10_0"/>
      <w:bookmarkStart w:id="918" w:name="Tc_yLOwGmCcj02joHRr6CPuJQ_9_0"/>
      <w:bookmarkStart w:id="919" w:name="Tc_Mq2ON8WbBUao5EJmZ6JSsg_8_0"/>
      <w:bookmarkStart w:id="920" w:name="Tc_rEN4ckQy90uvxXsOEWddrA_7_0"/>
      <w:bookmarkStart w:id="921" w:name="Tc_GdJDJ7Mc0kue1MB9Bd5Dpw_6_0"/>
      <w:bookmarkStart w:id="922" w:name="Tc_XHEHmvOi8UG7LubZoZNS_Q_5_9"/>
      <w:bookmarkStart w:id="923" w:name="Tc_HRKuem0AuE-PjIFyJIlOvw_5_6"/>
      <w:bookmarkStart w:id="924" w:name="Tc_otbSW17WjEWWDqzmvJD7nQ_5_3"/>
      <w:bookmarkStart w:id="925" w:name="Tc_Ha3k7glqaUm4L4eVWCSwfA_5_0"/>
      <w:bookmarkStart w:id="926" w:name="Tc_pPYiMxRpEUmYmeE3lxmNQg_4_9"/>
      <w:bookmarkStart w:id="927" w:name="Tc_UnvYUlyge06yoRVRUKqfUw_4_3"/>
      <w:bookmarkStart w:id="928" w:name="Tc_MH-NJpkujkyRfBLnfmWfjA_4_0"/>
      <w:bookmarkStart w:id="929" w:name="Tc_vCU5ul_SeEK5LwpcVdd_ag_3_11"/>
      <w:bookmarkStart w:id="930" w:name="Tc_5BtLK1iTXkeCxdtdB4Jorg_3_8"/>
      <w:bookmarkStart w:id="931" w:name="Tc_S7gmXKApg0yVaQ1WIVr4UA_3_5"/>
      <w:bookmarkStart w:id="932" w:name="Tc_YSSBKYMsnEGGxubyR7j6oQ_3_2"/>
      <w:bookmarkStart w:id="933" w:name="Tc_uwTFifTmcEazuA1aSYc-og_3_0"/>
      <w:bookmarkStart w:id="934" w:name="Tc_0y_Dec8rIk2YEV-eMRLr8w_2_11"/>
      <w:bookmarkStart w:id="935" w:name="Tc_oaouVTfNmE6EO6iayMWybg_2_8"/>
      <w:bookmarkStart w:id="936" w:name="Tc_AbBd6bGGJUOefvjjgic3WQ_2_5"/>
      <w:bookmarkStart w:id="937" w:name="Tc_SwrFFBuWz02FLl7WXiF-fA_2_2"/>
      <w:bookmarkStart w:id="938" w:name="Tc_QKD-sEgFxE6oKhItnTo9rA_2_0"/>
      <w:bookmarkStart w:id="939" w:name="Tc_yxCnvq5Mp0a4rVtCtgW0dQ_1_8"/>
      <w:bookmarkStart w:id="940" w:name="Tc_vJu1hsFEIEuZKA1pPZ0oDQ_1_2"/>
      <w:bookmarkStart w:id="941" w:name="_98f27db0_e841_4820_bb4e_986e78addaab"/>
      <w:bookmarkStart w:id="942" w:name="Tc_yJFajjghAUyYXmaH0LW83g_17_14"/>
      <w:bookmarkStart w:id="943" w:name="Tc_8_SunFh3PkSuTXjCTFYjvA_17_11"/>
      <w:bookmarkStart w:id="944" w:name="Tc_NV4q7ka0ekukaczIEqfqrg_17_8"/>
      <w:bookmarkStart w:id="945" w:name="Tc_rtdwSYeUc0GmZU8idyUwjw_17_5"/>
      <w:bookmarkStart w:id="946" w:name="Tc_yv1NGbygF0-8wEaP5csnbg_17_2"/>
      <w:bookmarkStart w:id="947" w:name="Tc_JhuCRdrH10KuGLH5FepTVw_17_0"/>
      <w:bookmarkStart w:id="948" w:name="Tc_4j2KKf2JkUmTANxXtJTFSw_16_0"/>
      <w:bookmarkStart w:id="949" w:name="Tc_y0QTqXqUTkKCT7xHCR9qGg_15_0"/>
      <w:bookmarkStart w:id="950" w:name="Tc_pweBmiCPykOKajNvRVCLrA_14_0"/>
      <w:bookmarkStart w:id="951" w:name="Tc_kgO-tNu2ckWeq2AofZFz5g_13_14"/>
      <w:bookmarkStart w:id="952" w:name="Tc_p6HJljlXi0GH2UhlVfY6Iw_13_11"/>
      <w:bookmarkStart w:id="953" w:name="Tc_40qvw1Fv10CJ3wcjlhY8Pg_13_8"/>
      <w:bookmarkStart w:id="954" w:name="Tc_FxI6EYcT30SFVL3OLoPFkA_13_5"/>
      <w:bookmarkStart w:id="955" w:name="Tc_5wMrxAmB-UCR4hpM3Li1Hw_13_2"/>
      <w:bookmarkStart w:id="956" w:name="Tc_TQIPLQlQ6EGOVzYbMajJ9Q_13_0"/>
      <w:bookmarkStart w:id="957" w:name="Tc_gsHr1ESqSkmH3nVyt64Feg_12_14"/>
      <w:bookmarkStart w:id="958" w:name="Tc_ZlkVUqQTYUqX90p7KKwpjA_12_11"/>
      <w:bookmarkStart w:id="959" w:name="Tc_74QFRJeH-kSwnfBnhtUcjA_12_8"/>
      <w:bookmarkStart w:id="960" w:name="Tc_NIWt2aPQFUGj350lXMaZaA_12_5"/>
      <w:bookmarkStart w:id="961" w:name="Tc_iiwJwPnIxUeyc6TjD-BoZw_12_2"/>
      <w:bookmarkStart w:id="962" w:name="Tc_fvLjBcmabkyzICU3u_CWQw_12_0"/>
      <w:bookmarkStart w:id="963" w:name="Tc_LfkkIDt7FUy4sYMLHlJBlg_11_14"/>
      <w:bookmarkStart w:id="964" w:name="Tc_203KGx4fLkm7BnO3htxI5w_11_11"/>
      <w:bookmarkStart w:id="965" w:name="Tc_sgtZ4-J2U0mpK-RoVJhylA_11_8"/>
      <w:bookmarkStart w:id="966" w:name="Tc_qp3mkmgAyE-ihNVDvanvMA_11_2"/>
      <w:bookmarkStart w:id="967" w:name="Tc_qBuqKGcJKECpjke0ylVrEA_10_2"/>
      <w:bookmarkStart w:id="968" w:name="Tc_WAZ-JpiWhEqYhkTTZVnZ2w_8_14"/>
      <w:bookmarkStart w:id="969" w:name="Tc_mfrDFNhqVUKMnxY0U1YKZg_8_11"/>
      <w:bookmarkStart w:id="970" w:name="Tc_-SLLsND2uE2zYzDS8oq2Ig_8_8"/>
      <w:bookmarkStart w:id="971" w:name="Tc_JmQbrs7aN0e5IQy6eYlyXA_8_5"/>
      <w:bookmarkStart w:id="972" w:name="Tc_SQIth3mAaESZZHEsEqYXXQ_8_2"/>
      <w:bookmarkStart w:id="973" w:name="Tc_NvbYbyPFv0SZUnOgINKzfw_8_0"/>
      <w:bookmarkStart w:id="974" w:name="Tc_e_bPFUk9wEOgalHD01BWLA_7_0"/>
      <w:bookmarkStart w:id="975" w:name="Tc_D13wZoKSFEiV61eKpVc75Q_6_0"/>
      <w:bookmarkStart w:id="976" w:name="Tc_lEuDp3xsE0KOQUPbkdVFyQ_5_0"/>
      <w:bookmarkStart w:id="977" w:name="Tc_cFzpIutOE0-2WaaDvK9mng_4_14"/>
      <w:bookmarkStart w:id="978" w:name="Tc_i8q0stq-uUybf_dqTxYiHQ_4_11"/>
      <w:bookmarkStart w:id="979" w:name="Tc_zjGgj2ctV0ewsHQsyaV3xQ_4_8"/>
      <w:bookmarkStart w:id="980" w:name="Tc_G8f1plVQ8Uq61OlmEYwOKA_4_5"/>
      <w:bookmarkStart w:id="981" w:name="Tc_XqPLle6DbEOmjc5DMOGmHg_4_2"/>
      <w:bookmarkStart w:id="982" w:name="Tc_72izVVrZl0eeh94DQR_VVg_4_0"/>
      <w:bookmarkStart w:id="983" w:name="Tc_mOCFy-kaM0GcIIIUPZn1_g_3_14"/>
      <w:bookmarkStart w:id="984" w:name="Tc_jqP8wWvk_0-HxWhF_6ZOpw_3_11"/>
      <w:bookmarkStart w:id="985" w:name="Tc_aAsKi1MXTkORZF5gDMXXxg_3_8"/>
      <w:bookmarkStart w:id="986" w:name="Tc_r4P9pNtpg0S9xbBAei4e4w_3_5"/>
      <w:bookmarkStart w:id="987" w:name="Tc__n76oHOi8EKOB7hq1-LaYw_3_2"/>
      <w:bookmarkStart w:id="988" w:name="Tc_GE5WPbdJykCNPZbmsVKi7Q_3_0"/>
      <w:bookmarkStart w:id="989" w:name="Tc_12e2n8eCAkKoSNUb7k7U9g_2_14"/>
      <w:bookmarkStart w:id="990" w:name="Tc_ZH0IMwFdm0qhlpojnqG0ZA_2_11"/>
      <w:bookmarkStart w:id="991" w:name="Tc_oKtODaBlnEC1HKoEozVh3w_2_8"/>
      <w:bookmarkStart w:id="992" w:name="Tc_NYgLNVMGcESme46OpOIRag_2_2"/>
      <w:bookmarkStart w:id="993" w:name="Tc_EE7y65Y00EKqpY-RyBRJQw_1_2"/>
      <w:bookmarkStart w:id="994" w:name="_62d8e4f0_52f1_47f8_be1a_c2571e0a10ba"/>
      <w:bookmarkStart w:id="995" w:name="Tc_JTv7nZ_GU06MIyaBQ-qjLw_12_11"/>
      <w:bookmarkStart w:id="996" w:name="Tc_0oWRCpogmEaSBvQg3WFPEA_12_8"/>
      <w:bookmarkStart w:id="997" w:name="Tc_RZeH9qqc60q_TTKZShnzUA_12_5"/>
      <w:bookmarkStart w:id="998" w:name="Tc_5NGjJIT8sEipMvzp8cgnsw_12_2"/>
      <w:bookmarkStart w:id="999" w:name="Tc_Q3n8aPScS0a-WnY6qwjUSA_12_0"/>
      <w:bookmarkStart w:id="1000" w:name="Tc_R4M_czoqOE2_E75zOtE0Og_11_0"/>
      <w:bookmarkStart w:id="1001" w:name="Tc_TGT6ifu3EkKpVv5hdorPzw_10_0"/>
      <w:bookmarkStart w:id="1002" w:name="Tc_yLOwGmCcj02joHRr6CPuJQ_9_0"/>
      <w:bookmarkStart w:id="1003" w:name="Tc_Mq2ON8WbBUao5EJmZ6JSsg_8_0"/>
      <w:bookmarkStart w:id="1004" w:name="Tc_rEN4ckQy90uvxXsOEWddrA_7_0"/>
      <w:bookmarkStart w:id="1005" w:name="Tc_GdJDJ7Mc0kue1MB9Bd5Dpw_6_0"/>
      <w:bookmarkStart w:id="1006" w:name="Tc_XHEHmvOi8UG7LubZoZNS_Q_5_9"/>
      <w:bookmarkStart w:id="1007" w:name="Tc_HRKuem0AuE-PjIFyJIlOvw_5_6"/>
      <w:bookmarkStart w:id="1008" w:name="Tc_otbSW17WjEWWDqzmvJD7nQ_5_3"/>
      <w:bookmarkStart w:id="1009" w:name="Tc_Ha3k7glqaUm4L4eVWCSwfA_5_0"/>
      <w:bookmarkStart w:id="1010" w:name="Tc_pPYiMxRpEUmYmeE3lxmNQg_4_9"/>
      <w:bookmarkStart w:id="1011" w:name="Tc_UnvYUlyge06yoRVRUKqfUw_4_3"/>
      <w:bookmarkStart w:id="1012" w:name="Tc_MH-NJpkujkyRfBLnfmWfjA_4_0"/>
      <w:bookmarkStart w:id="1013" w:name="Tc_vCU5ul_SeEK5LwpcVdd_ag_3_11"/>
      <w:bookmarkStart w:id="1014" w:name="Tc_5BtLK1iTXkeCxdtdB4Jorg_3_8"/>
      <w:bookmarkStart w:id="1015" w:name="Tc_S7gmXKApg0yVaQ1WIVr4UA_3_5"/>
      <w:bookmarkStart w:id="1016" w:name="Tc_YSSBKYMsnEGGxubyR7j6oQ_3_2"/>
      <w:bookmarkStart w:id="1017" w:name="Tc_uwTFifTmcEazuA1aSYc-og_3_0"/>
      <w:bookmarkStart w:id="1018" w:name="Tc_0y_Dec8rIk2YEV-eMRLr8w_2_11"/>
      <w:bookmarkStart w:id="1019" w:name="Tc_oaouVTfNmE6EO6iayMWybg_2_8"/>
      <w:bookmarkStart w:id="1020" w:name="Tc_AbBd6bGGJUOefvjjgic3WQ_2_5"/>
      <w:bookmarkStart w:id="1021" w:name="Tc_SwrFFBuWz02FLl7WXiF-fA_2_2"/>
      <w:bookmarkStart w:id="1022" w:name="Tc_QKD-sEgFxE6oKhItnTo9rA_2_0"/>
      <w:bookmarkStart w:id="1023" w:name="Tc_yxCnvq5Mp0a4rVtCtgW0dQ_1_8"/>
      <w:bookmarkStart w:id="1024" w:name="Tc_vJu1hsFEIEuZKA1pPZ0oDQ_1_2"/>
      <w:bookmarkStart w:id="1025" w:name="_98f27db0_e841_4820_bb4e_986e78addaab"/>
      <w:bookmarkStart w:id="1026" w:name="Tc_yJFajjghAUyYXmaH0LW83g_17_14"/>
      <w:bookmarkStart w:id="1027" w:name="Tc_8_SunFh3PkSuTXjCTFYjvA_17_11"/>
      <w:bookmarkStart w:id="1028" w:name="Tc_NV4q7ka0ekukaczIEqfqrg_17_8"/>
      <w:bookmarkStart w:id="1029" w:name="Tc_rtdwSYeUc0GmZU8idyUwjw_17_5"/>
      <w:bookmarkStart w:id="1030" w:name="Tc_yv1NGbygF0-8wEaP5csnbg_17_2"/>
      <w:bookmarkStart w:id="1031" w:name="Tc_JhuCRdrH10KuGLH5FepTVw_17_0"/>
      <w:bookmarkStart w:id="1032" w:name="Tc_4j2KKf2JkUmTANxXtJTFSw_16_0"/>
      <w:bookmarkStart w:id="1033" w:name="Tc_y0QTqXqUTkKCT7xHCR9qGg_15_0"/>
      <w:bookmarkStart w:id="1034" w:name="Tc_pweBmiCPykOKajNvRVCLrA_14_0"/>
      <w:bookmarkStart w:id="1035" w:name="Tc_kgO-tNu2ckWeq2AofZFz5g_13_14"/>
      <w:bookmarkStart w:id="1036" w:name="Tc_p6HJljlXi0GH2UhlVfY6Iw_13_11"/>
      <w:bookmarkStart w:id="1037" w:name="Tc_40qvw1Fv10CJ3wcjlhY8Pg_13_8"/>
      <w:bookmarkStart w:id="1038" w:name="Tc_FxI6EYcT30SFVL3OLoPFkA_13_5"/>
      <w:bookmarkStart w:id="1039" w:name="Tc_5wMrxAmB-UCR4hpM3Li1Hw_13_2"/>
      <w:bookmarkStart w:id="1040" w:name="Tc_TQIPLQlQ6EGOVzYbMajJ9Q_13_0"/>
      <w:bookmarkStart w:id="1041" w:name="Tc_gsHr1ESqSkmH3nVyt64Feg_12_14"/>
      <w:bookmarkStart w:id="1042" w:name="Tc_ZlkVUqQTYUqX90p7KKwpjA_12_11"/>
      <w:bookmarkStart w:id="1043" w:name="Tc_74QFRJeH-kSwnfBnhtUcjA_12_8"/>
      <w:bookmarkStart w:id="1044" w:name="Tc_NIWt2aPQFUGj350lXMaZaA_12_5"/>
      <w:bookmarkStart w:id="1045" w:name="Tc_iiwJwPnIxUeyc6TjD-BoZw_12_2"/>
      <w:bookmarkStart w:id="1046" w:name="Tc_fvLjBcmabkyzICU3u_CWQw_12_0"/>
      <w:bookmarkStart w:id="1047" w:name="Tc_LfkkIDt7FUy4sYMLHlJBlg_11_14"/>
      <w:bookmarkStart w:id="1048" w:name="Tc_203KGx4fLkm7BnO3htxI5w_11_11"/>
      <w:bookmarkStart w:id="1049" w:name="Tc_sgtZ4-J2U0mpK-RoVJhylA_11_8"/>
      <w:bookmarkStart w:id="1050" w:name="Tc_qp3mkmgAyE-ihNVDvanvMA_11_2"/>
      <w:bookmarkStart w:id="1051" w:name="Tc_qBuqKGcJKECpjke0ylVrEA_10_2"/>
      <w:bookmarkStart w:id="1052" w:name="Tc_WAZ-JpiWhEqYhkTTZVnZ2w_8_14"/>
      <w:bookmarkStart w:id="1053" w:name="Tc_mfrDFNhqVUKMnxY0U1YKZg_8_11"/>
      <w:bookmarkStart w:id="1054" w:name="Tc_-SLLsND2uE2zYzDS8oq2Ig_8_8"/>
      <w:bookmarkStart w:id="1055" w:name="Tc_JmQbrs7aN0e5IQy6eYlyXA_8_5"/>
      <w:bookmarkStart w:id="1056" w:name="Tc_SQIth3mAaESZZHEsEqYXXQ_8_2"/>
      <w:bookmarkStart w:id="1057" w:name="Tc_NvbYbyPFv0SZUnOgINKzfw_8_0"/>
      <w:bookmarkStart w:id="1058" w:name="Tc_e_bPFUk9wEOgalHD01BWLA_7_0"/>
      <w:bookmarkStart w:id="1059" w:name="Tc_D13wZoKSFEiV61eKpVc75Q_6_0"/>
      <w:bookmarkStart w:id="1060" w:name="Tc_lEuDp3xsE0KOQUPbkdVFyQ_5_0"/>
      <w:bookmarkStart w:id="1061" w:name="Tc_cFzpIutOE0-2WaaDvK9mng_4_14"/>
      <w:bookmarkStart w:id="1062" w:name="Tc_i8q0stq-uUybf_dqTxYiHQ_4_11"/>
      <w:bookmarkStart w:id="1063" w:name="Tc_zjGgj2ctV0ewsHQsyaV3xQ_4_8"/>
      <w:bookmarkStart w:id="1064" w:name="Tc_G8f1plVQ8Uq61OlmEYwOKA_4_5"/>
      <w:bookmarkStart w:id="1065" w:name="Tc_XqPLle6DbEOmjc5DMOGmHg_4_2"/>
      <w:bookmarkStart w:id="1066" w:name="Tc_72izVVrZl0eeh94DQR_VVg_4_0"/>
      <w:bookmarkStart w:id="1067" w:name="Tc_mOCFy-kaM0GcIIIUPZn1_g_3_14"/>
      <w:bookmarkStart w:id="1068" w:name="Tc_jqP8wWvk_0-HxWhF_6ZOpw_3_11"/>
      <w:bookmarkStart w:id="1069" w:name="Tc_aAsKi1MXTkORZF5gDMXXxg_3_8"/>
      <w:bookmarkStart w:id="1070" w:name="Tc_r4P9pNtpg0S9xbBAei4e4w_3_5"/>
      <w:bookmarkStart w:id="1071" w:name="Tc__n76oHOi8EKOB7hq1-LaYw_3_2"/>
      <w:bookmarkStart w:id="1072" w:name="Tc_GE5WPbdJykCNPZbmsVKi7Q_3_0"/>
      <w:bookmarkStart w:id="1073" w:name="Tc_12e2n8eCAkKoSNUb7k7U9g_2_14"/>
      <w:bookmarkStart w:id="1074" w:name="Tc_ZH0IMwFdm0qhlpojnqG0ZA_2_11"/>
      <w:bookmarkStart w:id="1075" w:name="Tc_oKtODaBlnEC1HKoEozVh3w_2_8"/>
      <w:bookmarkStart w:id="1076" w:name="Tc_NYgLNVMGcESme46OpOIRag_2_2"/>
      <w:bookmarkStart w:id="1077" w:name="Tc_EE7y65Y00EKqpY-RyBRJQw_1_2"/>
      <w:bookmarkStart w:id="1078" w:name="_62d8e4f0_52f1_47f8_be1a_c2571e0a10ba"/>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p>
    <w:tbl>
      <w:tblPr>
        <w:tblW w:w="10205" w:type="dxa"/>
        <w:jc w:val="left"/>
        <w:tblInd w:w="0" w:type="dxa"/>
        <w:tblLayout w:type="fixed"/>
        <w:tblCellMar>
          <w:top w:w="0" w:type="dxa"/>
          <w:left w:w="0" w:type="dxa"/>
          <w:bottom w:w="0" w:type="dxa"/>
          <w:right w:w="0" w:type="dxa"/>
        </w:tblCellMar>
      </w:tblPr>
      <w:tblGrid>
        <w:gridCol w:w="4550"/>
        <w:gridCol w:w="326"/>
        <w:gridCol w:w="211"/>
        <w:gridCol w:w="571"/>
        <w:gridCol w:w="326"/>
        <w:gridCol w:w="211"/>
        <w:gridCol w:w="571"/>
        <w:gridCol w:w="326"/>
        <w:gridCol w:w="211"/>
        <w:gridCol w:w="571"/>
        <w:gridCol w:w="326"/>
        <w:gridCol w:w="211"/>
        <w:gridCol w:w="571"/>
        <w:gridCol w:w="326"/>
        <w:gridCol w:w="211"/>
        <w:gridCol w:w="686"/>
      </w:tblGrid>
      <w:tr>
        <w:trPr/>
        <w:tc>
          <w:tcPr>
            <w:tcW w:w="4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62585" cy="175260"/>
                      <wp:effectExtent l="0" t="0" r="0" b="0"/>
                      <wp:wrapNone/>
                      <wp:docPr id="168"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2585" cy="175260"/>
                      <wp:effectExtent l="0" t="0" r="0" b="0"/>
                      <wp:wrapNone/>
                      <wp:docPr id="171" name="Frame1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62585" cy="175260"/>
                      <wp:effectExtent l="0" t="0" r="0" b="0"/>
                      <wp:wrapNone/>
                      <wp:docPr id="174" name="Frame1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5610" cy="175260"/>
                      <wp:effectExtent l="0" t="0" r="0" b="0"/>
                      <wp:wrapNone/>
                      <wp:docPr id="180" name="Frame18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2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2025</w:t>
            </w:r>
          </w:p>
        </w:tc>
      </w:tr>
      <w:tr>
        <w:trPr/>
        <w:tc>
          <w:tcPr>
            <w:tcW w:w="4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5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r>
      <w:tr>
        <w:trPr/>
        <w:tc>
          <w:tcPr>
            <w:tcW w:w="4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4,879</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w:t>
            </w:r>
          </w:p>
        </w:tc>
      </w:tr>
      <w:tr>
        <w:trPr/>
        <w:tc>
          <w:tcPr>
            <w:tcW w:w="4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r>
      <w:tr>
        <w:trPr/>
        <w:tc>
          <w:tcPr>
            <w:tcW w:w="4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4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2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2024</w:t>
            </w:r>
          </w:p>
        </w:tc>
      </w:tr>
      <w:tr>
        <w:trPr/>
        <w:tc>
          <w:tcPr>
            <w:tcW w:w="4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26" w:type="dxa"/>
            <w:tcBorders/>
            <w:vAlign w:val="center"/>
          </w:tcPr>
          <w:p>
            <w:pPr>
              <w:pStyle w:val="TableContents"/>
              <w:bidi w:val="0"/>
              <w:spacing w:before="0" w:after="0"/>
              <w:ind w:left="0" w:right="0" w:hanging="0"/>
              <w:jc w:val="center"/>
              <w:rPr/>
            </w:pPr>
            <w:r>
              <w:rPr/>
              <w:t>​</w:t>
            </w:r>
          </w:p>
        </w:tc>
        <w:tc>
          <w:tcPr>
            <w:tcW w:w="8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5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r>
      <w:tr>
        <w:trPr/>
        <w:tc>
          <w:tcPr>
            <w:tcW w:w="4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5,028</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r>
      <w:tr>
        <w:trPr/>
        <w:tc>
          <w:tcPr>
            <w:tcW w:w="4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1,156</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Cost of service, excluding depreciation and amortization and selling, general and administrative expenses, excluding depreciation and </w:t>
        <w:br/>
        <w:t>amortization are both used in calculating segment adjusted EBITDA and exclude depreciation of property, equipment and capitalized software</w:t>
        <w:br/>
        <w:t>and amortization of transition costs and prepaid software.</w:t>
      </w:r>
    </w:p>
    <w:p>
      <w:pPr>
        <w:pStyle w:val="TextBody"/>
        <w:bidi w:val="0"/>
        <w:spacing w:before="0" w:after="240"/>
        <w:ind w:left="0" w:right="0" w:hanging="0"/>
        <w:jc w:val="left"/>
        <w:rPr/>
      </w:pPr>
      <w:r>
        <w:rPr/>
        <w:t xml:space="preserve">† </w:t>
      </w:r>
      <w:r>
        <w:rPr>
          <w:rFonts w:ascii="Times New Roman;Times;serif" w:hAnsi="Times New Roman;Times;serif"/>
          <w:sz w:val="16"/>
        </w:rPr>
        <w:t>Other items include workforce rebalancing charges and other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reconciles segment adjusted EBITDA to consolidated pretax income (loss): </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814"/>
        <w:gridCol w:w="326"/>
        <w:gridCol w:w="279"/>
        <w:gridCol w:w="698"/>
        <w:gridCol w:w="431"/>
        <w:gridCol w:w="279"/>
        <w:gridCol w:w="698"/>
        <w:gridCol w:w="326"/>
        <w:gridCol w:w="256"/>
        <w:gridCol w:w="694"/>
        <w:gridCol w:w="396"/>
        <w:gridCol w:w="256"/>
        <w:gridCol w:w="752"/>
      </w:tblGrid>
      <w:tr>
        <w:trPr/>
        <w:tc>
          <w:tcPr>
            <w:tcW w:w="4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056890" cy="175260"/>
                      <wp:effectExtent l="0" t="0" r="0" b="0"/>
                      <wp:wrapNone/>
                      <wp:docPr id="181" name="Frame181"/>
                      <a:graphic xmlns:a="http://schemas.openxmlformats.org/drawingml/2006/main">
                        <a:graphicData uri="http://schemas.microsoft.com/office/word/2010/wordprocessingShape">
                          <wps:wsp>
                            <wps:cNvSpPr txBox="1"/>
                            <wps:spPr>
                              <a:xfrm>
                                <a:off x="0" y="0"/>
                                <a:ext cx="305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77165" cy="175260"/>
                      <wp:effectExtent l="0" t="0" r="0" b="0"/>
                      <wp:wrapNone/>
                      <wp:docPr id="183" name="Frame183"/>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43230" cy="175260"/>
                      <wp:effectExtent l="0" t="0" r="0" b="0"/>
                      <wp:wrapNone/>
                      <wp:docPr id="184" name="Frame184"/>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73685" cy="175260"/>
                      <wp:effectExtent l="0" t="0" r="0" b="0"/>
                      <wp:wrapNone/>
                      <wp:docPr id="185" name="Frame185"/>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77165" cy="175260"/>
                      <wp:effectExtent l="0" t="0" r="0" b="0"/>
                      <wp:wrapNone/>
                      <wp:docPr id="186" name="Frame186"/>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43230" cy="175260"/>
                      <wp:effectExtent l="0" t="0" r="0" b="0"/>
                      <wp:wrapNone/>
                      <wp:docPr id="187" name="Frame187"/>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62560" cy="175260"/>
                      <wp:effectExtent l="0" t="0" r="0" b="0"/>
                      <wp:wrapNone/>
                      <wp:docPr id="189" name="Frame18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40690" cy="175260"/>
                      <wp:effectExtent l="0" t="0" r="0" b="0"/>
                      <wp:wrapNone/>
                      <wp:docPr id="190" name="Frame190"/>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51460" cy="175260"/>
                      <wp:effectExtent l="0" t="0" r="0" b="0"/>
                      <wp:wrapNone/>
                      <wp:docPr id="191" name="Frame19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2560" cy="175260"/>
                      <wp:effectExtent l="0" t="0" r="0" b="0"/>
                      <wp:wrapNone/>
                      <wp:docPr id="192" name="Frame192"/>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77520" cy="175260"/>
                      <wp:effectExtent l="0" t="0" r="0" b="0"/>
                      <wp:wrapNone/>
                      <wp:docPr id="193" name="Frame193"/>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35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48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1"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0"/>
              <w:ind w:left="0" w:right="0" w:hanging="0"/>
              <w:jc w:val="left"/>
              <w:rPr/>
            </w:pPr>
            <w:r>
              <w:rPr/>
              <w:t>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w:t>
            </w:r>
          </w:p>
        </w:tc>
      </w:tr>
      <w:tr>
        <w:trPr/>
        <w:tc>
          <w:tcPr>
            <w:tcW w:w="48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right"/>
              <w:rPr/>
            </w:pPr>
            <w:r>
              <w:rPr/>
              <w:t>—</w:t>
            </w:r>
          </w:p>
        </w:tc>
        <w:tc>
          <w:tcPr>
            <w:tcW w:w="431"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8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31"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9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31" w:type="dxa"/>
            <w:tcBorders/>
            <w:shd w:fill="CCEEFF" w:val="clear"/>
            <w:vAlign w:val="center"/>
          </w:tcPr>
          <w:p>
            <w:pPr>
              <w:pStyle w:val="TableContents"/>
              <w:bidi w:val="0"/>
              <w:spacing w:before="0" w:after="0"/>
              <w:ind w:left="0" w:right="0" w:hanging="0"/>
              <w:jc w:val="center"/>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96"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8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31"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9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4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431" w:type="dxa"/>
            <w:tcBorders/>
            <w:shd w:fill="CCEEFF" w:val="clear"/>
            <w:vAlign w:val="center"/>
          </w:tcPr>
          <w:p>
            <w:pPr>
              <w:pStyle w:val="TableContents"/>
              <w:bidi w:val="0"/>
              <w:spacing w:before="0" w:after="0"/>
              <w:ind w:left="0" w:right="0" w:hanging="0"/>
              <w:jc w:val="center"/>
              <w:rPr/>
            </w:pPr>
            <w:r>
              <w:rPr/>
              <w:t>​</w:t>
            </w:r>
          </w:p>
        </w:tc>
        <w:tc>
          <w:tcPr>
            <w:tcW w:w="279" w:type="dxa"/>
            <w:tcBorders/>
            <w:shd w:fill="CCEEFF" w:val="clear"/>
            <w:vAlign w:val="center"/>
          </w:tcPr>
          <w:p>
            <w:pPr>
              <w:pStyle w:val="TableContents"/>
              <w:bidi w:val="0"/>
              <w:spacing w:before="0" w:after="0"/>
              <w:ind w:left="0" w:right="0" w:hanging="0"/>
              <w:jc w:val="center"/>
              <w:rPr/>
            </w:pPr>
            <w:r>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96"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48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 not allocated to the segments</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31" w:type="dxa"/>
            <w:tcBorders/>
            <w:vAlign w:val="center"/>
          </w:tcPr>
          <w:p>
            <w:pPr>
              <w:pStyle w:val="TableContents"/>
              <w:bidi w:val="0"/>
              <w:spacing w:before="0" w:after="0"/>
              <w:ind w:left="0" w:right="0" w:hanging="0"/>
              <w:jc w:val="center"/>
              <w:rPr/>
            </w:pPr>
            <w:r>
              <w:rPr/>
              <w:t>​</w:t>
            </w:r>
          </w:p>
        </w:tc>
        <w:tc>
          <w:tcPr>
            <w:tcW w:w="279"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9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31" w:type="dxa"/>
            <w:tcBorders/>
            <w:shd w:fill="CCEEFF" w:val="clear"/>
            <w:vAlign w:val="center"/>
          </w:tcPr>
          <w:p>
            <w:pPr>
              <w:pStyle w:val="TableContents"/>
              <w:bidi w:val="0"/>
              <w:spacing w:before="0" w:after="0"/>
              <w:ind w:left="0" w:right="0" w:hanging="0"/>
              <w:jc w:val="center"/>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6" w:type="dxa"/>
            <w:tcBorders/>
            <w:shd w:fill="CCEEFF" w:val="clear"/>
            <w:vAlign w:val="center"/>
          </w:tcPr>
          <w:p>
            <w:pPr>
              <w:pStyle w:val="TableContents"/>
              <w:bidi w:val="0"/>
              <w:spacing w:before="0" w:after="0"/>
              <w:ind w:left="0" w:right="0" w:hanging="0"/>
              <w:jc w:val="center"/>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8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Pretax income (loss) </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431"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59</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5. TAXES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2025, the Company’s effective tax rate was 30.6%, compared to (703.7%) for the three months ended September 30, 2024. For the six months ended September 30, 2025, the Company’s effective tax rate was 34.7%, compared to 154.2% for the six months ended September 30, 2024.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negative effective tax rate for the three months ended September 30, 2024 reflects a tax expense on a pretax book loss in that period.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effective tax rate for the three and six months ended September 30, 2025, and the six months ended September 30, 2024, was higher than the Company’s statutory tax rate primarily due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July 2025, the U.S. government enacted new tax legislation that, among other things, made permanent items such as 100% bonus depreciation on certain fixed assets, immediate expensing of domestic research costs and an increased business interest expense limitation. It also included modifications to several international tax provisions. The Company recorded no material incremental tax expense or benefit in the current quarter related to the legislation. </w:t>
      </w:r>
    </w:p>
    <w:p>
      <w:pPr>
        <w:pStyle w:val="TextBody"/>
        <w:pBdr/>
        <w:bidi w:val="0"/>
        <w:spacing w:before="0" w:after="240"/>
        <w:ind w:left="0" w:right="0" w:hanging="360"/>
        <w:jc w:val="left"/>
        <w:rPr>
          <w:rFonts w:ascii="Times New Roman;Times;serif" w:hAnsi="Times New Roman;Times;serif"/>
          <w:b/>
          <w:sz w:val="20"/>
        </w:rPr>
      </w:pPr>
      <w:bookmarkStart w:id="1079" w:name="Tc_wqXZWf466ESRkrbA1rOt1g_7_0"/>
      <w:bookmarkStart w:id="1080" w:name="Tc_0_jy9XdOakegLRSixkrwYg_6_6"/>
      <w:bookmarkStart w:id="1081" w:name="Tc_0KmrQaZiAkygqtZK-4MKbg_6_2"/>
      <w:bookmarkStart w:id="1082" w:name="Tc_ry-0hgTYdkieJ88H0yzDWA_6_0"/>
      <w:bookmarkStart w:id="1083" w:name="Tc_k8vjyIHTwU-AAnRlyPRYCA_5_6"/>
      <w:bookmarkStart w:id="1084" w:name="Tc_w7h7UE_kU0OL07azPPfbAQ_5_2"/>
      <w:bookmarkStart w:id="1085" w:name="Tc_-msrpeXnfk6K37_S2A14JQ_5_0"/>
      <w:bookmarkStart w:id="1086" w:name="Tc_1oqBFKpOq0Czp2WXBV2X2Q_4_0"/>
      <w:bookmarkStart w:id="1087" w:name="Tc_HEGEwbaLoUW30mLgBLa9fw_3_0"/>
      <w:bookmarkStart w:id="1088" w:name="Tc_ZvCk-c_pzUiuhDUZhboh-w_2_8"/>
      <w:bookmarkStart w:id="1089" w:name="Tc_L98mnEWq8UqdQfpF9uX_6A_2_6"/>
      <w:bookmarkStart w:id="1090" w:name="Tc_SmNq7jwFL0iOkMB5tfCH6Q_2_4"/>
      <w:bookmarkStart w:id="1091" w:name="Tc_dFu22qcNCUOzTOLWVex_6g_2_2"/>
      <w:bookmarkStart w:id="1092" w:name="Tc_cjvjKxivwkWRnp82sVlM0g_2_0"/>
      <w:bookmarkStart w:id="1093" w:name="Tc_DvGrLWQXcUOWpXgPyI3Ung_1_6"/>
      <w:bookmarkStart w:id="1094" w:name="Tc_z81r-5RK10iF6XZmh-emfA_1_2"/>
      <w:bookmarkStart w:id="1095" w:name="Tc_-tBFwfK8lE2RQ_URTN5bGg_10_0"/>
      <w:bookmarkStart w:id="1096" w:name="Tc_RUp6RQntAk6Su3OZ0sdTgA_9_11"/>
      <w:bookmarkStart w:id="1097" w:name="Tc_mlIiOpgxXUO-9Dn58HQ90w_9_8"/>
      <w:bookmarkStart w:id="1098" w:name="Tc_g18jDIusp0aB9EiFL-bmCw_9_5"/>
      <w:bookmarkStart w:id="1099" w:name="Tc_FBlnHN2PrEaJiFp4k1I1-g_9_2"/>
      <w:bookmarkStart w:id="1100" w:name="Tc_DWdFx4kmH0OGApcOpn6ylA_9_0"/>
      <w:bookmarkStart w:id="1101" w:name="Tc_TSE2GZluKUWHxQJaoxMd9w_7_0"/>
      <w:bookmarkStart w:id="1102" w:name="Tc_SH7lxqIBL0uWWQ-mD3Du-w_6_12"/>
      <w:bookmarkStart w:id="1103" w:name="Tc_ts3rYvPIHEmeiZF9nO-aSw_6_6"/>
      <w:bookmarkStart w:id="1104" w:name="Tc_OwTWph-S_k65uA0acaj26A_6_0"/>
      <w:bookmarkStart w:id="1105" w:name="Tc_Wu4r_SQ3Y0m6pWhLQw8sEg_5_0"/>
      <w:bookmarkStart w:id="1106" w:name="Tc_EGhgFeAuvUiX8vkLXJlRGw_3_11"/>
      <w:bookmarkStart w:id="1107" w:name="Tc_p7nvlgvuMUSO37aZFDQ6WQ_3_8"/>
      <w:bookmarkStart w:id="1108" w:name="Tc_Y3fphAm5tUCntdKwaKxTtQ_3_5"/>
      <w:bookmarkStart w:id="1109" w:name="Tc_Bv8937iBOkquZ9AF4S7VGQ_3_2"/>
      <w:bookmarkStart w:id="1110" w:name="Tc_JpYBYnIIC0CyoV2dFjZ8EQ_3_0"/>
      <w:bookmarkStart w:id="1111" w:name="Tc_pTsXwPvGOEWChZFR8UZ8mw_2_11"/>
      <w:bookmarkStart w:id="1112" w:name="Tc_3DTSaUbwB0eMoNz0OMcKuA_2_8"/>
      <w:bookmarkStart w:id="1113" w:name="Tc_xFzEMA6lnEy-ABbsRT993g_2_5"/>
      <w:bookmarkStart w:id="1114" w:name="Tc_NEicAGrruUajGo1U5oisVA_2_2"/>
      <w:bookmarkStart w:id="1115" w:name="Tc_BZ5zM5xzwkCG7HZpKsBbNQ_2_0"/>
      <w:bookmarkStart w:id="1116" w:name="Tc_CsnSu2VWXU6opWIgP2EQCQ_1_8"/>
      <w:bookmarkStart w:id="1117" w:name="Tc_ZMUbn2HdnEG542dOx1uPvA_1_2"/>
      <w:bookmarkStart w:id="1118" w:name="_Hlk94104334"/>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r>
        <w:rPr>
          <w:rFonts w:ascii="Times New Roman;Times;serif" w:hAnsi="Times New Roman;Times;serif"/>
          <w:b/>
          <w:sz w:val="20"/>
        </w:rPr>
        <w:t>NOTE 6. 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did not declare any dividends in the periods presented. The following table provides the computation of basic and diluted earnings per share of common stock for the three and six months ended September 30, 2025 and 2024.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75"/>
        <w:gridCol w:w="109"/>
        <w:gridCol w:w="307"/>
        <w:gridCol w:w="833"/>
        <w:gridCol w:w="158"/>
        <w:gridCol w:w="307"/>
        <w:gridCol w:w="851"/>
        <w:gridCol w:w="109"/>
        <w:gridCol w:w="286"/>
        <w:gridCol w:w="776"/>
        <w:gridCol w:w="147"/>
        <w:gridCol w:w="286"/>
        <w:gridCol w:w="861"/>
      </w:tblGrid>
      <w:tr>
        <w:trPr/>
        <w:tc>
          <w:tcPr>
            <w:tcW w:w="5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86125" cy="175260"/>
                      <wp:effectExtent l="0" t="0" r="0" b="0"/>
                      <wp:wrapNone/>
                      <wp:docPr id="194" name="Frame194"/>
                      <a:graphic xmlns:a="http://schemas.openxmlformats.org/drawingml/2006/main">
                        <a:graphicData uri="http://schemas.microsoft.com/office/word/2010/wordprocessingShape">
                          <wps:wsp>
                            <wps:cNvSpPr txBox="1"/>
                            <wps:spPr>
                              <a:xfrm>
                                <a:off x="0" y="0"/>
                                <a:ext cx="3286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94945" cy="175260"/>
                      <wp:effectExtent l="0" t="0" r="0" b="0"/>
                      <wp:wrapNone/>
                      <wp:docPr id="196" name="Frame19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28955" cy="175260"/>
                      <wp:effectExtent l="0" t="0" r="0" b="0"/>
                      <wp:wrapNone/>
                      <wp:docPr id="197" name="Frame19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00330" cy="175260"/>
                      <wp:effectExtent l="0" t="0" r="0" b="0"/>
                      <wp:wrapNone/>
                      <wp:docPr id="198" name="Frame198"/>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4945" cy="175260"/>
                      <wp:effectExtent l="0" t="0" r="0" b="0"/>
                      <wp:wrapNone/>
                      <wp:docPr id="199" name="Frame199"/>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40385" cy="175260"/>
                      <wp:effectExtent l="0" t="0" r="0" b="0"/>
                      <wp:wrapNone/>
                      <wp:docPr id="200" name="Frame200"/>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81610" cy="175260"/>
                      <wp:effectExtent l="0" t="0" r="0" b="0"/>
                      <wp:wrapNone/>
                      <wp:docPr id="202" name="Frame20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92760" cy="175260"/>
                      <wp:effectExtent l="0" t="0" r="0" b="0"/>
                      <wp:wrapNone/>
                      <wp:docPr id="203" name="Frame203"/>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3345" cy="175260"/>
                      <wp:effectExtent l="0" t="0" r="0" b="0"/>
                      <wp:wrapNone/>
                      <wp:docPr id="204" name="Frame204"/>
                      <a:graphic xmlns:a="http://schemas.openxmlformats.org/drawingml/2006/main">
                        <a:graphicData uri="http://schemas.microsoft.com/office/word/2010/wordprocessingShape">
                          <wps:wsp>
                            <wps:cNvSpPr txBox="1"/>
                            <wps:spPr>
                              <a:xfrm>
                                <a:off x="0" y="0"/>
                                <a:ext cx="93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1610" cy="175260"/>
                      <wp:effectExtent l="0" t="0" r="0" b="0"/>
                      <wp:wrapNone/>
                      <wp:docPr id="205" name="Frame2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46735" cy="175260"/>
                      <wp:effectExtent l="0" t="0" r="0" b="0"/>
                      <wp:wrapNone/>
                      <wp:docPr id="206" name="Frame206"/>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1"/>
              <w:ind w:left="0" w:right="0" w:hanging="0"/>
              <w:jc w:val="center"/>
              <w:rPr/>
            </w:pPr>
            <w:r>
              <w:rPr/>
              <w:t>​</w:t>
            </w:r>
          </w:p>
        </w:tc>
        <w:tc>
          <w:tcPr>
            <w:tcW w:w="23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51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8" w:type="dxa"/>
            <w:tcBorders/>
            <w:vAlign w:val="center"/>
          </w:tcPr>
          <w:p>
            <w:pPr>
              <w:pStyle w:val="TableContents"/>
              <w:bidi w:val="0"/>
              <w:spacing w:before="0" w:after="1"/>
              <w:ind w:left="0" w:right="0" w:hanging="0"/>
              <w:jc w:val="center"/>
              <w:rPr/>
            </w:pPr>
            <w:r>
              <w:rPr/>
              <w:t>​</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0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7" w:type="dxa"/>
            <w:tcBorders/>
            <w:vAlign w:val="center"/>
          </w:tcPr>
          <w:p>
            <w:pPr>
              <w:pStyle w:val="TableContents"/>
              <w:bidi w:val="0"/>
              <w:spacing w:before="0" w:after="1"/>
              <w:ind w:left="0" w:right="0" w:hanging="0"/>
              <w:jc w:val="center"/>
              <w:rPr/>
            </w:pPr>
            <w:r>
              <w:rPr/>
              <w:t>​</w:t>
            </w:r>
          </w:p>
        </w:tc>
        <w:tc>
          <w:tcPr>
            <w:tcW w:w="11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(loss) on which basic and diluted earnings per share is calculated </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58"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47"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51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14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pPr>
            <w:r>
              <w:rPr/>
              <w:t>​</w:t>
            </w:r>
          </w:p>
        </w:tc>
      </w:tr>
      <w:tr>
        <w:trPr/>
        <w:tc>
          <w:tcPr>
            <w:tcW w:w="5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basic earnings (loss)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w:t>
            </w:r>
          </w:p>
        </w:tc>
        <w:tc>
          <w:tcPr>
            <w:tcW w:w="158"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w:t>
            </w:r>
          </w:p>
        </w:tc>
        <w:tc>
          <w:tcPr>
            <w:tcW w:w="10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230.4</w:t>
            </w:r>
          </w:p>
        </w:tc>
        <w:tc>
          <w:tcPr>
            <w:tcW w:w="147"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5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 and equity awards</w:t>
            </w:r>
          </w:p>
        </w:tc>
        <w:tc>
          <w:tcPr>
            <w:tcW w:w="109"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58"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147"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diluted earnings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w:t>
            </w:r>
          </w:p>
        </w:tc>
        <w:tc>
          <w:tcPr>
            <w:tcW w:w="158"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w:t>
            </w:r>
          </w:p>
        </w:tc>
        <w:tc>
          <w:tcPr>
            <w:tcW w:w="10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237.5</w:t>
            </w:r>
          </w:p>
        </w:tc>
        <w:tc>
          <w:tcPr>
            <w:tcW w:w="147"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517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left"/>
              <w:rPr/>
            </w:pPr>
            <w:r>
              <w:rPr/>
              <w:t>​</w:t>
            </w:r>
          </w:p>
        </w:tc>
        <w:tc>
          <w:tcPr>
            <w:tcW w:w="158"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14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left"/>
              <w:rPr/>
            </w:pPr>
            <w:r>
              <w:rPr/>
              <w:t>​</w:t>
            </w:r>
          </w:p>
        </w:tc>
      </w:tr>
      <w:tr>
        <w:trPr/>
        <w:tc>
          <w:tcPr>
            <w:tcW w:w="51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(loss) per share </w:t>
            </w:r>
          </w:p>
        </w:tc>
        <w:tc>
          <w:tcPr>
            <w:tcW w:w="109"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158"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0.54</w:t>
            </w:r>
          </w:p>
        </w:tc>
        <w:tc>
          <w:tcPr>
            <w:tcW w:w="147"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r>
        <w:trPr/>
        <w:tc>
          <w:tcPr>
            <w:tcW w:w="51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109"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158"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0.52</w:t>
            </w:r>
          </w:p>
        </w:tc>
        <w:tc>
          <w:tcPr>
            <w:tcW w:w="147"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8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(0.14)</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following securities were not included in the computation of diluted earnings per share because to do so would have been anti-dilutive: </w:t>
      </w:r>
    </w:p>
    <w:p>
      <w:pPr>
        <w:pStyle w:val="TextBody"/>
        <w:bidi w:val="0"/>
        <w:spacing w:before="0" w:after="0"/>
        <w:ind w:left="0" w:right="0" w:hanging="0"/>
        <w:jc w:val="left"/>
        <w:rPr/>
      </w:pPr>
      <w:r>
        <w:rPr/>
        <w:t>​</w:t>
      </w:r>
    </w:p>
    <w:tbl>
      <w:tblPr>
        <w:tblW w:w="9459" w:type="dxa"/>
        <w:jc w:val="left"/>
        <w:tblInd w:w="0" w:type="dxa"/>
        <w:tblLayout w:type="fixed"/>
        <w:tblCellMar>
          <w:top w:w="0" w:type="dxa"/>
          <w:left w:w="0" w:type="dxa"/>
          <w:bottom w:w="0" w:type="dxa"/>
          <w:right w:w="0" w:type="dxa"/>
        </w:tblCellMar>
      </w:tblPr>
      <w:tblGrid>
        <w:gridCol w:w="4021"/>
        <w:gridCol w:w="109"/>
        <w:gridCol w:w="1202"/>
        <w:gridCol w:w="281"/>
        <w:gridCol w:w="1202"/>
        <w:gridCol w:w="109"/>
        <w:gridCol w:w="1022"/>
        <w:gridCol w:w="239"/>
        <w:gridCol w:w="1274"/>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553335" cy="175260"/>
                      <wp:effectExtent l="0" t="0" r="0" b="0"/>
                      <wp:wrapNone/>
                      <wp:docPr id="207" name="Frame207"/>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763270" cy="175260"/>
                      <wp:effectExtent l="0" t="0" r="0" b="0"/>
                      <wp:wrapNone/>
                      <wp:docPr id="209" name="Frame209"/>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78435" cy="175260"/>
                      <wp:effectExtent l="0" t="0" r="0" b="0"/>
                      <wp:wrapNone/>
                      <wp:docPr id="210" name="Frame210"/>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63270" cy="175260"/>
                      <wp:effectExtent l="0" t="0" r="0" b="0"/>
                      <wp:wrapNone/>
                      <wp:docPr id="211" name="Frame211"/>
                      <a:graphic xmlns:a="http://schemas.openxmlformats.org/drawingml/2006/main">
                        <a:graphicData uri="http://schemas.microsoft.com/office/word/2010/wordprocessingShape">
                          <wps:wsp>
                            <wps:cNvSpPr txBox="1"/>
                            <wps:spPr>
                              <a:xfrm>
                                <a:off x="0" y="0"/>
                                <a:ext cx="763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970" cy="175260"/>
                      <wp:effectExtent l="0" t="0" r="0" b="0"/>
                      <wp:wrapNone/>
                      <wp:docPr id="213" name="Frame213"/>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51765" cy="175260"/>
                      <wp:effectExtent l="0" t="0" r="0" b="0"/>
                      <wp:wrapNone/>
                      <wp:docPr id="214" name="Frame21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808990" cy="175260"/>
                      <wp:effectExtent l="0" t="0" r="0" b="0"/>
                      <wp:wrapNone/>
                      <wp:docPr id="215" name="Frame215"/>
                      <a:graphic xmlns:a="http://schemas.openxmlformats.org/drawingml/2006/main">
                        <a:graphicData uri="http://schemas.microsoft.com/office/word/2010/wordprocessingShape">
                          <wps:wsp>
                            <wps:cNvSpPr txBox="1"/>
                            <wps:spPr>
                              <a:xfrm>
                                <a:off x="0" y="0"/>
                                <a:ext cx="808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26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25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1" w:type="dxa"/>
            <w:tcBorders/>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39" w:type="dxa"/>
            <w:tcBorders/>
            <w:vAlign w:val="center"/>
          </w:tcPr>
          <w:p>
            <w:pPr>
              <w:pStyle w:val="TableContents"/>
              <w:bidi w:val="0"/>
              <w:spacing w:before="0" w:after="0"/>
              <w:ind w:left="0" w:right="0" w:hanging="0"/>
              <w:jc w:val="left"/>
              <w:rPr/>
            </w:pPr>
            <w:r>
              <w:rPr/>
              <w:t>​</w:t>
            </w:r>
          </w:p>
        </w:tc>
        <w:tc>
          <w:tcPr>
            <w:tcW w:w="12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81"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39" w:type="dxa"/>
            <w:tcBorders/>
            <w:shd w:fill="CCEEFF" w:val="clear"/>
            <w:vAlign w:val="center"/>
          </w:tcPr>
          <w:p>
            <w:pPr>
              <w:pStyle w:val="TableContents"/>
              <w:bidi w:val="0"/>
              <w:spacing w:before="0" w:after="0"/>
              <w:ind w:left="0" w:right="0" w:hanging="0"/>
              <w:jc w:val="left"/>
              <w:rPr/>
            </w:pPr>
            <w:r>
              <w:rPr/>
              <w:t>​</w:t>
            </w:r>
          </w:p>
        </w:tc>
        <w:tc>
          <w:tcPr>
            <w:tcW w:w="1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81" w:type="dxa"/>
            <w:tcBorders/>
            <w:vAlign w:val="center"/>
          </w:tcPr>
          <w:p>
            <w:pPr>
              <w:pStyle w:val="TableContents"/>
              <w:bidi w:val="0"/>
              <w:spacing w:before="0" w:after="0"/>
              <w:ind w:left="0" w:right="0" w:hanging="0"/>
              <w:jc w:val="left"/>
              <w:rPr/>
            </w:pPr>
            <w:r>
              <w:rPr/>
              <w:t>​</w:t>
            </w:r>
          </w:p>
        </w:tc>
        <w:tc>
          <w:tcPr>
            <w:tcW w:w="12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39" w:type="dxa"/>
            <w:tcBorders/>
            <w:vAlign w:val="center"/>
          </w:tcPr>
          <w:p>
            <w:pPr>
              <w:pStyle w:val="TableContents"/>
              <w:bidi w:val="0"/>
              <w:spacing w:before="0" w:after="0"/>
              <w:ind w:left="0" w:right="0" w:hanging="0"/>
              <w:jc w:val="left"/>
              <w:rPr/>
            </w:pPr>
            <w:r>
              <w:rPr/>
              <w:t>​</w:t>
            </w:r>
          </w:p>
        </w:tc>
        <w:tc>
          <w:tcPr>
            <w:tcW w:w="12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2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2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issued and outstanding</w:t>
            </w:r>
          </w:p>
        </w:tc>
        <w:tc>
          <w:tcPr>
            <w:tcW w:w="109" w:type="dxa"/>
            <w:tcBorders/>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1" w:type="dxa"/>
            <w:tcBorders/>
            <w:vAlign w:val="center"/>
          </w:tcPr>
          <w:p>
            <w:pPr>
              <w:pStyle w:val="TableContents"/>
              <w:bidi w:val="0"/>
              <w:spacing w:before="0" w:after="0"/>
              <w:ind w:left="0" w:right="0" w:hanging="0"/>
              <w:jc w:val="left"/>
              <w:rPr/>
            </w:pPr>
            <w:r>
              <w:rPr/>
              <w:t>​</w:t>
            </w:r>
          </w:p>
        </w:tc>
        <w:tc>
          <w:tcPr>
            <w:tcW w:w="12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12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281" w:type="dxa"/>
            <w:tcBorders/>
            <w:shd w:fill="CCEEFF" w:val="clear"/>
            <w:vAlign w:val="center"/>
          </w:tcPr>
          <w:p>
            <w:pPr>
              <w:pStyle w:val="TableContents"/>
              <w:bidi w:val="0"/>
              <w:spacing w:before="0" w:after="0"/>
              <w:ind w:left="0" w:right="0" w:hanging="0"/>
              <w:jc w:val="left"/>
              <w:rPr/>
            </w:pPr>
            <w:r>
              <w:rPr/>
              <w:t>​</w:t>
            </w:r>
          </w:p>
        </w:tc>
        <w:tc>
          <w:tcPr>
            <w:tcW w:w="12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shd w:fill="CCEEFF" w:val="clear"/>
            <w:vAlign w:val="center"/>
          </w:tcPr>
          <w:p>
            <w:pPr>
              <w:pStyle w:val="TableContents"/>
              <w:bidi w:val="0"/>
              <w:spacing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39" w:type="dxa"/>
            <w:tcBorders/>
            <w:shd w:fill="CCEEFF" w:val="clear"/>
            <w:vAlign w:val="center"/>
          </w:tcPr>
          <w:p>
            <w:pPr>
              <w:pStyle w:val="TableContents"/>
              <w:bidi w:val="0"/>
              <w:spacing w:before="0" w:after="0"/>
              <w:ind w:left="0" w:right="0" w:hanging="0"/>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19.3</w:t>
            </w:r>
          </w:p>
        </w:tc>
      </w:tr>
    </w:tbl>
    <w:p>
      <w:pPr>
        <w:pStyle w:val="TextBody"/>
        <w:bidi w:val="0"/>
        <w:spacing w:before="0" w:after="0"/>
        <w:ind w:left="36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bookmarkStart w:id="1119" w:name="_Hlk102591082"/>
      <w:bookmarkEnd w:id="1119"/>
      <w:r>
        <w:rPr>
          <w:rFonts w:ascii="Times New Roman;Times;serif" w:hAnsi="Times New Roman;Times;serif"/>
          <w:b/>
          <w:sz w:val="20"/>
        </w:rPr>
        <w:t xml:space="preserve">NOTE 7. FINANCIAL ASSETS AND LIABILITIES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 and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financial instruments, taking into account the actual credit risk of a counterparty as observed in the credit default swap market to determine the true fair value of such an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tc>
      </w:tr>
    </w:tbl>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perform a qualitative assessment of asset impairments on a periodic basis and recognize an impairment if there are sufficient indicators that the fair value is less than carrying value. There were no impairments of non-financial assets recognized for the three and six months ended September 30, 2025 and 2024.</w:t>
      </w:r>
    </w:p>
    <w:p>
      <w:pPr>
        <w:pStyle w:val="TextBody"/>
        <w:shd w:fill="FFFFFF" w:val="clear"/>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20" w:name="_Hlk102406713"/>
      <w:bookmarkStart w:id="1121" w:name="_cc225cd1_19a6_448a_ae30_568c846a5f97_3"/>
      <w:bookmarkStart w:id="1122" w:name="_cc225cd1_19a6_448a_ae30_568c846a5f97_2"/>
      <w:bookmarkStart w:id="1123" w:name="_cc225cd1_19a6_448a_ae30_568c846a5f97"/>
      <w:bookmarkStart w:id="1124" w:name="_31fb4cbe_88d7_47a6_ac47_fbfeb6e090ae_3"/>
      <w:bookmarkStart w:id="1125" w:name="_31fb4cbe_88d7_47a6_ac47_fbfeb6e090ae_2"/>
      <w:bookmarkStart w:id="1126" w:name="_31fb4cbe_88d7_47a6_ac47_fbfeb6e090ae"/>
      <w:bookmarkStart w:id="1127" w:name="Tc_iGJwTG2RhEig1qVz43qNkA_9_19"/>
      <w:bookmarkStart w:id="1128" w:name="Tc_yHM5VKomWEueLBhPwfhQ2A_9_16"/>
      <w:bookmarkStart w:id="1129" w:name="Tc_8QHdhH06LUSIV4ueBnmmIQ_9_13"/>
      <w:bookmarkStart w:id="1130" w:name="Tc_7fS4ndhVW0KjZ4Z1wD7BHg_9_10"/>
      <w:bookmarkStart w:id="1131" w:name="Tc_jy6JPRJZske7q1CCqI8J2Q_9_7"/>
      <w:bookmarkStart w:id="1132" w:name="Tc_4lw5panP1E6oQutspMH6ew_9_4"/>
      <w:bookmarkStart w:id="1133" w:name="Tc_DJFevTg7a0-4UYmgPNbc5A_9_0"/>
      <w:bookmarkStart w:id="1134" w:name="Tc_9x6cvGh6TE2xtSSSs_ijBw_8_2"/>
      <w:bookmarkStart w:id="1135" w:name="Tc_-He7uujN00aF72kNtHl4BA_8_0"/>
      <w:bookmarkStart w:id="1136" w:name="Tc_uMK8C8ZuxUCllq-HDkrFzg_7_0"/>
      <w:bookmarkStart w:id="1137" w:name="Tc_vaJpZDdNeEqPS22e_kMyVQ_6_20"/>
      <w:bookmarkStart w:id="1138" w:name="Tc_ChGI1J0C_0G1h73V-TtT8Q_6_2"/>
      <w:bookmarkStart w:id="1139" w:name="Tc__v5YDK9JOkmjCqFhl-jLag_6_0"/>
      <w:bookmarkStart w:id="1140" w:name="Tc_13i6RQmWmkWBpcWcInd8BQ_5_19"/>
      <w:bookmarkStart w:id="1141" w:name="Tc_RbYOwXb3nUS3uTN4jeWiDA_5_16"/>
      <w:bookmarkStart w:id="1142" w:name="Tc_Jh05mfHaVESKRnGgcbUCgw_5_13"/>
      <w:bookmarkStart w:id="1143" w:name="Tc_s4NcUZuTskmkKykYT6aSHQ_5_10"/>
      <w:bookmarkStart w:id="1144" w:name="Tc_YUOObU5nGU6dspWFaxLNZA_5_7"/>
      <w:bookmarkStart w:id="1145" w:name="Tc_XG6JwkexBE6E6XiA2VaSrA_5_4"/>
      <w:bookmarkStart w:id="1146" w:name="Tc_iRcuDOj8dU-MBQ8O-UmYSA_5_2"/>
      <w:bookmarkStart w:id="1147" w:name="Tc_Lz92VOWm3EyhmF92dmAZnQ_5_0"/>
      <w:bookmarkStart w:id="1148" w:name="Tc_XLuhk4toIUW2KcCqc8uQuA_4_0"/>
      <w:bookmarkStart w:id="1149" w:name="Tc_g4Ekkq3E-0SjOj9Uz-F01Q_3_19"/>
      <w:bookmarkStart w:id="1150" w:name="Tc_pls1zREltEabjz2Eyhu4eQ_3_16"/>
      <w:bookmarkStart w:id="1151" w:name="Tc_WXYCqPSDIUGiCUrqhTMSMw_3_13"/>
      <w:bookmarkStart w:id="1152" w:name="Tc_zlJrJ8Jotk-O-pWC62COtw_3_10"/>
      <w:bookmarkStart w:id="1153" w:name="Tc_r_tTziCP2Equ_UefTd7E-w_3_7"/>
      <w:bookmarkStart w:id="1154" w:name="Tc_pHorEm-V9kGF0O2Se2r6Fg_3_4"/>
      <w:bookmarkStart w:id="1155" w:name="Tc_yGA-BT9WdEuNRjydJcJpMQ_3_2"/>
      <w:bookmarkStart w:id="1156" w:name="Tc_s-cLBjvBMU6L8Oc4IiVoiQ_3_0"/>
      <w:bookmarkStart w:id="1157" w:name="Tc_Ztsno5sDVUagwMbJsBeWlA_2_13"/>
      <w:bookmarkStart w:id="1158" w:name="Tc_8Jtxj40nGU2s2COqRj6XTA_2_4"/>
      <w:bookmarkStart w:id="1159" w:name="Tc_PhT3gqQuS0WV4GvhAK7CmQ_2_2"/>
      <w:bookmarkStart w:id="1160" w:name="Tc_J46y8sTgjU-rqaLhALZR_A_1_2"/>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ascii="Times New Roman;Times;serif" w:hAnsi="Times New Roman;Times;serif"/>
          <w:b/>
          <w:sz w:val="20"/>
        </w:rPr>
        <w:t>Financial Assets and Liabilities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September 30, 2025 and March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91"/>
        <w:gridCol w:w="326"/>
        <w:gridCol w:w="870"/>
        <w:gridCol w:w="326"/>
        <w:gridCol w:w="216"/>
        <w:gridCol w:w="325"/>
        <w:gridCol w:w="326"/>
        <w:gridCol w:w="270"/>
        <w:gridCol w:w="541"/>
        <w:gridCol w:w="326"/>
        <w:gridCol w:w="228"/>
        <w:gridCol w:w="555"/>
        <w:gridCol w:w="326"/>
        <w:gridCol w:w="216"/>
        <w:gridCol w:w="325"/>
        <w:gridCol w:w="326"/>
        <w:gridCol w:w="324"/>
        <w:gridCol w:w="487"/>
        <w:gridCol w:w="326"/>
        <w:gridCol w:w="245"/>
        <w:gridCol w:w="530"/>
      </w:tblGrid>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26" w:type="dxa"/>
            <w:tcBorders/>
            <w:vAlign w:val="center"/>
          </w:tcPr>
          <w:p>
            <w:pPr>
              <w:pStyle w:val="TableContents"/>
              <w:bidi w:val="0"/>
              <w:spacing w:before="0" w:after="1"/>
              <w:ind w:left="0" w:right="0" w:hanging="0"/>
              <w:jc w:val="left"/>
              <w:rPr/>
            </w:pPr>
            <w:r>
              <w:rPr/>
              <w:t>​</w:t>
            </w:r>
          </w:p>
        </w:tc>
        <w:tc>
          <w:tcPr>
            <w:tcW w:w="278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September 30, 2025</w:t>
            </w:r>
          </w:p>
        </w:tc>
        <w:tc>
          <w:tcPr>
            <w:tcW w:w="326" w:type="dxa"/>
            <w:tcBorders/>
            <w:vAlign w:val="center"/>
          </w:tcPr>
          <w:p>
            <w:pPr>
              <w:pStyle w:val="TableContents"/>
              <w:bidi w:val="0"/>
              <w:spacing w:before="0" w:after="1"/>
              <w:ind w:left="0" w:right="0" w:hanging="0"/>
              <w:jc w:val="left"/>
              <w:rPr/>
            </w:pPr>
            <w:r>
              <w:rPr/>
              <w:t>​</w:t>
            </w:r>
          </w:p>
        </w:tc>
        <w:tc>
          <w:tcPr>
            <w:tcW w:w="277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27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26" w:type="dxa"/>
            <w:tcBorders/>
            <w:vAlign w:val="center"/>
          </w:tcPr>
          <w:p>
            <w:pPr>
              <w:pStyle w:val="TableContents"/>
              <w:bidi w:val="0"/>
              <w:spacing w:before="0" w:after="1"/>
              <w:ind w:left="0" w:right="0" w:hanging="0"/>
              <w:jc w:val="left"/>
              <w:rPr/>
            </w:pPr>
            <w:r>
              <w:rPr/>
              <w:t>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designated as hedging instruments:</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0"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lef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870"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 xml:space="preserve">Cross-currency swap contracts </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0"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530"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not designated as hedging instruments:</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870" w:type="dxa"/>
            <w:tcBorders/>
            <w:vAlign w:val="center"/>
          </w:tcPr>
          <w:p>
            <w:pPr>
              <w:pStyle w:val="TableContents"/>
              <w:bidi w:val="0"/>
              <w:spacing w:before="0" w:after="1"/>
              <w:ind w:left="0" w:right="0" w:hanging="0"/>
              <w:jc w:val="left"/>
              <w:rPr>
                <w:color w:val="34283D"/>
              </w:rPr>
            </w:pPr>
            <w:r>
              <w:rPr>
                <w:color w:val="34283D"/>
              </w:rPr>
              <w:t>​</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530" w:type="dxa"/>
            <w:tcBorders/>
            <w:vAlign w:val="center"/>
          </w:tcPr>
          <w:p>
            <w:pPr>
              <w:pStyle w:val="TableContents"/>
              <w:bidi w:val="0"/>
              <w:spacing w:before="0" w:after="1"/>
              <w:ind w:left="0" w:right="0" w:hanging="0"/>
              <w:jc w:val="lef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2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70"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Total</w:t>
            </w:r>
          </w:p>
        </w:tc>
        <w:tc>
          <w:tcPr>
            <w:tcW w:w="326" w:type="dxa"/>
            <w:tcBorders/>
            <w:vAlign w:val="center"/>
          </w:tcPr>
          <w:p>
            <w:pPr>
              <w:pStyle w:val="TableContents"/>
              <w:bidi w:val="0"/>
              <w:spacing w:before="0" w:after="1"/>
              <w:ind w:left="0" w:right="0" w:hanging="0"/>
              <w:jc w:val="left"/>
              <w:rPr/>
            </w:pPr>
            <w:r>
              <w:rPr/>
              <w:t>​</w:t>
            </w:r>
          </w:p>
        </w:tc>
        <w:tc>
          <w:tcPr>
            <w:tcW w:w="8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September 30, 2025 and March 31, 2025.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September 30, 2025 and March 31, 2025 were $471 million and $765 million, respectively. If measured at fair value in the consolidated financial statements, time deposits with maturities of 90 days or less would be categorized as Level 2 in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w:t>
      </w:r>
      <w:r>
        <w:rPr>
          <w:rFonts w:ascii="Times New Roman;Times;serif" w:hAnsi="Times New Roman;Times;serif"/>
          <w:sz w:val="20"/>
          <w:shd w:fill="FFFFFF" w:val="clear"/>
        </w:rPr>
        <w:t xml:space="preserve"> See Note 9 – Borrowings for additional information. Our outstanding debt </w:t>
      </w:r>
      <w:r>
        <w:rPr>
          <w:rFonts w:ascii="Times New Roman;Times;serif" w:hAnsi="Times New Roman;Times;serif"/>
          <w:sz w:val="20"/>
        </w:rPr>
        <w:t>(excluding finance lease obligations)</w:t>
      </w:r>
      <w:r>
        <w:rPr>
          <w:rFonts w:ascii="Times New Roman;Times;serif" w:hAnsi="Times New Roman;Times;serif"/>
          <w:sz w:val="20"/>
          <w:shd w:fill="FFFFFF" w:val="clear"/>
        </w:rPr>
        <w:t xml:space="preserve"> had a carrying value of $2.9 billion as of September 30, 2025 and March 31, 2025, with an estimated fair value of $2.8 billion and $2.7 billion as of September 30, 2025 and March 31,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61" w:name="Tc_DlSS0OYjx0iGbQJ0LVQjmA_6_17"/>
      <w:bookmarkStart w:id="1162" w:name="Tc_N1eP39ioWEKriJCOEk026g_6_15"/>
      <w:bookmarkStart w:id="1163" w:name="Tc_xjQp9xPArECnK8Bty8qa2Q_6_14"/>
      <w:bookmarkStart w:id="1164" w:name="Tc_iTGzy0hD506nfl6mKKcMuw_6_11"/>
      <w:bookmarkStart w:id="1165" w:name="Tc_nsxiAVLvAkaqVBRJSIZ9Wg_6_8"/>
      <w:bookmarkStart w:id="1166" w:name="Tc_yHhCdDFI-U-7HmP9Nfq4ng_6_6"/>
      <w:bookmarkStart w:id="1167" w:name="Tc_l4KaV_XAZEaxr33KSUQuUg_6_5"/>
      <w:bookmarkStart w:id="1168" w:name="Tc_994G8q8dC06AFyhke3KknA_6_2"/>
      <w:bookmarkStart w:id="1169" w:name="Tc_ovMdEoNE40WsZ7l2XMTqow_6_0"/>
      <w:bookmarkStart w:id="1170" w:name="Tc_6cPVtJjFQEef6i18TyxcQw_5_0"/>
      <w:bookmarkStart w:id="1171" w:name="Tc_TcjXt_hrpECrc6W_6dDA5A_4_17"/>
      <w:bookmarkStart w:id="1172" w:name="Tc_DeQx_0-JHk2oZIs0G59tFw_4_15"/>
      <w:bookmarkStart w:id="1173" w:name="Tc_j8EIW3Ed7UiCzWumbR65Jg_4_14"/>
      <w:bookmarkStart w:id="1174" w:name="Tc_rEGI0luk30OyvUcEQlMuzQ_4_11"/>
      <w:bookmarkStart w:id="1175" w:name="Tc_GPNvo-CeiUGxRAsm7qY8Wg_4_8"/>
      <w:bookmarkStart w:id="1176" w:name="Tc_yszQcN7ya02gcYYmjdW4uQ_4_6"/>
      <w:bookmarkStart w:id="1177" w:name="Tc_I5_9CZZMZUGZjf9isanhbg_4_5"/>
      <w:bookmarkStart w:id="1178" w:name="Tc_-I05esX4bUGU7CF0fe2FEg_4_2"/>
      <w:bookmarkStart w:id="1179" w:name="Tc_58mVi6J_mEGtG5ae15br6Q_4_0"/>
      <w:bookmarkStart w:id="1180" w:name="Tc_2B78ir1mQky7MphGY8weRg_3_0"/>
      <w:bookmarkStart w:id="1181" w:name="Tc__Ttpz3h1-0udUbe1WIiYHg_2_17"/>
      <w:bookmarkStart w:id="1182" w:name="Tc_DCwOsnoHW0SEN8sTb7kHiw_2_14"/>
      <w:bookmarkStart w:id="1183" w:name="Tc_eWcDM8yyGE6wqfQD5PGFPQ_2_11"/>
      <w:bookmarkStart w:id="1184" w:name="Tc_JAaZNx8_4UC-iG-fC5uGew_2_8"/>
      <w:bookmarkStart w:id="1185" w:name="Tc_znip1VY9xUmO1wHYw7Q8Cg_2_5"/>
      <w:bookmarkStart w:id="1186" w:name="Tc_xxZQXTOKHEGsiQ1nC_6UOA_2_2"/>
      <w:bookmarkStart w:id="1187" w:name="Tc_NtNmlapLqEyDpIq3Bf03Eg_2_0"/>
      <w:bookmarkStart w:id="1188" w:name="Tc_g50IOMqaSUmAWLGTE5qkmw_1_11"/>
      <w:bookmarkStart w:id="1189" w:name="Tc_cZDOJLWYkkiP7MYw0O0F2w_1_2"/>
      <w:bookmarkStart w:id="1190" w:name="_Hlk109049928"/>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ascii="Times New Roman;Times;serif" w:hAnsi="Times New Roman;Times;serif"/>
          <w:b/>
          <w:sz w:val="20"/>
        </w:rPr>
        <w:t>Transfers of Financial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has entered into </w:t>
      </w:r>
      <w:r>
        <w:rPr>
          <w:rFonts w:ascii="Times New Roman;Times;serif" w:hAnsi="Times New Roman;Times;serif"/>
          <w:sz w:val="20"/>
        </w:rPr>
        <w:t>agreements</w:t>
      </w:r>
      <w:r>
        <w:rPr>
          <w:rFonts w:ascii="Times New Roman;Times;serif" w:hAnsi="Times New Roman;Times;serif"/>
          <w:sz w:val="20"/>
          <w:shd w:fill="FFFFFF" w:val="clear"/>
        </w:rPr>
        <w:t xml:space="preserve"> with third-party financial institutions to sell certain financial assets (primarily trade receivables) without recourse. The Company has determined these are true sales. </w:t>
      </w:r>
      <w:r>
        <w:rPr>
          <w:rFonts w:ascii="Times New Roman;Times;serif" w:hAnsi="Times New Roman;Times;serif"/>
          <w:sz w:val="20"/>
        </w:rPr>
        <w:t>The carrying value of the financial asset sold is derecognized, and a net gain or loss on the sale is recognized, at the time of the transfer</w:t>
      </w:r>
      <w:r>
        <w:rPr>
          <w:rFonts w:ascii="Times New Roman;Times;serif" w:hAnsi="Times New Roman;Times;serif"/>
          <w:sz w:val="20"/>
          <w:shd w:fill="FFFFFF" w:val="clear"/>
        </w:rPr>
        <w:t>.</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net proceeds from these arrangements are reflected as cash provided by operating activities in the Consolidated Statement of Cash Flows. Gross proceeds from receivables sold to third parties under this program were $563 million and $1.2 billion for the three and six months ended September 30, 2025, respectively, and $1.1 billion and $1.9 billion for the three and six months ended September 30, 2024, respectively. The fees associated with the transfers of receivables were $5 million and $10 million for the three and six months ended September 30, 2025, respectively, and $10 million and $20 million for the three and six months ended September 30, 2024, respectively.</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notional amounts of the Company’s outstanding derivatives: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36"/>
        <w:gridCol w:w="109"/>
        <w:gridCol w:w="288"/>
        <w:gridCol w:w="784"/>
        <w:gridCol w:w="326"/>
        <w:gridCol w:w="477"/>
        <w:gridCol w:w="955"/>
        <w:gridCol w:w="326"/>
        <w:gridCol w:w="260"/>
        <w:gridCol w:w="705"/>
        <w:gridCol w:w="109"/>
        <w:gridCol w:w="288"/>
        <w:gridCol w:w="784"/>
        <w:gridCol w:w="326"/>
        <w:gridCol w:w="477"/>
        <w:gridCol w:w="955"/>
        <w:gridCol w:w="326"/>
        <w:gridCol w:w="251"/>
        <w:gridCol w:w="823"/>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038860" cy="175260"/>
                      <wp:effectExtent l="0" t="0" r="0" b="0"/>
                      <wp:wrapNone/>
                      <wp:docPr id="216" name="Frame21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2880" cy="175260"/>
                      <wp:effectExtent l="0" t="0" r="0" b="0"/>
                      <wp:wrapNone/>
                      <wp:docPr id="218" name="Frame21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97840" cy="175260"/>
                      <wp:effectExtent l="0" t="0" r="0" b="0"/>
                      <wp:wrapNone/>
                      <wp:docPr id="219" name="Frame21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02895" cy="175260"/>
                      <wp:effectExtent l="0" t="0" r="0" b="0"/>
                      <wp:wrapNone/>
                      <wp:docPr id="221" name="Frame221"/>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06425" cy="175260"/>
                      <wp:effectExtent l="0" t="0" r="0" b="0"/>
                      <wp:wrapNone/>
                      <wp:docPr id="222" name="Frame222"/>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5100" cy="175260"/>
                      <wp:effectExtent l="0" t="0" r="0" b="0"/>
                      <wp:wrapNone/>
                      <wp:docPr id="224" name="Frame22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47675" cy="175260"/>
                      <wp:effectExtent l="0" t="0" r="0" b="0"/>
                      <wp:wrapNone/>
                      <wp:docPr id="225" name="Frame225"/>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82880" cy="175260"/>
                      <wp:effectExtent l="0" t="0" r="0" b="0"/>
                      <wp:wrapNone/>
                      <wp:docPr id="227" name="Frame22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97840" cy="175260"/>
                      <wp:effectExtent l="0" t="0" r="0" b="0"/>
                      <wp:wrapNone/>
                      <wp:docPr id="228" name="Frame22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02895" cy="175260"/>
                      <wp:effectExtent l="0" t="0" r="0" b="0"/>
                      <wp:wrapNone/>
                      <wp:docPr id="230" name="Frame230"/>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06425" cy="175260"/>
                      <wp:effectExtent l="0" t="0" r="0" b="0"/>
                      <wp:wrapNone/>
                      <wp:docPr id="231" name="Frame231"/>
                      <a:graphic xmlns:a="http://schemas.openxmlformats.org/drawingml/2006/main">
                        <a:graphicData uri="http://schemas.microsoft.com/office/word/2010/wordprocessingShape">
                          <wps:wsp>
                            <wps:cNvSpPr txBox="1"/>
                            <wps:spPr>
                              <a:xfrm>
                                <a:off x="0" y="0"/>
                                <a:ext cx="606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9385" cy="175260"/>
                      <wp:effectExtent l="0" t="0" r="0" b="0"/>
                      <wp:wrapNone/>
                      <wp:docPr id="233" name="Frame23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22605" cy="175260"/>
                      <wp:effectExtent l="0" t="0" r="0" b="0"/>
                      <wp:wrapNone/>
                      <wp:docPr id="234" name="Frame23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September 30, 2025</w:t>
            </w:r>
          </w:p>
        </w:tc>
        <w:tc>
          <w:tcPr>
            <w:tcW w:w="109" w:type="dxa"/>
            <w:tcBorders/>
            <w:vAlign w:val="center"/>
          </w:tcPr>
          <w:p>
            <w:pPr>
              <w:pStyle w:val="TableContents"/>
              <w:bidi w:val="0"/>
              <w:spacing w:before="0" w:after="0"/>
              <w:ind w:left="0" w:right="0" w:hanging="0"/>
              <w:jc w:val="left"/>
              <w:rPr/>
            </w:pPr>
            <w:r>
              <w:rPr/>
              <w:t>​</w:t>
            </w:r>
          </w:p>
        </w:tc>
        <w:tc>
          <w:tcPr>
            <w:tcW w:w="423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26" w:type="dxa"/>
            <w:tcBorders/>
            <w:vAlign w:val="center"/>
          </w:tcPr>
          <w:p>
            <w:pPr>
              <w:pStyle w:val="TableContents"/>
              <w:bidi w:val="0"/>
              <w:spacing w:before="0" w:after="0"/>
              <w:ind w:left="0" w:right="0" w:hanging="0"/>
              <w:jc w:val="left"/>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26" w:type="dxa"/>
            <w:tcBorders/>
            <w:vAlign w:val="center"/>
          </w:tcPr>
          <w:p>
            <w:pPr>
              <w:pStyle w:val="TableContents"/>
              <w:bidi w:val="0"/>
              <w:spacing w:before="0" w:after="0"/>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c>
          <w:tcPr>
            <w:tcW w:w="109"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26" w:type="dxa"/>
            <w:tcBorders/>
            <w:vAlign w:val="center"/>
          </w:tcPr>
          <w:p>
            <w:pPr>
              <w:pStyle w:val="TableContents"/>
              <w:bidi w:val="0"/>
              <w:spacing w:before="0" w:after="0"/>
              <w:ind w:left="0" w:right="0" w:hanging="0"/>
              <w:jc w:val="left"/>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26" w:type="dxa"/>
            <w:tcBorders/>
            <w:vAlign w:val="center"/>
          </w:tcPr>
          <w:p>
            <w:pPr>
              <w:pStyle w:val="TableContents"/>
              <w:bidi w:val="0"/>
              <w:spacing w:before="0" w:after="0"/>
              <w:ind w:left="0" w:right="0" w:hanging="0"/>
              <w:jc w:val="left"/>
              <w:rPr/>
            </w:pPr>
            <w:r>
              <w:rPr/>
              <w:t>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Cash flow hedges</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Net investment hedges</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w:t>
            </w:r>
          </w:p>
        </w:tc>
        <w:tc>
          <w:tcPr>
            <w:tcW w:w="10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109"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1,148</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notional amounts of derivative instruments do not necessarily represent the amounts exchanged by the Company with third parties and are not necessarily a direct measure of the financial exposure.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the volatility of cash flows that relate to operating expenses and intercompany payments for royalties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September 30, 2025, the maximum remaining length of time over which the Company has hedged its exposure is approximately one year. At September 30, 2025 and March 31, 2025, the weighted-average remaining maturity of these instruments was approximately 0.4 years and 0.5 years, respectively. At September 30, 2025 and March 31, 2025, in connection with cash flow hedges of foreign currency transactions, the Company had unrealized losses of $2 million and $1 million (each before taxes), respectively, in accumulated other comprehensive income (“AOCI”). The Company estimates that $2 million (before taxes) of deferred net losses on derivatives in AOCI at September 30, 2025 will be reclassified to net income within the next twelve months, providing an offsetting economic impact against the underlying anticipated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i/>
          <w:sz w:val="20"/>
        </w:rPr>
      </w:pPr>
      <w:bookmarkStart w:id="1191" w:name="XBRL_TS_cabbc6dba85b46748bb77233fe829b2f"/>
      <w:bookmarkEnd w:id="1191"/>
      <w:r>
        <w:rPr>
          <w:rFonts w:ascii="Times New Roman;Times;serif" w:hAnsi="Times New Roman;Times;serif"/>
          <w:b/>
          <w:i/>
          <w:sz w:val="20"/>
        </w:rPr>
        <w:t>Net Investment Hedges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At September 30, 2025, the maximum remaining length of time over which the Company has hedged its exposure is approximately eight years. The weighted-average remaining maturity of the Company’s net investment hedge instruments was approximately three years at September 30, 2025 and March 31, 2025. At September 30, 2025 and March 31, 2025, the Company had unrealized losses of $145 million and $6 million (each before taxes), respectively, in AOCI related to net investment hedges.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 the Consolidated Income Statement. The gains and losses on these contracts generally offset the gains and losses in the underlying hedged exposures, which are also reported in other expense in the Consolidated Income Statement. Cash flows from derivatives not designated as hedges are reported in cash flows from investing activities in the Consolidated Statement of Cash Flows. The terms of these swap contracts are generally less than one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92" w:name="Tc_nCPt79luJkCrIIVm81jLIg_5_7"/>
      <w:bookmarkStart w:id="1193" w:name="Tc_NbU_8W27P0KeLK4MxGvDog_5_4"/>
      <w:bookmarkStart w:id="1194" w:name="Tc_re60R1ktxkGi7B_AuzNpDA_5_0"/>
      <w:bookmarkStart w:id="1195" w:name="Tc_JfSiL4GEvUW7cr0wf0OfPQ_4_7"/>
      <w:bookmarkStart w:id="1196" w:name="Tc_UMGWHS7jvUyIsHFWlBLH9A_4_4"/>
      <w:bookmarkStart w:id="1197" w:name="Tc_fI36BMWyl0eU5tyweaODuw_4_0"/>
      <w:bookmarkStart w:id="1198" w:name="Tc_WlEg_RDMW0K5TRkVz0tWhA_3_7"/>
      <w:bookmarkStart w:id="1199" w:name="Tc_fbJpVsAFV02wbUcDcnrXyQ_3_4"/>
      <w:bookmarkStart w:id="1200" w:name="Tc_-GCVDg-mK0CF-9ghO4SBWQ_3_2"/>
      <w:bookmarkStart w:id="1201" w:name="Tc_niqLYyt_s0yz7EKAZ4dI3Q_3_0"/>
      <w:bookmarkStart w:id="1202" w:name="Tc_enXYAUJs8EaGVNLFVXCrrw_2_4"/>
      <w:bookmarkStart w:id="1203" w:name="Tc_40SrXgaxO0WFkibH3MJ_yg_2_2"/>
      <w:bookmarkStart w:id="1204" w:name="Tc_kQkLcVwerUmd19kL4ELfhQ_2_0"/>
      <w:bookmarkStart w:id="1205" w:name="Tc_llhTAAv52kSuQ5mkQQs2Zw_1_4"/>
      <w:bookmarkStart w:id="1206" w:name="Tc_PF9h_Lum8kSPU4nOwco45g_1_2"/>
      <w:bookmarkStart w:id="1207" w:name="_bb26d922_fa1d_457e_93fe_1a4002d92a43"/>
      <w:bookmarkStart w:id="1208" w:name="Tc_YSYXvSmjQEWla6pDPRPWfA_5_7"/>
      <w:bookmarkStart w:id="1209" w:name="Tc_yPsh-EwKi06PySU_JBu0BQ_5_4"/>
      <w:bookmarkStart w:id="1210" w:name="Tc_QPg484ld1k-dMHP6NT2Vrw_5_0"/>
      <w:bookmarkStart w:id="1211" w:name="Tc_TzkKUQdbBEqgq-npFdSAJg_4_7"/>
      <w:bookmarkStart w:id="1212" w:name="Tc_xp9zZq3iCE-Yi8i8oda20Q_4_4"/>
      <w:bookmarkStart w:id="1213" w:name="Tc_Pw1RhOeg_EWi2i7EcZReiQ_4_0"/>
      <w:bookmarkStart w:id="1214" w:name="Tc_Hb8L62-NHE2D-uH1T535Qw_3_7"/>
      <w:bookmarkStart w:id="1215" w:name="Tc_WgSfM3ixlUe5vQaC4UFzYw_3_4"/>
      <w:bookmarkStart w:id="1216" w:name="Tc_VgeHOFy_7kqoXKfI0p8bbg_3_2"/>
      <w:bookmarkStart w:id="1217" w:name="Tc_Pj1Az7Pik0K7lT9zsxxNAQ_3_0"/>
      <w:bookmarkStart w:id="1218" w:name="Tc_UO97EniGAEibvUJbmdHvMw_2_4"/>
      <w:bookmarkStart w:id="1219" w:name="Tc_PDXxnrwK7UGLiQfoNS8gWQ_2_2"/>
      <w:bookmarkStart w:id="1220" w:name="Tc_Xk1pnztDxUSidTQYmCxVaA_2_0"/>
      <w:bookmarkStart w:id="1221" w:name="Tc_4E71iw6YCUuBBJrJU057kg_1_4"/>
      <w:bookmarkStart w:id="1222" w:name="Tc_xAMoFfGwUESfr6roIBJl2Q_1_2"/>
      <w:bookmarkStart w:id="1223" w:name="_9b3d7475_a5c3_4036_81b8_0a4713cd0ee8"/>
      <w:bookmarkStart w:id="1224" w:name="Tc_S22MR17lzEO8brOd8KE3yw_10_19"/>
      <w:bookmarkStart w:id="1225" w:name="Tc_du6ePporCUanHVsYz9_mVw_10_16"/>
      <w:bookmarkStart w:id="1226" w:name="Tc_1KSf-2v1GEmDwTdJsDIB7A_10_13"/>
      <w:bookmarkStart w:id="1227" w:name="Tc_-BVDEZG79Eu0x8D6XZ745Q_10_10"/>
      <w:bookmarkStart w:id="1228" w:name="Tc_0wRM3fzSFEeHZkZdfeEYDA_10_5"/>
      <w:bookmarkStart w:id="1229" w:name="Tc_766inesaFEK8fT6UKfT5gw_10_2"/>
      <w:bookmarkStart w:id="1230" w:name="Tc_LEUHZgOER0qBvmVQfMKeSQ_10_0"/>
      <w:bookmarkStart w:id="1231" w:name="Tc_zhadsgPlz0Suxo7zMOfe9g_9_11"/>
      <w:bookmarkStart w:id="1232" w:name="Tc_wZu5egjHlEqE5IBNKcNUMQ_9_8"/>
      <w:bookmarkStart w:id="1233" w:name="Tc_7yLbkkfuuEWNH9KBQsN2XQ_9_0"/>
      <w:bookmarkStart w:id="1234" w:name="Tc_f-8jtIFV-kaPWfQkJ12Zww_8_11"/>
      <w:bookmarkStart w:id="1235" w:name="Tc_siiKn1Se4E-1iTXiwUiW7Q_8_8"/>
      <w:bookmarkStart w:id="1236" w:name="Tc_n-aKMtqbL0i7IraGYdzp_Q_8_6"/>
      <w:bookmarkStart w:id="1237" w:name="Tc_r31ZQyhrBk-mIXkgRohQ7Q_8_0"/>
      <w:bookmarkStart w:id="1238" w:name="Tc_6ILsw_O0ekexrVq3dH_e9w_7_0"/>
      <w:bookmarkStart w:id="1239" w:name="Tc_T7Ed7gDG3ki9jERpk8Ki4g_6_20"/>
      <w:bookmarkStart w:id="1240" w:name="Tc_-J7onbjBOEG7Pjegx8L4ig_6_17"/>
      <w:bookmarkStart w:id="1241" w:name="Tc_J7nf5vVyNUGMhLmd7PUX3g_6_14"/>
      <w:bookmarkStart w:id="1242" w:name="Tc_7aAeHjUwvUqfEme7Y-vZGQ_6_8"/>
      <w:bookmarkStart w:id="1243" w:name="Tc_7RC__AKJXEKEeiR8-H9pRg_5_20"/>
      <w:bookmarkStart w:id="1244" w:name="Tc_bMq0vrRKh0GV6MrBiAENDg_5_19"/>
      <w:bookmarkStart w:id="1245" w:name="Tc_FWcNaHyM8ESTYtVtfZDsnQ_5_17"/>
      <w:bookmarkStart w:id="1246" w:name="Tc_c3mbIESsTku4UFB7osDz5A_5_16"/>
      <w:bookmarkStart w:id="1247" w:name="Tc_aRsh8ITZFUK2Wh41yY3y2Q_5_14"/>
      <w:bookmarkStart w:id="1248" w:name="Tc_BZXXCWoM2USQYrrBroARNg_5_13"/>
      <w:bookmarkStart w:id="1249" w:name="Tc_Ii-7UTquJ0aZkvBLeDYRpg_5_10"/>
      <w:bookmarkStart w:id="1250" w:name="Tc_sSnKkBY-HUObJjD1_Eo9pA_5_8"/>
      <w:bookmarkStart w:id="1251" w:name="Tc_weI2ZB0nSES6imYsI_jLjA_5_5"/>
      <w:bookmarkStart w:id="1252" w:name="Tc_9V5ZOyJi6EuELTIC-eWQ2Q_5_2"/>
      <w:bookmarkStart w:id="1253" w:name="Tc_khbSW-75qkewGp54vFa8YQ_5_0"/>
      <w:bookmarkStart w:id="1254" w:name="Tc_Un1MwsyI2UmnuOVcKGdzMQ_4_0"/>
      <w:bookmarkStart w:id="1255" w:name="Tc_cKfIaB_Jh0GP8eoYAwRbJA_3_19"/>
      <w:bookmarkStart w:id="1256" w:name="Tc_6O2bwd9bHESL_HTSlBg7-A_3_16"/>
      <w:bookmarkStart w:id="1257" w:name="Tc_QeJynf9FZkSkLlHTc2Clrg_3_13"/>
      <w:bookmarkStart w:id="1258" w:name="Tc_DMAeJTEq9k-ZgfLpLtVyqA_3_10"/>
      <w:bookmarkStart w:id="1259" w:name="Tc_EusQN0Iix0mVQZwIuy5hlw_3_8"/>
      <w:bookmarkStart w:id="1260" w:name="Tc_Jbo4Ul6KqEiHmq3jDf3ANg_3_5"/>
      <w:bookmarkStart w:id="1261" w:name="Tc_EpcI0f4k2EeM6rlnc9wsBA_3_2"/>
      <w:bookmarkStart w:id="1262" w:name="Tc_wWDR0uwuSkeJM-UG-xrPpg_3_0"/>
      <w:bookmarkStart w:id="1263" w:name="Tc_GOjUeOB8TU2dLbVhWutdDw_2_16"/>
      <w:bookmarkStart w:id="1264" w:name="Tc_7SNQjN9XjUeglnfsxv9-6A_2_10"/>
      <w:bookmarkStart w:id="1265" w:name="Tc_iM_QoH6DYUKUDfkV0qVowQ_2_8"/>
      <w:bookmarkStart w:id="1266" w:name="Tc_xiLDmGdMJEKA1rOxGqveIA_2_2"/>
      <w:bookmarkStart w:id="1267" w:name="Tc_P-F69IhO7kmEy31BLb-Q7Q_2_0"/>
      <w:bookmarkStart w:id="1268" w:name="Tc_zQi23awYoku4Ri3Ip6LxtA_1_16"/>
      <w:bookmarkStart w:id="1269" w:name="Tc_tmkdBf0AMkOEUsaaTNdUjw_1_10"/>
      <w:bookmarkStart w:id="1270" w:name="Tc_5LsN3CzDCk-arOAdqWLbRQ_1_8"/>
      <w:bookmarkStart w:id="1271" w:name="Tc_qekLLg0ptk6VZDDpFfTqCg_1_2"/>
      <w:bookmarkStart w:id="1272" w:name="_Hlk134814152"/>
      <w:bookmarkStart w:id="1273" w:name="_8c50a166_cbb6_46d3_b4bc_5fa796ccfe55"/>
      <w:bookmarkStart w:id="1274" w:name="Tc_L8CHM1hH5E2p_uVvZJL_Tw_10_19"/>
      <w:bookmarkStart w:id="1275" w:name="Tc_nFeQ0w-VVEiCTE4H1Pj7NA_10_16"/>
      <w:bookmarkStart w:id="1276" w:name="Tc_UTQzG-AHmUW3ucL2lYZP9A_10_13"/>
      <w:bookmarkStart w:id="1277" w:name="Tc_CEAy04bA6ESyF_zn3mKKwQ_10_10"/>
      <w:bookmarkStart w:id="1278" w:name="Tc_YleprBLYS0e5TR7KlnXmXw_10_5"/>
      <w:bookmarkStart w:id="1279" w:name="Tc_AkIUolTQG0K_azVFrKq-dg_10_2"/>
      <w:bookmarkStart w:id="1280" w:name="Tc_Wc3tkje-4kiG_YhlGjHA6g_10_0"/>
      <w:bookmarkStart w:id="1281" w:name="Tc_hz7z_aJbckKWdddL4FZlHA_9_11"/>
      <w:bookmarkStart w:id="1282" w:name="Tc_Itzg7QV0D0W_7TLSV7MsMQ_9_8"/>
      <w:bookmarkStart w:id="1283" w:name="Tc_gNmmICQueEaDTKrHJv9h8Q_9_0"/>
      <w:bookmarkStart w:id="1284" w:name="Tc_596wajtLskCkqbscSNqQOg_8_11"/>
      <w:bookmarkStart w:id="1285" w:name="Tc_0pSJd9IXfkik44IF7A31Kg_8_8"/>
      <w:bookmarkStart w:id="1286" w:name="Tc_RN_dYiO57EensA2bM2LLZg_8_0"/>
      <w:bookmarkStart w:id="1287" w:name="Tc_L4WpMKgKJUuDpHdA2neFiw_7_0"/>
      <w:bookmarkStart w:id="1288" w:name="Tc_wtnp3kfXWUG6cPLo4zNfdg_6_20"/>
      <w:bookmarkStart w:id="1289" w:name="Tc_3z5n7vi7hE68VRTmhIIuGg_6_17"/>
      <w:bookmarkStart w:id="1290" w:name="Tc_lqRQxlB3XEKBeCgpwUFICg_6_14"/>
      <w:bookmarkStart w:id="1291" w:name="Tc_e79LtAKkz0qxdjZG81yMVA_6_8"/>
      <w:bookmarkStart w:id="1292" w:name="Tc_JSIW7ZA81Ee-17N75ShIvw_5_20"/>
      <w:bookmarkStart w:id="1293" w:name="Tc_zZk7TYqEt0q2AlYePd4QDA_5_19"/>
      <w:bookmarkStart w:id="1294" w:name="Tc_WOrRa_eX30CbHVsGSIxElQ_5_17"/>
      <w:bookmarkStart w:id="1295" w:name="Tc_R74TwdRTXUqNNyCANPWNbA_5_16"/>
      <w:bookmarkStart w:id="1296" w:name="Tc_aSN9YlXptEy-ssq1AD1HzQ_5_14"/>
      <w:bookmarkStart w:id="1297" w:name="Tc_rRZiAnclBEmweK1ZnkY4jQ_5_13"/>
      <w:bookmarkStart w:id="1298" w:name="Tc_MLoksCq85kePQCNerp0z6Q_5_10"/>
      <w:bookmarkStart w:id="1299" w:name="Tc_MnRzGwm28UmAAWLRmjw52g_5_8"/>
      <w:bookmarkStart w:id="1300" w:name="Tc_c63ZNYVIY0Ck7Lfwp8pfNw_5_5"/>
      <w:bookmarkStart w:id="1301" w:name="Tc_dGTeOBoZkk20qWHKrqvMAA_5_2"/>
      <w:bookmarkStart w:id="1302" w:name="Tc_1cZiRB5BFE2zfzLuZZa9UA_5_0"/>
      <w:bookmarkStart w:id="1303" w:name="Tc_ew0jSkNup0ui4PRZ7QXegg_4_0"/>
      <w:bookmarkStart w:id="1304" w:name="Tc_Susmsl92jkaGlUwqV6dL3A_3_19"/>
      <w:bookmarkStart w:id="1305" w:name="Tc_3xh7ejbMuEKSXNDWJBO7jA_3_16"/>
      <w:bookmarkStart w:id="1306" w:name="Tc_pcM8UoQPNEaFbGozeLq4TA_3_13"/>
      <w:bookmarkStart w:id="1307" w:name="Tc_uhVG8Z153UuW5e60SnapTA_3_10"/>
      <w:bookmarkStart w:id="1308" w:name="Tc_sdPl5id3z0OabSMB43QJKg_3_8"/>
      <w:bookmarkStart w:id="1309" w:name="Tc_tD1HTvLs8kKu1CHyuv5fNQ_3_5"/>
      <w:bookmarkStart w:id="1310" w:name="Tc_4XOluWLYwkuFeJtk6ReGJA_3_2"/>
      <w:bookmarkStart w:id="1311" w:name="Tc_SKbh4Z4T9kSCuhLtnz51HQ_3_0"/>
      <w:bookmarkStart w:id="1312" w:name="Tc_5-xFK8_Va02HO72aETti3w_2_16"/>
      <w:bookmarkStart w:id="1313" w:name="Tc__6s6NAl4SEaBVBKp31_1Dg_2_10"/>
      <w:bookmarkStart w:id="1314" w:name="Tc_jVAKzGIeeES3KPsr4xVTQA_2_8"/>
      <w:bookmarkStart w:id="1315" w:name="Tc_HpxfdQU7x0y0MmiZuXI3cQ_2_2"/>
      <w:bookmarkStart w:id="1316" w:name="Tc_2C-kcXuC9kSqbdH1G2bsxA_2_0"/>
      <w:bookmarkStart w:id="1317" w:name="Tc_PFeS22Nr7E-ILndMzXw_Aw_1_16"/>
      <w:bookmarkStart w:id="1318" w:name="Tc_T8xas7FLcEKPEHQRKlgupQ_1_10"/>
      <w:bookmarkStart w:id="1319" w:name="Tc_ht-mSQZy20aCkeBXFuOcQw_1_8"/>
      <w:bookmarkStart w:id="1320" w:name="Tc_Q_IaHsXtzUaSXPis2plABg_1_2"/>
      <w:bookmarkStart w:id="1321" w:name="Tc_-RdpQSpyckqQr8B5VTdkoA_1_0"/>
      <w:bookmarkStart w:id="1322" w:name="_849d59ef_91ca_4306_bb1f_c750ef6d3366"/>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r>
        <w:rPr>
          <w:rFonts w:ascii="Times New Roman;Times;serif" w:hAnsi="Times New Roman;Times;serif"/>
          <w:b/>
          <w:sz w:val="20"/>
        </w:rPr>
        <w:t>The Effect of Derivative Instruments in the Consolidated Income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14"/>
        <w:gridCol w:w="326"/>
        <w:gridCol w:w="267"/>
        <w:gridCol w:w="330"/>
        <w:gridCol w:w="341"/>
        <w:gridCol w:w="267"/>
        <w:gridCol w:w="420"/>
        <w:gridCol w:w="326"/>
        <w:gridCol w:w="1199"/>
        <w:gridCol w:w="326"/>
        <w:gridCol w:w="276"/>
        <w:gridCol w:w="373"/>
        <w:gridCol w:w="352"/>
        <w:gridCol w:w="276"/>
        <w:gridCol w:w="373"/>
        <w:gridCol w:w="326"/>
        <w:gridCol w:w="321"/>
        <w:gridCol w:w="410"/>
        <w:gridCol w:w="387"/>
        <w:gridCol w:w="321"/>
        <w:gridCol w:w="474"/>
      </w:tblGrid>
      <w:tr>
        <w:trPr/>
        <w:tc>
          <w:tcPr>
            <w:tcW w:w="25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r>
      <w:tr>
        <w:trPr/>
        <w:tc>
          <w:tcPr>
            <w:tcW w:w="25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6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26"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6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26" w:type="dxa"/>
            <w:tcBorders/>
            <w:vAlign w:val="center"/>
          </w:tcPr>
          <w:p>
            <w:pPr>
              <w:pStyle w:val="TableContents"/>
              <w:bidi w:val="0"/>
              <w:spacing w:before="0" w:after="0"/>
              <w:ind w:left="0" w:right="0" w:hanging="0"/>
              <w:jc w:val="left"/>
              <w:rPr/>
            </w:pPr>
            <w:r>
              <w:rPr/>
              <w:t>​</w:t>
            </w:r>
          </w:p>
        </w:tc>
        <w:tc>
          <w:tcPr>
            <w:tcW w:w="19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rPr/>
        <w:tc>
          <w:tcPr>
            <w:tcW w:w="25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6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26"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0"/>
              <w:ind w:left="0" w:right="0" w:hanging="0"/>
              <w:jc w:val="left"/>
              <w:rPr/>
            </w:pPr>
            <w:r>
              <w:rPr/>
              <w:t>​</w:t>
            </w:r>
          </w:p>
        </w:tc>
        <w:tc>
          <w:tcPr>
            <w:tcW w:w="16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26" w:type="dxa"/>
            <w:tcBorders/>
            <w:vAlign w:val="center"/>
          </w:tcPr>
          <w:p>
            <w:pPr>
              <w:pStyle w:val="TableContents"/>
              <w:bidi w:val="0"/>
              <w:spacing w:before="0" w:after="0"/>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rPr/>
        <w:tc>
          <w:tcPr>
            <w:tcW w:w="25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5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1" w:type="dxa"/>
            <w:tcBorders/>
            <w:vAlign w:val="center"/>
          </w:tcPr>
          <w:p>
            <w:pPr>
              <w:pStyle w:val="TableContents"/>
              <w:bidi w:val="0"/>
              <w:spacing w:before="0" w:after="0"/>
              <w:ind w:left="0" w:right="0" w:hanging="0"/>
              <w:jc w:val="center"/>
              <w:rPr/>
            </w:pPr>
            <w:r>
              <w:rPr/>
              <w:t>    </w:t>
            </w:r>
          </w:p>
        </w:tc>
        <w:tc>
          <w:tcPr>
            <w:tcW w:w="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26" w:type="dxa"/>
            <w:tcBorders/>
            <w:vAlign w:val="center"/>
          </w:tcPr>
          <w:p>
            <w:pPr>
              <w:pStyle w:val="TableContents"/>
              <w:bidi w:val="0"/>
              <w:spacing w:before="0" w:after="0"/>
              <w:ind w:left="0" w:right="0" w:hanging="0"/>
              <w:jc w:val="center"/>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2" w:type="dxa"/>
            <w:tcBorders/>
            <w:vAlign w:val="center"/>
          </w:tcPr>
          <w:p>
            <w:pPr>
              <w:pStyle w:val="TableContents"/>
              <w:bidi w:val="0"/>
              <w:spacing w:before="0" w:after="0"/>
              <w:ind w:left="0" w:right="0" w:hanging="0"/>
              <w:jc w:val="center"/>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7" w:type="dxa"/>
            <w:tcBorders/>
            <w:vAlign w:val="center"/>
          </w:tcPr>
          <w:p>
            <w:pPr>
              <w:pStyle w:val="TableContents"/>
              <w:bidi w:val="0"/>
              <w:spacing w:before="0" w:after="0"/>
              <w:ind w:left="0" w:right="0" w:hanging="0"/>
              <w:jc w:val="center"/>
              <w:rPr/>
            </w:pPr>
            <w:r>
              <w:rPr/>
              <w:t>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26"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center"/>
              <w:rPr/>
            </w:pPr>
            <w:r>
              <w:rPr/>
              <w:t>​</w:t>
            </w:r>
          </w:p>
        </w:tc>
        <w:tc>
          <w:tcPr>
            <w:tcW w:w="341" w:type="dxa"/>
            <w:tcBorders/>
            <w:shd w:fill="CCEEFF" w:val="clear"/>
            <w:vAlign w:val="center"/>
          </w:tcPr>
          <w:p>
            <w:pPr>
              <w:pStyle w:val="TableContents"/>
              <w:bidi w:val="0"/>
              <w:spacing w:before="0" w:after="0"/>
              <w:ind w:left="0" w:right="0" w:hanging="0"/>
              <w:jc w:val="center"/>
              <w:rPr/>
            </w:pPr>
            <w:r>
              <w:rPr/>
              <w:t>​</w:t>
            </w:r>
          </w:p>
        </w:tc>
        <w:tc>
          <w:tcPr>
            <w:tcW w:w="267" w:type="dxa"/>
            <w:tcBorders/>
            <w:shd w:fill="CCEEFF" w:val="clear"/>
            <w:vAlign w:val="center"/>
          </w:tcPr>
          <w:p>
            <w:pPr>
              <w:pStyle w:val="TableContents"/>
              <w:bidi w:val="0"/>
              <w:spacing w:before="0" w:after="0"/>
              <w:ind w:left="0" w:right="0" w:hanging="0"/>
              <w:jc w:val="center"/>
              <w:rPr/>
            </w:pPr>
            <w:r>
              <w:rPr/>
              <w:t>​</w:t>
            </w:r>
          </w:p>
        </w:tc>
        <w:tc>
          <w:tcPr>
            <w:tcW w:w="42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9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373"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276" w:type="dxa"/>
            <w:tcBorders/>
            <w:shd w:fill="CCEEFF" w:val="clear"/>
            <w:vAlign w:val="center"/>
          </w:tcPr>
          <w:p>
            <w:pPr>
              <w:pStyle w:val="TableContents"/>
              <w:bidi w:val="0"/>
              <w:spacing w:before="0" w:after="0"/>
              <w:ind w:left="0" w:right="0" w:hanging="0"/>
              <w:jc w:val="center"/>
              <w:rPr/>
            </w:pPr>
            <w:r>
              <w:rPr/>
              <w:t>​</w:t>
            </w:r>
          </w:p>
        </w:tc>
        <w:tc>
          <w:tcPr>
            <w:tcW w:w="37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410" w:type="dxa"/>
            <w:tcBorders/>
            <w:shd w:fill="CCEEFF" w:val="clear"/>
            <w:vAlign w:val="center"/>
          </w:tcPr>
          <w:p>
            <w:pPr>
              <w:pStyle w:val="TableContents"/>
              <w:bidi w:val="0"/>
              <w:spacing w:before="0" w:after="0"/>
              <w:ind w:left="0" w:right="0" w:hanging="0"/>
              <w:jc w:val="center"/>
              <w:rPr/>
            </w:pPr>
            <w:r>
              <w:rPr/>
              <w:t>​</w:t>
            </w:r>
          </w:p>
        </w:tc>
        <w:tc>
          <w:tcPr>
            <w:tcW w:w="387"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474" w:type="dxa"/>
            <w:tcBorders/>
            <w:shd w:fill="CCEEFF" w:val="clear"/>
            <w:vAlign w:val="center"/>
          </w:tcPr>
          <w:p>
            <w:pPr>
              <w:pStyle w:val="TableContents"/>
              <w:bidi w:val="0"/>
              <w:spacing w:before="0" w:after="0"/>
              <w:ind w:left="0" w:right="0" w:hanging="0"/>
              <w:jc w:val="center"/>
              <w:rPr/>
            </w:pPr>
            <w:r>
              <w:rPr/>
              <w:t>​</w:t>
            </w:r>
          </w:p>
        </w:tc>
      </w:tr>
      <w:tr>
        <w:trPr/>
        <w:tc>
          <w:tcPr>
            <w:tcW w:w="2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2"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10"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74" w:type="dxa"/>
            <w:tcBorders/>
            <w:vAlign w:val="center"/>
          </w:tcPr>
          <w:p>
            <w:pPr>
              <w:pStyle w:val="TableContents"/>
              <w:bidi w:val="0"/>
              <w:spacing w:before="0" w:after="0"/>
              <w:ind w:left="0" w:right="0" w:hanging="0"/>
              <w:jc w:val="right"/>
              <w:rPr/>
            </w:pPr>
            <w:r>
              <w:rPr/>
              <w:t>—</w:t>
            </w:r>
          </w:p>
        </w:tc>
      </w:tr>
      <w:tr>
        <w:trPr/>
        <w:tc>
          <w:tcPr>
            <w:tcW w:w="251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righ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52"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r>
      <w:tr>
        <w:trPr/>
        <w:tc>
          <w:tcPr>
            <w:tcW w:w="251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pPr>
            <w:r>
              <w:rPr/>
              <w:t>​</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1"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1"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87"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1"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199"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2"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3"/>
        <w:gridCol w:w="326"/>
        <w:gridCol w:w="256"/>
        <w:gridCol w:w="503"/>
        <w:gridCol w:w="326"/>
        <w:gridCol w:w="256"/>
        <w:gridCol w:w="398"/>
        <w:gridCol w:w="326"/>
        <w:gridCol w:w="1187"/>
        <w:gridCol w:w="326"/>
        <w:gridCol w:w="274"/>
        <w:gridCol w:w="371"/>
        <w:gridCol w:w="350"/>
        <w:gridCol w:w="274"/>
        <w:gridCol w:w="371"/>
        <w:gridCol w:w="326"/>
        <w:gridCol w:w="321"/>
        <w:gridCol w:w="410"/>
        <w:gridCol w:w="387"/>
        <w:gridCol w:w="321"/>
        <w:gridCol w:w="473"/>
      </w:tblGrid>
      <w:tr>
        <w:trPr/>
        <w:tc>
          <w:tcPr>
            <w:tcW w:w="2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left"/>
              <w:rPr/>
            </w:pPr>
            <w:r>
              <w:rPr/>
              <w:t>​</w:t>
            </w:r>
          </w:p>
        </w:tc>
      </w:tr>
      <w:tr>
        <w:trPr/>
        <w:tc>
          <w:tcPr>
            <w:tcW w:w="2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3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vAlign w:val="center"/>
          </w:tcPr>
          <w:p>
            <w:pPr>
              <w:pStyle w:val="TableContents"/>
              <w:bidi w:val="0"/>
              <w:spacing w:before="0" w:after="0"/>
              <w:ind w:left="0" w:right="0" w:hanging="0"/>
              <w:jc w:val="left"/>
              <w:rPr/>
            </w:pPr>
            <w:r>
              <w:rPr/>
              <w:t>​</w:t>
            </w:r>
          </w:p>
        </w:tc>
        <w:tc>
          <w:tcPr>
            <w:tcW w:w="16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26" w:type="dxa"/>
            <w:tcBorders/>
            <w:vAlign w:val="center"/>
          </w:tcPr>
          <w:p>
            <w:pPr>
              <w:pStyle w:val="TableContents"/>
              <w:bidi w:val="0"/>
              <w:spacing w:before="0" w:after="0"/>
              <w:ind w:left="0" w:right="0" w:hanging="0"/>
              <w:jc w:val="left"/>
              <w:rPr/>
            </w:pPr>
            <w:r>
              <w:rPr/>
              <w:t>​</w:t>
            </w:r>
          </w:p>
        </w:tc>
        <w:tc>
          <w:tcPr>
            <w:tcW w:w="19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rPr/>
        <w:tc>
          <w:tcPr>
            <w:tcW w:w="242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7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vAlign w:val="center"/>
          </w:tcPr>
          <w:p>
            <w:pPr>
              <w:pStyle w:val="TableContents"/>
              <w:bidi w:val="0"/>
              <w:spacing w:before="0" w:after="0"/>
              <w:ind w:left="0" w:right="0" w:hanging="0"/>
              <w:jc w:val="left"/>
              <w:rPr/>
            </w:pPr>
            <w:r>
              <w:rPr/>
              <w:t>​</w:t>
            </w:r>
          </w:p>
        </w:tc>
        <w:tc>
          <w:tcPr>
            <w:tcW w:w="1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26" w:type="dxa"/>
            <w:tcBorders/>
            <w:vAlign w:val="center"/>
          </w:tcPr>
          <w:p>
            <w:pPr>
              <w:pStyle w:val="TableContents"/>
              <w:bidi w:val="0"/>
              <w:spacing w:before="0" w:after="0"/>
              <w:ind w:left="0" w:right="0" w:hanging="0"/>
              <w:jc w:val="left"/>
              <w:rPr/>
            </w:pPr>
            <w:r>
              <w:rPr/>
              <w:t>​</w:t>
            </w:r>
          </w:p>
        </w:tc>
        <w:tc>
          <w:tcPr>
            <w:tcW w:w="19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rPr/>
        <w:tc>
          <w:tcPr>
            <w:tcW w:w="24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September 30:</w:t>
            </w:r>
          </w:p>
        </w:tc>
        <w:tc>
          <w:tcPr>
            <w:tcW w:w="326" w:type="dxa"/>
            <w:tcBorders/>
            <w:vAlign w:val="center"/>
          </w:tcPr>
          <w:p>
            <w:pPr>
              <w:pStyle w:val="TableContents"/>
              <w:bidi w:val="0"/>
              <w:spacing w:before="0" w:after="0"/>
              <w:ind w:left="0" w:right="0" w:hanging="0"/>
              <w:jc w:val="center"/>
              <w:rPr/>
            </w:pPr>
            <w:r>
              <w:rPr/>
              <w:t>    </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6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26" w:type="dxa"/>
            <w:tcBorders/>
            <w:vAlign w:val="center"/>
          </w:tcPr>
          <w:p>
            <w:pPr>
              <w:pStyle w:val="TableContents"/>
              <w:bidi w:val="0"/>
              <w:spacing w:before="0" w:after="0"/>
              <w:ind w:left="0" w:right="0" w:hanging="0"/>
              <w:jc w:val="center"/>
              <w:rPr/>
            </w:pPr>
            <w:r>
              <w:rPr/>
              <w:t>    </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0" w:type="dxa"/>
            <w:tcBorders/>
            <w:vAlign w:val="center"/>
          </w:tcPr>
          <w:p>
            <w:pPr>
              <w:pStyle w:val="TableContents"/>
              <w:bidi w:val="0"/>
              <w:spacing w:before="0" w:after="0"/>
              <w:ind w:left="0" w:right="0" w:hanging="0"/>
              <w:jc w:val="center"/>
              <w:rPr/>
            </w:pPr>
            <w:r>
              <w:rPr/>
              <w:t>    </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7" w:type="dxa"/>
            <w:tcBorders/>
            <w:vAlign w:val="center"/>
          </w:tcPr>
          <w:p>
            <w:pPr>
              <w:pStyle w:val="TableContents"/>
              <w:bidi w:val="0"/>
              <w:spacing w:before="0" w:after="0"/>
              <w:ind w:left="0" w:right="0" w:hanging="0"/>
              <w:jc w:val="center"/>
              <w:rPr/>
            </w:pPr>
            <w:r>
              <w:rPr/>
              <w:t>    </w:t>
            </w:r>
          </w:p>
        </w:tc>
        <w:tc>
          <w:tcPr>
            <w:tcW w:w="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26"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39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8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c>
          <w:tcPr>
            <w:tcW w:w="350"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410" w:type="dxa"/>
            <w:tcBorders/>
            <w:shd w:fill="CCEEFF" w:val="clear"/>
            <w:vAlign w:val="center"/>
          </w:tcPr>
          <w:p>
            <w:pPr>
              <w:pStyle w:val="TableContents"/>
              <w:bidi w:val="0"/>
              <w:spacing w:before="0" w:after="0"/>
              <w:ind w:left="0" w:right="0" w:hanging="0"/>
              <w:jc w:val="center"/>
              <w:rPr/>
            </w:pPr>
            <w:r>
              <w:rPr/>
              <w:t>​</w:t>
            </w:r>
          </w:p>
        </w:tc>
        <w:tc>
          <w:tcPr>
            <w:tcW w:w="387" w:type="dxa"/>
            <w:tcBorders/>
            <w:shd w:fill="CCEEFF" w:val="clear"/>
            <w:vAlign w:val="center"/>
          </w:tcPr>
          <w:p>
            <w:pPr>
              <w:pStyle w:val="TableContents"/>
              <w:bidi w:val="0"/>
              <w:spacing w:before="0" w:after="0"/>
              <w:ind w:left="0" w:right="0" w:hanging="0"/>
              <w:jc w:val="center"/>
              <w:rPr/>
            </w:pPr>
            <w:r>
              <w:rPr/>
              <w:t>​</w:t>
            </w:r>
          </w:p>
        </w:tc>
        <w:tc>
          <w:tcPr>
            <w:tcW w:w="321" w:type="dxa"/>
            <w:tcBorders/>
            <w:shd w:fill="CCEEFF" w:val="clear"/>
            <w:vAlign w:val="center"/>
          </w:tcPr>
          <w:p>
            <w:pPr>
              <w:pStyle w:val="TableContents"/>
              <w:bidi w:val="0"/>
              <w:spacing w:before="0" w:after="0"/>
              <w:ind w:left="0" w:right="0" w:hanging="0"/>
              <w:jc w:val="center"/>
              <w:rPr/>
            </w:pPr>
            <w:r>
              <w:rPr/>
              <w:t>​</w:t>
            </w:r>
          </w:p>
        </w:tc>
        <w:tc>
          <w:tcPr>
            <w:tcW w:w="473" w:type="dxa"/>
            <w:tcBorders/>
            <w:shd w:fill="CCEEFF" w:val="clear"/>
            <w:vAlign w:val="center"/>
          </w:tcPr>
          <w:p>
            <w:pPr>
              <w:pStyle w:val="TableContents"/>
              <w:bidi w:val="0"/>
              <w:spacing w:before="0" w:after="0"/>
              <w:ind w:left="0" w:right="0" w:hanging="0"/>
              <w:jc w:val="center"/>
              <w:rPr/>
            </w:pPr>
            <w:r>
              <w:rPr/>
              <w:t>​</w:t>
            </w:r>
          </w:p>
        </w:tc>
      </w:tr>
      <w:tr>
        <w:trPr/>
        <w:tc>
          <w:tcPr>
            <w:tcW w:w="2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50"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10"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73" w:type="dxa"/>
            <w:tcBorders/>
            <w:vAlign w:val="center"/>
          </w:tcPr>
          <w:p>
            <w:pPr>
              <w:pStyle w:val="TableContents"/>
              <w:bidi w:val="0"/>
              <w:spacing w:before="0" w:after="0"/>
              <w:ind w:left="0" w:right="0" w:hanging="0"/>
              <w:jc w:val="right"/>
              <w:rPr/>
            </w:pPr>
            <w:r>
              <w:rPr/>
              <w:t>—</w:t>
            </w:r>
          </w:p>
        </w:tc>
      </w:tr>
      <w:tr>
        <w:trPr/>
        <w:tc>
          <w:tcPr>
            <w:tcW w:w="24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50"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pPr>
            <w:r>
              <w:rPr/>
              <w:t>—</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pPr>
            <w:r>
              <w:rPr/>
              <w:t>—</w:t>
            </w:r>
          </w:p>
        </w:tc>
      </w:tr>
      <w:tr>
        <w:trPr/>
        <w:tc>
          <w:tcPr>
            <w:tcW w:w="2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0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right"/>
              <w:rPr/>
            </w:pPr>
            <w:r>
              <w:rPr/>
              <w:t>​</w:t>
            </w:r>
          </w:p>
        </w:tc>
        <w:tc>
          <w:tcPr>
            <w:tcW w:w="387"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473" w:type="dxa"/>
            <w:tcBorders/>
            <w:vAlign w:val="center"/>
          </w:tcPr>
          <w:p>
            <w:pPr>
              <w:pStyle w:val="TableContents"/>
              <w:bidi w:val="0"/>
              <w:spacing w:before="0" w:after="0"/>
              <w:ind w:left="0" w:right="0" w:hanging="0"/>
              <w:jc w:val="right"/>
              <w:rPr/>
            </w:pPr>
            <w:r>
              <w:rPr/>
              <w:t>​</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4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11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0"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87" w:type="dxa"/>
            <w:tcBorders/>
            <w:vAlign w:val="center"/>
          </w:tcPr>
          <w:p>
            <w:pPr>
              <w:pStyle w:val="TableContents"/>
              <w:bidi w:val="0"/>
              <w:spacing w:before="0" w:after="0"/>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1187"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0"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87" w:type="dxa"/>
            <w:tcBorders/>
            <w:shd w:fill="CCEE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not designated as hedging instruments on the Consolidated Income Statement are as follows:</w:t>
      </w:r>
    </w:p>
    <w:p>
      <w:pPr>
        <w:pStyle w:val="TextBody"/>
        <w:bidi w:val="0"/>
        <w:spacing w:before="0" w:after="0"/>
        <w:ind w:left="0" w:right="0" w:firstLine="720"/>
        <w:jc w:val="left"/>
        <w:rPr/>
      </w:pPr>
      <w:r>
        <w:rPr/>
        <w:t>​</w:t>
      </w:r>
    </w:p>
    <w:tbl>
      <w:tblPr>
        <w:tblW w:w="6585" w:type="dxa"/>
        <w:jc w:val="left"/>
        <w:tblInd w:w="0" w:type="dxa"/>
        <w:tblLayout w:type="fixed"/>
        <w:tblCellMar>
          <w:top w:w="0" w:type="dxa"/>
          <w:left w:w="0" w:type="dxa"/>
          <w:bottom w:w="0" w:type="dxa"/>
          <w:right w:w="0" w:type="dxa"/>
        </w:tblCellMar>
      </w:tblPr>
      <w:tblGrid>
        <w:gridCol w:w="2671"/>
        <w:gridCol w:w="326"/>
        <w:gridCol w:w="1411"/>
        <w:gridCol w:w="109"/>
        <w:gridCol w:w="331"/>
        <w:gridCol w:w="428"/>
        <w:gridCol w:w="421"/>
        <w:gridCol w:w="331"/>
        <w:gridCol w:w="557"/>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696085" cy="175260"/>
                      <wp:effectExtent l="0" t="0" r="0" b="0"/>
                      <wp:wrapNone/>
                      <wp:docPr id="235" name="Frame23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0185" cy="175260"/>
                      <wp:effectExtent l="0" t="0" r="0" b="0"/>
                      <wp:wrapNone/>
                      <wp:docPr id="238" name="Frame238"/>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71780" cy="175260"/>
                      <wp:effectExtent l="0" t="0" r="0" b="0"/>
                      <wp:wrapNone/>
                      <wp:docPr id="239" name="Frame239"/>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67335" cy="175260"/>
                      <wp:effectExtent l="0" t="0" r="0" b="0"/>
                      <wp:wrapNone/>
                      <wp:docPr id="240" name="Frame24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0185" cy="175260"/>
                      <wp:effectExtent l="0" t="0" r="0" b="0"/>
                      <wp:wrapNone/>
                      <wp:docPr id="241" name="Frame24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53695" cy="175260"/>
                      <wp:effectExtent l="0" t="0" r="0" b="0"/>
                      <wp:wrapNone/>
                      <wp:docPr id="242" name="Frame242"/>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20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rPr/>
            </w:pPr>
            <w:r>
              <w:rPr/>
              <w:t>​</w:t>
            </w:r>
          </w:p>
        </w:tc>
        <w:tc>
          <w:tcPr>
            <w:tcW w:w="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1" w:type="dxa"/>
            <w:tcBorders/>
            <w:vAlign w:val="center"/>
          </w:tcPr>
          <w:p>
            <w:pPr>
              <w:pStyle w:val="TableContents"/>
              <w:bidi w:val="0"/>
              <w:spacing w:before="0" w:after="0"/>
              <w:ind w:left="0" w:right="0" w:hanging="0"/>
              <w:jc w:val="center"/>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1"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21" w:type="dxa"/>
            <w:tcBorders/>
            <w:vAlign w:val="center"/>
          </w:tcPr>
          <w:p>
            <w:pPr>
              <w:pStyle w:val="TableContents"/>
              <w:bidi w:val="0"/>
              <w:spacing w:before="0" w:after="0"/>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firstLine="720"/>
        <w:jc w:val="left"/>
        <w:rPr/>
      </w:pPr>
      <w:r>
        <w:rPr/>
        <w:t>​</w:t>
      </w:r>
    </w:p>
    <w:tbl>
      <w:tblPr>
        <w:tblW w:w="6392" w:type="dxa"/>
        <w:jc w:val="left"/>
        <w:tblInd w:w="0" w:type="dxa"/>
        <w:tblLayout w:type="fixed"/>
        <w:tblCellMar>
          <w:top w:w="0" w:type="dxa"/>
          <w:left w:w="0" w:type="dxa"/>
          <w:bottom w:w="0" w:type="dxa"/>
          <w:right w:w="0" w:type="dxa"/>
        </w:tblCellMar>
      </w:tblPr>
      <w:tblGrid>
        <w:gridCol w:w="2476"/>
        <w:gridCol w:w="326"/>
        <w:gridCol w:w="1411"/>
        <w:gridCol w:w="109"/>
        <w:gridCol w:w="358"/>
        <w:gridCol w:w="442"/>
        <w:gridCol w:w="456"/>
        <w:gridCol w:w="358"/>
        <w:gridCol w:w="45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572260" cy="175260"/>
                      <wp:effectExtent l="0" t="0" r="0" b="0"/>
                      <wp:wrapNone/>
                      <wp:docPr id="243" name="Frame243"/>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27330" cy="175260"/>
                      <wp:effectExtent l="0" t="0" r="0" b="0"/>
                      <wp:wrapNone/>
                      <wp:docPr id="246" name="Frame246"/>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0670" cy="175260"/>
                      <wp:effectExtent l="0" t="0" r="0" b="0"/>
                      <wp:wrapNone/>
                      <wp:docPr id="247" name="Frame24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89560" cy="175260"/>
                      <wp:effectExtent l="0" t="0" r="0" b="0"/>
                      <wp:wrapNone/>
                      <wp:docPr id="248" name="Frame248"/>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7330" cy="175260"/>
                      <wp:effectExtent l="0" t="0" r="0" b="0"/>
                      <wp:wrapNone/>
                      <wp:docPr id="249" name="Frame24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89560" cy="175260"/>
                      <wp:effectExtent l="0" t="0" r="0" b="0"/>
                      <wp:wrapNone/>
                      <wp:docPr id="250" name="Frame250"/>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20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rPr/>
            </w:pPr>
            <w:r>
              <w:rPr/>
              <w:t>​</w:t>
            </w:r>
          </w:p>
        </w:tc>
        <w:tc>
          <w:tcPr>
            <w:tcW w:w="20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Six months ended September 30:</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6" w:type="dxa"/>
            <w:tcBorders/>
            <w:vAlign w:val="center"/>
          </w:tcPr>
          <w:p>
            <w:pPr>
              <w:pStyle w:val="TableContents"/>
              <w:bidi w:val="0"/>
              <w:spacing w:before="0" w:after="0"/>
              <w:ind w:left="0" w:right="0" w:hanging="0"/>
              <w:jc w:val="center"/>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56" w:type="dxa"/>
            <w:tcBorders/>
            <w:shd w:fill="CCEEFF" w:val="clear"/>
            <w:vAlign w:val="center"/>
          </w:tcPr>
          <w:p>
            <w:pPr>
              <w:pStyle w:val="TableContents"/>
              <w:bidi w:val="0"/>
              <w:spacing w:before="0" w:after="0"/>
              <w:ind w:left="0" w:right="0" w:hanging="0"/>
              <w:jc w:val="left"/>
              <w:rPr/>
            </w:pPr>
            <w:r>
              <w:rPr/>
              <w:t>​</w:t>
            </w:r>
          </w:p>
        </w:tc>
        <w:tc>
          <w:tcPr>
            <w:tcW w:w="3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456" w:type="dxa"/>
            <w:tcBorders/>
            <w:vAlign w:val="center"/>
          </w:tcPr>
          <w:p>
            <w:pPr>
              <w:pStyle w:val="TableContents"/>
              <w:bidi w:val="0"/>
              <w:spacing w:before="0" w:after="0"/>
              <w:ind w:left="0" w:right="0" w:hanging="0"/>
              <w:jc w:val="left"/>
              <w:rPr/>
            </w:pPr>
            <w:r>
              <w:rPr/>
              <w:t>​</w:t>
            </w:r>
          </w:p>
        </w:tc>
        <w:tc>
          <w:tcPr>
            <w:tcW w:w="3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2025 and 2024, our net income included a gain of $1 million and a loss of $74 million (each before taxes), respectively, from foreign currency transactions. For the six months ended September 30, 2025 and 2024, our net income included a loss of $60 million and a loss of $47 million (each before taxes), respectively, from foreign currency transactions.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323" w:name="Tc_oyAIvtrWjE-fHNfju2JR5A_9_12"/>
      <w:bookmarkStart w:id="1324" w:name="Tc_yqnon6EPqk6knzoUTeCXRQ_9_9"/>
      <w:bookmarkStart w:id="1325" w:name="Tc_8583Lu3xZUCi68hv3SS1Pw_9_0"/>
      <w:bookmarkStart w:id="1326" w:name="Tc_0T0pmIEkKkODy-_PBvJu9g_8_12"/>
      <w:bookmarkStart w:id="1327" w:name="Tc_7PCm73u18UqM9dEieUCK2A_8_9"/>
      <w:bookmarkStart w:id="1328" w:name="Tc_4Z36c4jAKE-FLF0lfN2Yog_8_0"/>
      <w:bookmarkStart w:id="1329" w:name="Tc_d-nZTytmi0ymgUH_7q3AVg_7_12"/>
      <w:bookmarkStart w:id="1330" w:name="Tc_Iskfu5YR3EeIbw3K8itgHg_7_0"/>
      <w:bookmarkStart w:id="1331" w:name="Tc_c8zJRBp3GUaWKVAgqeLrVQ_6_12"/>
      <w:bookmarkStart w:id="1332" w:name="Tc_mUNCBMj8E0iaGe-Z584n4A_6_0"/>
      <w:bookmarkStart w:id="1333" w:name="Tc_1LXau3AVzEGzBTngR1mvPA_5_0"/>
      <w:bookmarkStart w:id="1334" w:name="Tc_sqk4UsEzoEeXF3NtYljZgg_4_14"/>
      <w:bookmarkStart w:id="1335" w:name="Tc_vYkDKsHuwkSQ0PJ9Vma5nA_4_11"/>
      <w:bookmarkStart w:id="1336" w:name="Tc_VMzOxSWjJUSwxCYEKc3ggw_4_8"/>
      <w:bookmarkStart w:id="1337" w:name="Tc_ht11fGoX0UCYaFZnGqMK3w_4_5"/>
      <w:bookmarkStart w:id="1338" w:name="Tc_rDe0wtuG9U2jyg2skbNYJQ_4_2"/>
      <w:bookmarkStart w:id="1339" w:name="Tc_0KZfq81FAEGs_RC3rqerFg_4_0"/>
      <w:bookmarkStart w:id="1340" w:name="Tc_1nuVePrDuUGDfHFUPMmffg_3_0"/>
      <w:bookmarkStart w:id="1341" w:name="Tc_880scFooL0uu-luwUwxbAg_2_14"/>
      <w:bookmarkStart w:id="1342" w:name="Tc_rbqL_HvFGU6VQcXTixYLNA_2_11"/>
      <w:bookmarkStart w:id="1343" w:name="Tc_9t2KbM7by0au71qxe8w-Cg_2_8"/>
      <w:bookmarkStart w:id="1344" w:name="Tc_XfnBRxxVsE-4ss2gI-pLZw_2_5"/>
      <w:bookmarkStart w:id="1345" w:name="Tc_4A-0QmIT6k-MX7Pq1GkqBQ_2_2"/>
      <w:bookmarkStart w:id="1346" w:name="Tc_ec3w6x2bHESK1atf3hdA3A_2_0"/>
      <w:bookmarkStart w:id="1347" w:name="Tc_fLUtwR9mxUCAKLK5lJXwCw_1_11"/>
      <w:bookmarkStart w:id="1348" w:name="Tc_Y-x4ZwYIDUKg7twvx6Tu3A_1_8"/>
      <w:bookmarkStart w:id="1349" w:name="Tc_etRN7FGSxEqlBwB3dG0Knw_1_5"/>
      <w:bookmarkStart w:id="1350" w:name="Tc_GxS35mcM10aUe2gbRUWp7w_1_2"/>
      <w:bookmarkStart w:id="1351" w:name="Tc_bQSc1ySfGkaENLQ_s_0sBQ_8_17"/>
      <w:bookmarkStart w:id="1352" w:name="Tc_ApAyWvNCOk2xJ7PWDUsqhQ_8_14"/>
      <w:bookmarkStart w:id="1353" w:name="Tc_ZGpmRL97VkWqvCbuLhRDQA_8_11"/>
      <w:bookmarkStart w:id="1354" w:name="Tc_jJKeEZmzdUOuvMQ54FNhWQ_8_8"/>
      <w:bookmarkStart w:id="1355" w:name="Tc_ni9whVpcaEW08Enx1lht2A_8_5"/>
      <w:bookmarkStart w:id="1356" w:name="Tc_NmTAl_7qVkqZoYvZ_gbrZA_8_2"/>
      <w:bookmarkStart w:id="1357" w:name="Tc_he26BnK0jUmcb7ZUyXBQvQ_8_0"/>
      <w:bookmarkStart w:id="1358" w:name="Tc_AmCJs05a1EuM-5UVMZpGfQ_7_0"/>
      <w:bookmarkStart w:id="1359" w:name="Tc_Cq3Abz4DVkiMRPCyRxDUlA_6_0"/>
      <w:bookmarkStart w:id="1360" w:name="Tc_1GmLvt31OkWj78SZkx7g0w_5_0"/>
      <w:bookmarkStart w:id="1361" w:name="Tc_4JSS-O3InkyGt0RaWqbw4w_4_17"/>
      <w:bookmarkStart w:id="1362" w:name="Tc_sFRdhbLejkOL3ULH24VGcw_4_14"/>
      <w:bookmarkStart w:id="1363" w:name="Tc_2stdFtcun0GLRTA8YPQWdw_4_11"/>
      <w:bookmarkStart w:id="1364" w:name="Tc_NaIdh-BrSkq23_roQOu_eg_4_8"/>
      <w:bookmarkStart w:id="1365" w:name="Tc_q_fxnbAX2UWilA6Bttx60w_4_5"/>
      <w:bookmarkStart w:id="1366" w:name="Tc_Hm_OYfNYMEuIfmR790X5uA_4_2"/>
      <w:bookmarkStart w:id="1367" w:name="Tc_1JCuN-BQB0ubem_gekmmIQ_4_0"/>
      <w:bookmarkStart w:id="1368" w:name="Tc_gJk-6co2d0ibzSFt2ZPHGQ_3_17"/>
      <w:bookmarkStart w:id="1369" w:name="Tc__xdlh7BXOUWz8SFFIn9hzQ_3_14"/>
      <w:bookmarkStart w:id="1370" w:name="Tc_TvnEPDHnmk2PpUQYxEFY4A_3_11"/>
      <w:bookmarkStart w:id="1371" w:name="Tc_4lt-if-RgUCLIEXuEdUHbQ_3_8"/>
      <w:bookmarkStart w:id="1372" w:name="Tc__Q9N8XgIl0ylNEvMEdKP3A_3_5"/>
      <w:bookmarkStart w:id="1373" w:name="Tc_ZPQJAXE2KEWVf436TuL8sg_3_2"/>
      <w:bookmarkStart w:id="1374" w:name="Tc_UeAkq0rugk2P6m984ijPVA_3_0"/>
      <w:bookmarkStart w:id="1375" w:name="Tc__llwgpwGuk-kupaHnk2MAg_2_17"/>
      <w:bookmarkStart w:id="1376" w:name="Tc_Hkegmt9hP0W-qa5HtogHYw_2_14"/>
      <w:bookmarkStart w:id="1377" w:name="Tc_sgBN7FUZ6UCdWE37ed3XSQ_2_11"/>
      <w:bookmarkStart w:id="1378" w:name="Tc_J3DowC5lCU6TVYW9jQgyJA_2_8"/>
      <w:bookmarkStart w:id="1379" w:name="Tc_sUOwIA4O902DLkoAZtDphg_2_5"/>
      <w:bookmarkStart w:id="1380" w:name="Tc_RGdQ6S4mt0ycaQiJdecLdw_2_2"/>
      <w:bookmarkStart w:id="1381" w:name="Tc_4a2xHKR3WE6pQtNgKOxrkw_1_11"/>
      <w:bookmarkStart w:id="1382" w:name="Tc_cSY0i0zkNkyEzkTaNWs6Qw_1_2"/>
      <w:bookmarkStart w:id="1383" w:name="_bb19c293_f2b5_4510_8ba5_768ad491c046"/>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r>
        <w:rPr>
          <w:rFonts w:ascii="Times New Roman;Times;serif" w:hAnsi="Times New Roman;Times;serif"/>
          <w:b/>
          <w:sz w:val="20"/>
        </w:rPr>
        <w:t>NOTE 8. INTANGIBLE ASSETS INCLUDING GOODWILL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intangible asset balances by major asset class.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568"/>
        <w:gridCol w:w="326"/>
        <w:gridCol w:w="415"/>
        <w:gridCol w:w="831"/>
        <w:gridCol w:w="326"/>
        <w:gridCol w:w="329"/>
        <w:gridCol w:w="752"/>
        <w:gridCol w:w="326"/>
        <w:gridCol w:w="360"/>
        <w:gridCol w:w="721"/>
        <w:gridCol w:w="146"/>
        <w:gridCol w:w="415"/>
        <w:gridCol w:w="831"/>
        <w:gridCol w:w="326"/>
        <w:gridCol w:w="329"/>
        <w:gridCol w:w="752"/>
        <w:gridCol w:w="326"/>
        <w:gridCol w:w="318"/>
        <w:gridCol w:w="808"/>
      </w:tblGrid>
      <w:tr>
        <w:trPr/>
        <w:tc>
          <w:tcPr>
            <w:tcW w:w="1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95680" cy="175260"/>
                      <wp:effectExtent l="0" t="0" r="0" b="0"/>
                      <wp:wrapNone/>
                      <wp:docPr id="251" name="Frame251"/>
                      <a:graphic xmlns:a="http://schemas.openxmlformats.org/drawingml/2006/main">
                        <a:graphicData uri="http://schemas.microsoft.com/office/word/2010/wordprocessingShape">
                          <wps:wsp>
                            <wps:cNvSpPr txBox="1"/>
                            <wps:spPr>
                              <a:xfrm>
                                <a:off x="0" y="0"/>
                                <a:ext cx="995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63525" cy="175260"/>
                      <wp:effectExtent l="0" t="0" r="0" b="0"/>
                      <wp:wrapNone/>
                      <wp:docPr id="253" name="Frame25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27685" cy="175260"/>
                      <wp:effectExtent l="0" t="0" r="0" b="0"/>
                      <wp:wrapNone/>
                      <wp:docPr id="254" name="Frame254"/>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8915" cy="175260"/>
                      <wp:effectExtent l="0" t="0" r="0" b="0"/>
                      <wp:wrapNone/>
                      <wp:docPr id="256" name="Frame256"/>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77520" cy="175260"/>
                      <wp:effectExtent l="0" t="0" r="0" b="0"/>
                      <wp:wrapNone/>
                      <wp:docPr id="257" name="Frame257"/>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28600" cy="175260"/>
                      <wp:effectExtent l="0" t="0" r="0" b="0"/>
                      <wp:wrapNone/>
                      <wp:docPr id="259" name="Frame25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57835" cy="175260"/>
                      <wp:effectExtent l="0" t="0" r="0" b="0"/>
                      <wp:wrapNone/>
                      <wp:docPr id="260" name="Frame26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92710" cy="175260"/>
                      <wp:effectExtent l="0" t="0" r="0" b="0"/>
                      <wp:wrapNone/>
                      <wp:docPr id="261" name="Frame2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63525" cy="175260"/>
                      <wp:effectExtent l="0" t="0" r="0" b="0"/>
                      <wp:wrapNone/>
                      <wp:docPr id="262" name="Frame26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27685" cy="175260"/>
                      <wp:effectExtent l="0" t="0" r="0" b="0"/>
                      <wp:wrapNone/>
                      <wp:docPr id="263" name="Frame26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8915" cy="175260"/>
                      <wp:effectExtent l="0" t="0" r="0" b="0"/>
                      <wp:wrapNone/>
                      <wp:docPr id="265" name="Frame265"/>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77520" cy="175260"/>
                      <wp:effectExtent l="0" t="0" r="0" b="0"/>
                      <wp:wrapNone/>
                      <wp:docPr id="266" name="Frame266"/>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1930" cy="175260"/>
                      <wp:effectExtent l="0" t="0" r="0" b="0"/>
                      <wp:wrapNone/>
                      <wp:docPr id="268" name="Frame26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13080" cy="175260"/>
                      <wp:effectExtent l="0" t="0" r="0" b="0"/>
                      <wp:wrapNone/>
                      <wp:docPr id="269" name="Frame269"/>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September 30, 2025</w:t>
            </w:r>
          </w:p>
        </w:tc>
        <w:tc>
          <w:tcPr>
            <w:tcW w:w="146" w:type="dxa"/>
            <w:tcBorders/>
            <w:vAlign w:val="center"/>
          </w:tcPr>
          <w:p>
            <w:pPr>
              <w:pStyle w:val="TableContents"/>
              <w:bidi w:val="0"/>
              <w:spacing w:before="0" w:after="0"/>
              <w:ind w:left="0" w:right="0" w:hanging="0"/>
              <w:jc w:val="left"/>
              <w:rPr/>
            </w:pPr>
            <w:r>
              <w:rPr/>
              <w:t>​</w:t>
            </w:r>
          </w:p>
        </w:tc>
        <w:tc>
          <w:tcPr>
            <w:tcW w:w="410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15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5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46" w:type="dxa"/>
            <w:tcBorders/>
            <w:shd w:fill="CCEEFF" w:val="clear"/>
            <w:vAlign w:val="center"/>
          </w:tcPr>
          <w:p>
            <w:pPr>
              <w:pStyle w:val="TableContents"/>
              <w:bidi w:val="0"/>
              <w:spacing w:before="0" w:after="0"/>
              <w:ind w:left="0" w:right="0" w:hanging="0"/>
              <w:jc w:val="center"/>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1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1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2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5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trademarks*</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5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2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218</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Amounts include effects from foreign currency translation.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net carrying amount of intangible assets decreased by $50 million during the six months ended September 30, 2025, primarily due to the reclassification of certain capitalized software intangibles to prepaid assets and other noncurrent assets resulting from the migration of on-premises software to a cloud-based solution. The aggregate intangible asset amortization expense was $13 million and $28 million for the three and six months ended September 30, 2025, compared to $17 million and $36 million for the three and six months ended September 30, 2024, respectively. This included amortization of capitalized software of $7 million and $14 million for the three and six months ended September 30, 2025, respectively, which was reported in “Depreciation of property, equipment and capitalized software” on the Consolidated Statement of Cash Flows.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September 30, 2025:</w:t>
      </w:r>
    </w:p>
    <w:p>
      <w:pPr>
        <w:pStyle w:val="TextBody"/>
        <w:bidi w:val="0"/>
        <w:spacing w:before="0" w:after="240"/>
        <w:ind w:left="0" w:right="0" w:firstLine="720"/>
        <w:jc w:val="left"/>
        <w:rPr/>
      </w:pPr>
      <w:r>
        <w:rPr/>
        <w:t>​</w:t>
      </w:r>
    </w:p>
    <w:tbl>
      <w:tblPr>
        <w:tblW w:w="7788" w:type="dxa"/>
        <w:jc w:val="left"/>
        <w:tblInd w:w="0" w:type="dxa"/>
        <w:tblLayout w:type="fixed"/>
        <w:tblCellMar>
          <w:top w:w="0" w:type="dxa"/>
          <w:left w:w="0" w:type="dxa"/>
          <w:bottom w:w="0" w:type="dxa"/>
          <w:right w:w="0" w:type="dxa"/>
        </w:tblCellMar>
      </w:tblPr>
      <w:tblGrid>
        <w:gridCol w:w="2461"/>
        <w:gridCol w:w="109"/>
        <w:gridCol w:w="372"/>
        <w:gridCol w:w="559"/>
        <w:gridCol w:w="326"/>
        <w:gridCol w:w="425"/>
        <w:gridCol w:w="641"/>
        <w:gridCol w:w="109"/>
        <w:gridCol w:w="357"/>
        <w:gridCol w:w="589"/>
        <w:gridCol w:w="109"/>
        <w:gridCol w:w="379"/>
        <w:gridCol w:w="626"/>
        <w:gridCol w:w="109"/>
        <w:gridCol w:w="211"/>
        <w:gridCol w:w="40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562735" cy="175260"/>
                      <wp:effectExtent l="0" t="0" r="0" b="0"/>
                      <wp:wrapNone/>
                      <wp:docPr id="270" name="Frame270"/>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36220" cy="175260"/>
                      <wp:effectExtent l="0" t="0" r="0" b="0"/>
                      <wp:wrapNone/>
                      <wp:docPr id="272" name="Frame27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54965" cy="175260"/>
                      <wp:effectExtent l="0" t="0" r="0" b="0"/>
                      <wp:wrapNone/>
                      <wp:docPr id="273" name="Frame273"/>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69875" cy="175260"/>
                      <wp:effectExtent l="0" t="0" r="0" b="0"/>
                      <wp:wrapNone/>
                      <wp:docPr id="275" name="Frame275"/>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07035" cy="175260"/>
                      <wp:effectExtent l="0" t="0" r="0" b="0"/>
                      <wp:wrapNone/>
                      <wp:docPr id="276" name="Frame276"/>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26695" cy="175260"/>
                      <wp:effectExtent l="0" t="0" r="0" b="0"/>
                      <wp:wrapNone/>
                      <wp:docPr id="278" name="Frame27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74015" cy="175260"/>
                      <wp:effectExtent l="0" t="0" r="0" b="0"/>
                      <wp:wrapNone/>
                      <wp:docPr id="279" name="Frame279"/>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40665" cy="175260"/>
                      <wp:effectExtent l="0" t="0" r="0" b="0"/>
                      <wp:wrapNone/>
                      <wp:docPr id="281" name="Frame28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97510" cy="175260"/>
                      <wp:effectExtent l="0" t="0" r="0" b="0"/>
                      <wp:wrapNone/>
                      <wp:docPr id="282" name="Frame282"/>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57810" cy="175260"/>
                      <wp:effectExtent l="0" t="0" r="0" b="0"/>
                      <wp:wrapNone/>
                      <wp:docPr id="285" name="Frame28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2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Completed</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vAlign w:val="center"/>
          </w:tcPr>
          <w:p>
            <w:pPr>
              <w:pStyle w:val="TableContents"/>
              <w:bidi w:val="0"/>
              <w:spacing w:before="0" w:after="1"/>
              <w:ind w:left="0" w:right="0" w:hanging="0"/>
              <w:jc w:val="center"/>
              <w:rPr/>
            </w:pPr>
            <w:r>
              <w:rPr/>
              <w:t>​</w:t>
            </w:r>
          </w:p>
        </w:tc>
      </w:tr>
      <w:tr>
        <w:trPr/>
        <w:tc>
          <w:tcPr>
            <w:tcW w:w="24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26" w:type="dxa"/>
            <w:tcBorders/>
            <w:vAlign w:val="center"/>
          </w:tcPr>
          <w:p>
            <w:pPr>
              <w:pStyle w:val="TableContents"/>
              <w:bidi w:val="0"/>
              <w:spacing w:before="0" w:after="1"/>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vAlign w:val="center"/>
          </w:tcPr>
          <w:p>
            <w:pPr>
              <w:pStyle w:val="TableContents"/>
              <w:bidi w:val="0"/>
              <w:spacing w:before="0" w:after="1"/>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center"/>
              <w:rPr/>
            </w:pPr>
            <w:r>
              <w:rPr/>
              <w:t>​</w:t>
            </w:r>
          </w:p>
        </w:tc>
        <w:tc>
          <w:tcPr>
            <w:tcW w:w="55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center"/>
              <w:rPr/>
            </w:pPr>
            <w:r>
              <w:rPr/>
              <w:t>​</w:t>
            </w:r>
          </w:p>
        </w:tc>
        <w:tc>
          <w:tcPr>
            <w:tcW w:w="6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center"/>
              <w:rPr/>
            </w:pPr>
            <w:r>
              <w:rPr/>
              <w:t>​</w:t>
            </w:r>
          </w:p>
        </w:tc>
        <w:tc>
          <w:tcPr>
            <w:tcW w:w="58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06" w:type="dxa"/>
            <w:tcBorders/>
            <w:shd w:fill="CCEEFF" w:val="clear"/>
            <w:vAlign w:val="center"/>
          </w:tcPr>
          <w:p>
            <w:pPr>
              <w:pStyle w:val="TableContents"/>
              <w:bidi w:val="0"/>
              <w:spacing w:before="0" w:after="1"/>
              <w:ind w:left="0" w:right="0" w:hanging="0"/>
              <w:jc w:val="center"/>
              <w:rPr/>
            </w:pPr>
            <w:r>
              <w:rPr/>
              <w:t>​</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10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11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 </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52 </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35 </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29 </w:t>
            </w:r>
          </w:p>
        </w:tc>
      </w:tr>
      <w:tr>
        <w:trPr/>
        <w:tc>
          <w:tcPr>
            <w:tcW w:w="2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15 </w:t>
            </w:r>
          </w:p>
        </w:tc>
      </w:tr>
      <w:tr>
        <w:trPr/>
        <w:tc>
          <w:tcPr>
            <w:tcW w:w="2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0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9 </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384" w:name="Tc_OPbBqPSgMES-713MCWihDQ_9_8"/>
      <w:bookmarkStart w:id="1385" w:name="Tc_LIKgO37oykqb-cj-oRT0DQ_9_5"/>
      <w:bookmarkStart w:id="1386" w:name="Tc_DAm2MZ5sJEuL83Ru0MlloQ_9_2"/>
      <w:bookmarkStart w:id="1387" w:name="Tc_P9ZtCUhKlEyWj7oq-65Zhw_9_0"/>
      <w:bookmarkStart w:id="1388" w:name="Tc_otfPb_uq9UuNcsUbi7LZ5w_8_6"/>
      <w:bookmarkStart w:id="1389" w:name="Tc_GrQ14jwWxkiZeIlpfx9vuw_8_0"/>
      <w:bookmarkStart w:id="1390" w:name="Tc_bS2pODUVvECEzMFCKwS5fA_7_6"/>
      <w:bookmarkStart w:id="1391" w:name="Tc_LWG-2sLcOUGaHlmT5s-IPQ_7_0"/>
      <w:bookmarkStart w:id="1392" w:name="Tc_e7pwr8X3jEOjpqb4CkgBEw_6_0"/>
      <w:bookmarkStart w:id="1393" w:name="Tc_ZR56SwdVb0ikc_7s7FW6Zg_5_8"/>
      <w:bookmarkStart w:id="1394" w:name="Tc_Mk8mu6v4ZUe3FpgBnlpwJw_5_6"/>
      <w:bookmarkStart w:id="1395" w:name="Tc_ymvjCB0_i0yV6I7zugVSPQ_5_5"/>
      <w:bookmarkStart w:id="1396" w:name="Tc_ZrkKxjMUy0SFitxzNhAuXg_5_2"/>
      <w:bookmarkStart w:id="1397" w:name="Tc_b_umU25oSkqfWSxX-tLIjw_5_0"/>
      <w:bookmarkStart w:id="1398" w:name="Tc_RyLRKJUx_E65rNeLvFq8eQ_4_8"/>
      <w:bookmarkStart w:id="1399" w:name="Tc_-ICbNYIoV06vYqzEb8qhqQ_4_5"/>
      <w:bookmarkStart w:id="1400" w:name="Tc_ujm3SY46gUSW7vIsfibtpg_4_2"/>
      <w:bookmarkStart w:id="1401" w:name="Tc_qRbEIS6_JkmOlauolBDwsg_4_0"/>
      <w:bookmarkStart w:id="1402" w:name="Tc_wM2T4y_L0kGksWpzWkl_Yw_3_8"/>
      <w:bookmarkStart w:id="1403" w:name="Tc_xltAlAkjkkmgi0doa-TvuA_3_5"/>
      <w:bookmarkStart w:id="1404" w:name="Tc_y0FmgWuFGEWyD9JfCSA3jg_3_2"/>
      <w:bookmarkStart w:id="1405" w:name="Tc_zvWdpPiJA0SZQH2O4EOsPg_3_0"/>
      <w:bookmarkStart w:id="1406" w:name="Tc_76ypoLKpRU6luqa3ehVSsQ_2_5"/>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r>
        <w:rPr>
          <w:rFonts w:ascii="Times New Roman;Times;serif" w:hAnsi="Times New Roman;Times;serif"/>
          <w:b/>
          <w:sz w:val="20"/>
        </w:rPr>
        <w:t>Goodwill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goodwill balances by segment for the six months ended September 30, 2025 were as follows:</w:t>
      </w:r>
    </w:p>
    <w:p>
      <w:pPr>
        <w:pStyle w:val="TextBody"/>
        <w:bidi w:val="0"/>
        <w:spacing w:before="0" w:after="240"/>
        <w:ind w:left="0" w:right="0" w:hanging="0"/>
        <w:jc w:val="left"/>
        <w:rPr/>
      </w:pPr>
      <w:r>
        <w:rPr/>
        <w:t>​</w:t>
      </w:r>
    </w:p>
    <w:tbl>
      <w:tblPr>
        <w:tblW w:w="6149" w:type="dxa"/>
        <w:jc w:val="left"/>
        <w:tblInd w:w="0" w:type="dxa"/>
        <w:tblLayout w:type="fixed"/>
        <w:tblCellMar>
          <w:top w:w="0" w:type="dxa"/>
          <w:left w:w="0" w:type="dxa"/>
          <w:bottom w:w="0" w:type="dxa"/>
          <w:right w:w="0" w:type="dxa"/>
        </w:tblCellMar>
      </w:tblPr>
      <w:tblGrid>
        <w:gridCol w:w="1561"/>
        <w:gridCol w:w="109"/>
        <w:gridCol w:w="419"/>
        <w:gridCol w:w="842"/>
        <w:gridCol w:w="109"/>
        <w:gridCol w:w="533"/>
        <w:gridCol w:w="877"/>
        <w:gridCol w:w="109"/>
        <w:gridCol w:w="448"/>
        <w:gridCol w:w="1142"/>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991235" cy="175260"/>
                      <wp:effectExtent l="0" t="0" r="0" b="0"/>
                      <wp:wrapNone/>
                      <wp:docPr id="286" name="Frame28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66065" cy="175260"/>
                      <wp:effectExtent l="0" t="0" r="0" b="0"/>
                      <wp:wrapNone/>
                      <wp:docPr id="288" name="Frame288"/>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4670" cy="175260"/>
                      <wp:effectExtent l="0" t="0" r="0" b="0"/>
                      <wp:wrapNone/>
                      <wp:docPr id="289" name="Frame289"/>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38455" cy="175260"/>
                      <wp:effectExtent l="0" t="0" r="0" b="0"/>
                      <wp:wrapNone/>
                      <wp:docPr id="291" name="Frame291"/>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56895" cy="175260"/>
                      <wp:effectExtent l="0" t="0" r="0" b="0"/>
                      <wp:wrapNone/>
                      <wp:docPr id="292" name="Frame292"/>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84480" cy="175260"/>
                      <wp:effectExtent l="0" t="0" r="0" b="0"/>
                      <wp:wrapNone/>
                      <wp:docPr id="294" name="Frame294"/>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25170" cy="175260"/>
                      <wp:effectExtent l="0" t="0" r="0" b="0"/>
                      <wp:wrapNone/>
                      <wp:docPr id="295" name="Frame29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109"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109" w:type="dxa"/>
            <w:tcBorders/>
            <w:vAlign w:val="center"/>
          </w:tcPr>
          <w:p>
            <w:pPr>
              <w:pStyle w:val="TableContents"/>
              <w:bidi w:val="0"/>
              <w:spacing w:before="0" w:after="1"/>
              <w:ind w:left="0" w:right="0" w:hanging="0"/>
              <w:jc w:val="left"/>
              <w:rPr/>
            </w:pPr>
            <w:r>
              <w:rPr/>
              <w:t>​</w:t>
            </w:r>
          </w:p>
        </w:tc>
        <w:tc>
          <w:tcPr>
            <w:tcW w:w="15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1"/>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109"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center"/>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center"/>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 </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109" w:type="dxa"/>
            <w:tcBorders/>
            <w:vAlign w:val="center"/>
          </w:tcPr>
          <w:p>
            <w:pPr>
              <w:pStyle w:val="TableContents"/>
              <w:bidi w:val="0"/>
              <w:spacing w:before="0" w:after="1"/>
              <w:ind w:left="0" w:right="0" w:hanging="0"/>
              <w:jc w:val="left"/>
              <w:rPr/>
            </w:pPr>
            <w:r>
              <w:rPr/>
              <w:t>​</w:t>
            </w:r>
          </w:p>
        </w:tc>
        <w:tc>
          <w:tcPr>
            <w:tcW w:w="4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1"/>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791</w:t>
            </w:r>
          </w:p>
        </w:tc>
      </w:tr>
    </w:tbl>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were no goodwill impairment losses recorded for the six months ended September 30, 2025 and 2024.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 </w:t>
      </w:r>
    </w:p>
    <w:p>
      <w:pPr>
        <w:pStyle w:val="TextBody"/>
        <w:pBdr/>
        <w:bidi w:val="0"/>
        <w:spacing w:before="0" w:after="240"/>
        <w:ind w:left="0" w:right="0" w:hanging="360"/>
        <w:jc w:val="left"/>
        <w:rPr>
          <w:rFonts w:ascii="Times New Roman;Times;serif" w:hAnsi="Times New Roman;Times;serif"/>
          <w:b/>
          <w:sz w:val="20"/>
        </w:rPr>
      </w:pPr>
      <w:bookmarkStart w:id="1407" w:name="Tc_0wbZYske9E-wOD4oLYWMWA_13_9"/>
      <w:bookmarkStart w:id="1408" w:name="Tc_OG1WPYuzok6fb0-VoV8rSg_13_6"/>
      <w:bookmarkStart w:id="1409" w:name="Tc_ijB_h5qAFE2Q-r_PVkFrWg_13_0"/>
      <w:bookmarkStart w:id="1410" w:name="Tc_mc7qJapa9kiSw4VFQLzvhA_12_0"/>
      <w:bookmarkStart w:id="1411" w:name="Tc_jPlhlOPvj0OFwf6dHRu6CA_11_0"/>
      <w:bookmarkStart w:id="1412" w:name="Tc_h8vYq6qEx0uGB9qfbBuoKg_10_0"/>
      <w:bookmarkStart w:id="1413" w:name="Tc_L1U_wlXGwkC5X2w_Iy4_lA_9_9"/>
      <w:bookmarkStart w:id="1414" w:name="Tc_mVwVGbCx9UOLpPRPx_WjZQ_9_6"/>
      <w:bookmarkStart w:id="1415" w:name="Tc_Z_J_0f7pnE-3SDjyx92VJQ_8_4"/>
      <w:bookmarkStart w:id="1416" w:name="Tc_NlLdWm1cEEKWIUsyE-GBKA_8_2"/>
      <w:bookmarkStart w:id="1417" w:name="Tc_6BXRPhKBckCSOajG3aasxg_8_0"/>
      <w:bookmarkStart w:id="1418" w:name="Tc_M3Rrp1qhVku-taTvCIcUBw_7_4"/>
      <w:bookmarkStart w:id="1419" w:name="Tc_fjd_uSutPUW518dUit-tGQ_7_0"/>
      <w:bookmarkStart w:id="1420" w:name="Tc_oHc0lZlCTkGRvnKOc9452A_6_4"/>
      <w:bookmarkStart w:id="1421" w:name="Tc_BX9ElnBGMEOTR-B3m86LgA_6_0"/>
      <w:bookmarkStart w:id="1422" w:name="Tc_TOla-h_G9EuuEfxbkK-HlQ_5_4"/>
      <w:bookmarkStart w:id="1423" w:name="Tc_1QIM224BbkGgzq3T21A3Gw_5_0"/>
      <w:bookmarkStart w:id="1424" w:name="Tc_EevspcLfKUawMI3qwtmk_A_4_4"/>
      <w:bookmarkStart w:id="1425" w:name="Tc_UdN-cjXkx0anQTIIhfjR7g_4_0"/>
      <w:bookmarkStart w:id="1426" w:name="Tc_bJQvsMig8Ema030O8bMM6w_3_9"/>
      <w:bookmarkStart w:id="1427" w:name="Tc__jhuy7Mke0S2Xyf8WLh2ug_3_6"/>
      <w:bookmarkStart w:id="1428" w:name="Tc_ApR9RuY_cEeoc2K45zJHIA_3_4"/>
      <w:bookmarkStart w:id="1429" w:name="Tc_rgfIQP4fqkyX7OPHyvbV2w_3_0"/>
      <w:bookmarkStart w:id="1430" w:name="Tc_IgiRLD2HZEGWc16UOx74Jg_2_9"/>
      <w:bookmarkStart w:id="1431" w:name="Tc_9rc45aeIUEWTNJn4JOvcCQ_2_6"/>
      <w:bookmarkStart w:id="1432" w:name="Tc_yA1V6Zad9EeOPevfhOGJpg_2_4"/>
      <w:bookmarkStart w:id="1433" w:name="Tc_pAPn1fFCMUSTQ8I276Mw6g_2_2"/>
      <w:bookmarkStart w:id="1434" w:name="Tc_s_9pIHkwa0yCVPocxFuZbQ_2_0"/>
      <w:bookmarkStart w:id="1435" w:name="Tc_cqoOyca30USEo9fAugGM7g_1_9"/>
      <w:bookmarkStart w:id="1436" w:name="Tc_FC7lvw8i90GjGEu-g9ea4A_1_6"/>
      <w:bookmarkStart w:id="1437" w:name="_9b70f58b_f864_4406_9b52_0e1dea77c29e"/>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r>
        <w:rPr>
          <w:rFonts w:ascii="Times New Roman;Times;serif" w:hAnsi="Times New Roman;Times;serif"/>
          <w:b/>
          <w:sz w:val="20"/>
        </w:rPr>
        <w:t>NOTE 9. BORROWINGS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our debt:</w:t>
      </w:r>
    </w:p>
    <w:p>
      <w:pPr>
        <w:pStyle w:val="TextBody"/>
        <w:bidi w:val="0"/>
        <w:spacing w:before="0" w:after="0"/>
        <w:ind w:left="0" w:right="0" w:firstLine="720"/>
        <w:jc w:val="left"/>
        <w:rPr/>
      </w:pPr>
      <w:r>
        <w:rPr/>
        <w:t>​</w:t>
      </w:r>
    </w:p>
    <w:tbl>
      <w:tblPr>
        <w:tblW w:w="8336" w:type="dxa"/>
        <w:jc w:val="left"/>
        <w:tblInd w:w="0" w:type="dxa"/>
        <w:tblLayout w:type="fixed"/>
        <w:tblCellMar>
          <w:top w:w="0" w:type="dxa"/>
          <w:left w:w="0" w:type="dxa"/>
          <w:bottom w:w="0" w:type="dxa"/>
          <w:right w:w="0" w:type="dxa"/>
        </w:tblCellMar>
      </w:tblPr>
      <w:tblGrid>
        <w:gridCol w:w="3301"/>
        <w:gridCol w:w="326"/>
        <w:gridCol w:w="1051"/>
        <w:gridCol w:w="109"/>
        <w:gridCol w:w="1291"/>
        <w:gridCol w:w="109"/>
        <w:gridCol w:w="307"/>
        <w:gridCol w:w="833"/>
        <w:gridCol w:w="109"/>
        <w:gridCol w:w="211"/>
        <w:gridCol w:w="689"/>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96135" cy="175260"/>
                      <wp:effectExtent l="0" t="0" r="0" b="0"/>
                      <wp:wrapNone/>
                      <wp:docPr id="296" name="Frame296"/>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67385" cy="175260"/>
                      <wp:effectExtent l="0" t="0" r="0" b="0"/>
                      <wp:wrapNone/>
                      <wp:docPr id="298" name="Frame29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260"/>
                      <wp:effectExtent l="0" t="0" r="0" b="0"/>
                      <wp:wrapNone/>
                      <wp:docPr id="299" name="Frame2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819785" cy="175260"/>
                      <wp:effectExtent l="0" t="0" r="0" b="0"/>
                      <wp:wrapNone/>
                      <wp:docPr id="300" name="Frame30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94945" cy="175260"/>
                      <wp:effectExtent l="0" t="0" r="0" b="0"/>
                      <wp:wrapNone/>
                      <wp:docPr id="302" name="Frame30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28955" cy="175260"/>
                      <wp:effectExtent l="0" t="0" r="0" b="0"/>
                      <wp:wrapNone/>
                      <wp:docPr id="303" name="Frame30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37515" cy="175260"/>
                      <wp:effectExtent l="0" t="0" r="0" b="0"/>
                      <wp:wrapNone/>
                      <wp:docPr id="306" name="Frame30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2026</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2028</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2031</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2034</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6.35%*</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2034</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2041</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and other obligations</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5.49%†</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2025-2031</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33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3,042</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16"/>
              </w:rPr>
              <w:t>Including the cross-currency swaps that the Company entered into subsequent to the issuance of the unsecured senior notes due 2034, the effective interest rate on such notes was approximately 3.84%</w:t>
            </w:r>
            <w:r>
              <w:rPr>
                <w:rFonts w:ascii="Times New Roman;Times;serif" w:hAnsi="Times New Roman;Times;serif"/>
                <w:sz w:val="20"/>
              </w:rPr>
              <w:t xml:space="preserve"> </w:t>
            </w:r>
            <w:r>
              <w:rPr>
                <w:rFonts w:ascii="Times New Roman;Times;serif" w:hAnsi="Times New Roman;Times;serif"/>
                <w:sz w:val="16"/>
              </w:rPr>
              <w:t xml:space="preserve">at the time of issuance. For more information, see Note 7 – Financial Assets and Liabilities.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16"/>
        </w:rPr>
        <w:t>Weighted-average discount rate.</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438" w:name="_7444e10c_16ac_472b_a194_9eeacbbb6002"/>
      <w:bookmarkStart w:id="1439" w:name="Tc_ztH1e2rlIkiWKANEgZhZbg_9_2"/>
      <w:bookmarkStart w:id="1440" w:name="Tc_luO9TeJy80GXzudpbkI2Cg_9_0"/>
      <w:bookmarkStart w:id="1441" w:name="Tc_4lVWzs7O9ECNSaGxDD23wQ_8_0"/>
      <w:bookmarkStart w:id="1442" w:name="Tc_tE0T5Y7XRUG0zW54dzyQNQ_7_3"/>
      <w:bookmarkStart w:id="1443" w:name="Tc_cyxj5YopSEa4yqPvmak1Gg_7_0"/>
      <w:bookmarkStart w:id="1444" w:name="Tc_CExvYuKYe0aRTHRRd0Wa-w_6_0"/>
      <w:bookmarkStart w:id="1445" w:name="Tc_60g9oNW8m0m9T3dSliSv7A_5_3"/>
      <w:bookmarkStart w:id="1446" w:name="Tc_-JHgAm-YMEi2nkO_5LNHXQ_5_0"/>
      <w:bookmarkStart w:id="1447" w:name="Tc_rcZuVFM8zkeV7zO8qAKggQ_4_0"/>
      <w:bookmarkStart w:id="1448" w:name="Tc_ovGdQAbiXUGJLeLdUYo95g_3_2"/>
      <w:bookmarkStart w:id="1449" w:name="Tc_0OZ-HbZfmUywR1ekzoVIHQ_3_0"/>
      <w:bookmarkStart w:id="1450" w:name="Tc_EGOdTwLVs0mWsoULXMxF0A_2_0"/>
      <w:bookmarkStart w:id="1451" w:name="Tc_DHWoqXo_nUGWzhgjHmgSfw_1_2"/>
      <w:bookmarkStart w:id="1452" w:name="Tc_xozOe0tKFEy38_-bg_cRdQ_1_0"/>
      <w:bookmarkStart w:id="1453" w:name="_9069e9da_3daa_4653_907d_b1441e8212f9"/>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sz w:val="20"/>
        </w:rPr>
        <w:t>Contractual obligations of long-term debt outstanding at September 30, 2025, exclusive of finance lease obligations, are as follows:</w:t>
      </w:r>
    </w:p>
    <w:p>
      <w:pPr>
        <w:pStyle w:val="TextBody"/>
        <w:bidi w:val="0"/>
        <w:spacing w:before="0" w:after="240"/>
        <w:ind w:left="0" w:right="0" w:firstLine="720"/>
        <w:jc w:val="left"/>
        <w:rPr/>
      </w:pPr>
      <w:r>
        <w:rPr/>
        <w:t>​</w:t>
      </w:r>
    </w:p>
    <w:tbl>
      <w:tblPr>
        <w:tblW w:w="3684" w:type="dxa"/>
        <w:jc w:val="left"/>
        <w:tblInd w:w="0" w:type="dxa"/>
        <w:tblLayout w:type="fixed"/>
        <w:tblCellMar>
          <w:top w:w="0" w:type="dxa"/>
          <w:left w:w="0" w:type="dxa"/>
          <w:bottom w:w="0" w:type="dxa"/>
          <w:right w:w="0" w:type="dxa"/>
        </w:tblCellMar>
      </w:tblPr>
      <w:tblGrid>
        <w:gridCol w:w="2461"/>
        <w:gridCol w:w="326"/>
        <w:gridCol w:w="211"/>
        <w:gridCol w:w="68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562735" cy="175260"/>
                      <wp:effectExtent l="0" t="0" r="0" b="0"/>
                      <wp:wrapNone/>
                      <wp:docPr id="307" name="Frame30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35610" cy="175260"/>
                      <wp:effectExtent l="0" t="0" r="0" b="0"/>
                      <wp:wrapNone/>
                      <wp:docPr id="310" name="Frame31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March 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six months)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2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2,925</w:t>
            </w:r>
          </w:p>
        </w:tc>
      </w:tr>
    </w:tbl>
    <w:tbl>
      <w:tblPr>
        <w:tblW w:w="4502" w:type="dxa"/>
        <w:jc w:val="left"/>
        <w:tblInd w:w="0" w:type="dxa"/>
        <w:tblLayout w:type="fixed"/>
        <w:tblCellMar>
          <w:top w:w="0" w:type="dxa"/>
          <w:left w:w="0" w:type="dxa"/>
          <w:bottom w:w="0" w:type="dxa"/>
          <w:right w:w="0" w:type="dxa"/>
        </w:tblCellMar>
      </w:tblPr>
      <w:tblGrid>
        <w:gridCol w:w="211"/>
        <w:gridCol w:w="4291"/>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4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Contractual obligations approximate scheduled repayments.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September 30, 2025, there were no borrowings under the Company’s revolving credit agreement. The Company is in compliance with its debt covenants in all periods presented.</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guarantees certain loans and financial commitments. The maximum potential future payment under these financial guarantees and the fair value of these guarantees recognized in the Consolidated Balance Sheet at September 30, 2025 and March 31, 2025 were not material. Additionally, the Company has contractual commitments that are noncancellable with certain software, hardware and cloud partners used in the delivery of services to customers. During the six months ended September 30, 2025, contractual commitments decreased due to satisfaction of existing commitments outpacing new additions.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reviews claims, suits, investigations and proceedings at least quarterly, and decisions are made with respect to recording or adjusting provisions and disclosing reasonably possible losses or range of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(individually or in the aggregate) to reflect the impact and status of settlement discussions, discovery, procedural and substantive rulings, reviews by counsel and other information pertinent to a particular matter.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 </w:t>
      </w:r>
    </w:p>
    <w:p>
      <w:pPr>
        <w:pStyle w:val="TextBody"/>
        <w:bidi w:val="0"/>
        <w:spacing w:before="0" w:after="0"/>
        <w:ind w:left="0" w:right="0" w:hanging="0"/>
        <w:jc w:val="left"/>
        <w:rPr>
          <w:rFonts w:ascii="Times New Roman;Times;serif" w:hAnsi="Times New Roman;Times;serif"/>
          <w:b/>
          <w:sz w:val="20"/>
        </w:rPr>
      </w:pPr>
      <w:bookmarkStart w:id="1454" w:name="Tc_zyzZK-1SmUubXkIB_GSVpg_25_8"/>
      <w:bookmarkStart w:id="1455" w:name="Tc_5VVOpmRbLEyVlQvs0DSOUw_25_5"/>
      <w:bookmarkStart w:id="1456" w:name="Tc_gOVZXkugB0-HbVwRRGp6NA_25_2"/>
      <w:bookmarkStart w:id="1457" w:name="Tc_GMBdqgn0wUyeHiEBZz73TQ_25_0"/>
      <w:bookmarkStart w:id="1458" w:name="Tc_6ZRQoeSrm0aZWQjHgFepOw_24_8"/>
      <w:bookmarkStart w:id="1459" w:name="Tc_e_hTB7bdREGUiyCC9bDzUQ_24_5"/>
      <w:bookmarkStart w:id="1460" w:name="Tc_VLHt-3Gu7Ea4knpiKHqv5w_24_2"/>
      <w:bookmarkStart w:id="1461" w:name="Tc_bnMu2tuxuUeemED46-wl7g_24_0"/>
      <w:bookmarkStart w:id="1462" w:name="Tc_lY0GG5vFg0SYRELAZFHSBw_23_8"/>
      <w:bookmarkStart w:id="1463" w:name="Tc_FyVi30h6wEKGJX75deV3yQ_23_5"/>
      <w:bookmarkStart w:id="1464" w:name="Tc_99OjcZBOZUS67JCQgjF0_w_23_2"/>
      <w:bookmarkStart w:id="1465" w:name="Tc_Q401RoTSyUKujmZaHHlbwg_23_0"/>
      <w:bookmarkStart w:id="1466" w:name="Tc_NZ6AJqLufkCuTGUoKT7NaQ_22_9"/>
      <w:bookmarkStart w:id="1467" w:name="Tc_RHe3wlhGSUig-c0dp7QpxA_22_6"/>
      <w:bookmarkStart w:id="1468" w:name="Tc__QA2RoS30kCjvACZReHQHA_22_3"/>
      <w:bookmarkStart w:id="1469" w:name="Tc_N0BChNTVEkycHcwgg3eiMw_22_0"/>
      <w:bookmarkStart w:id="1470" w:name="Tc_JcdL3Si0OkiYHTbl15BU1w_21_8"/>
      <w:bookmarkStart w:id="1471" w:name="Tc_hRj_ZDIeCEOv7arj9z4gFg_21_5"/>
      <w:bookmarkStart w:id="1472" w:name="Tc_Sq9c2Ecsw0aRNp69ie5mKA_21_2"/>
      <w:bookmarkStart w:id="1473" w:name="Tc_a1I22XuaGkqlMOrFlBJXNw_21_0"/>
      <w:bookmarkStart w:id="1474" w:name="Tc_BUFmOXBnxE-wIyegt14E0A_20_0"/>
      <w:bookmarkStart w:id="1475" w:name="Tc_o99yBlSDdESuj_mX8Ca5Mw_19_8"/>
      <w:bookmarkStart w:id="1476" w:name="Tc_PmcDadI7KUWOxFHLztxIiQ_19_6"/>
      <w:bookmarkStart w:id="1477" w:name="Tc_fB0CuBrnv02S3HhIqaeIaA_19_5"/>
      <w:bookmarkStart w:id="1478" w:name="Tc_j2rJn9sFAEqQfXxdZj4jtA_19_2"/>
      <w:bookmarkStart w:id="1479" w:name="Tc_z0rXvB-DiU6yYtS_UkDmlQ_19_0"/>
      <w:bookmarkStart w:id="1480" w:name="Tc_zT0Op0a3iUWRfcW-2gX21A_18_6"/>
      <w:bookmarkStart w:id="1481" w:name="Tc_ypNmS7bEAEO81_ci_fyZsA_18_0"/>
      <w:bookmarkStart w:id="1482" w:name="Tc__4zUwmtljE-Ahb56Kv52zQ_17_8"/>
      <w:bookmarkStart w:id="1483" w:name="Tc_75oguqSLoUqHVMjiZOrWMg_17_6"/>
      <w:bookmarkStart w:id="1484" w:name="Tc_MVCdlATZqUiGijJof3o7sQ_17_5"/>
      <w:bookmarkStart w:id="1485" w:name="Tc_PiPhsGsCJky42PNpm80JSg_17_2"/>
      <w:bookmarkStart w:id="1486" w:name="Tc_htjx2eUBf0-BeIgaNPWmdQ_17_0"/>
      <w:bookmarkStart w:id="1487" w:name="Tc_hsb0bzhiBUKWf7yzDTMbBg_16_0"/>
      <w:bookmarkStart w:id="1488" w:name="Tc_rkoSGyox5Ey52tCor-E1jQ_15_0"/>
      <w:bookmarkStart w:id="1489" w:name="Tc_5eBmxcKt-027QJ_ihaD4kQ_13_8"/>
      <w:bookmarkStart w:id="1490" w:name="Tc_vsbXUnkqw0uIRGwrjJtXzw_13_5"/>
      <w:bookmarkStart w:id="1491" w:name="Tc_YSK1SRqPy0WsDvSaCFO_4g_13_2"/>
      <w:bookmarkStart w:id="1492" w:name="Tc_xOEdMcRI-kWHumZ9Y6XhUw_13_0"/>
      <w:bookmarkStart w:id="1493" w:name="Tc_ZxY3Bm6fE0-lPTl79WX6XQ_12_8"/>
      <w:bookmarkStart w:id="1494" w:name="Tc_L0Dve83su0iQJsseN7hvrg_12_5"/>
      <w:bookmarkStart w:id="1495" w:name="Tc_A47Q0PQBvkmU_wG9KG29pQ_12_2"/>
      <w:bookmarkStart w:id="1496" w:name="Tc_OeZgRajDbESAYvl06OJgMw_12_0"/>
      <w:bookmarkStart w:id="1497" w:name="Tc_dZA4cTEmTEqZwWGjnFLpgg_11_8"/>
      <w:bookmarkStart w:id="1498" w:name="Tc_YFSDzQYTi0yYh80TwyT3wQ_11_6"/>
      <w:bookmarkStart w:id="1499" w:name="Tc_UnLj-SazPEOKJ17vTchkww_11_5"/>
      <w:bookmarkStart w:id="1500" w:name="Tc_CAqDe3MxeECYZMSDk31Inw_11_2"/>
      <w:bookmarkStart w:id="1501" w:name="Tc_bYWyshlhw0uOp9tQal6dUA_11_0"/>
      <w:bookmarkStart w:id="1502" w:name="Tc_s23S0976DECysW70kPPOdQ_10_6"/>
      <w:bookmarkStart w:id="1503" w:name="Tc_gOk8FPg1E0aNW765AvL5tw_10_0"/>
      <w:bookmarkStart w:id="1504" w:name="Tc_Oqgni3KElU-4hs3bXhFnyg_9_8"/>
      <w:bookmarkStart w:id="1505" w:name="Tc_KAP05dnZlkGAyZeGsFhnzg_9_6"/>
      <w:bookmarkStart w:id="1506" w:name="Tc_7RQWyANSNEqBdh3NFh_r1w_9_5"/>
      <w:bookmarkStart w:id="1507" w:name="Tc_IrNvfhzigkyfoGPS7bbTeA_9_2"/>
      <w:bookmarkStart w:id="1508" w:name="Tc_Nwwb8hiZd0KnhsDfy8Absg_9_0"/>
      <w:bookmarkStart w:id="1509" w:name="Tc_WaA9-9mXykaQqFrXUFJ2cw_8_0"/>
      <w:bookmarkStart w:id="1510" w:name="Tc_Ut6_ZJzbL0G3DGDkRpA3CA_7_8"/>
      <w:bookmarkStart w:id="1511" w:name="Tc_vuTAhGvWf0WrG_KSuR1JpA_7_6"/>
      <w:bookmarkStart w:id="1512" w:name="Tc_u2FLa6Qg2UO0lVk5xiQgAA_7_5"/>
      <w:bookmarkStart w:id="1513" w:name="Tc_0sNUmE7Vn0qr8MaWqxy3Ow_7_2"/>
      <w:bookmarkStart w:id="1514" w:name="Tc_I5KHCIS6FkaLDf80aeCabA_7_0"/>
      <w:bookmarkStart w:id="1515" w:name="Tc_ZU291stFREWg0ycawsFi1g_6_6"/>
      <w:bookmarkStart w:id="1516" w:name="Tc_IFl1e3-KDk-ArgsOLAfFfg_6_0"/>
      <w:bookmarkStart w:id="1517" w:name="Tc__QPO2opkEUudYLBOoeecLg_5_8"/>
      <w:bookmarkStart w:id="1518" w:name="Tc_d7pEApDss0ePP4Pu27QH4w_5_6"/>
      <w:bookmarkStart w:id="1519" w:name="Tc_8P8ssP2mTU-EU4xf0IB9rA_5_5"/>
      <w:bookmarkStart w:id="1520" w:name="Tc_HiLL11jlPkW8siyIbpVmug_5_2"/>
      <w:bookmarkStart w:id="1521" w:name="Tc_BssIHrXBNU6APN9Jx-xcRg_5_0"/>
      <w:bookmarkStart w:id="1522" w:name="Tc_9tYyKXDGfEay0IjFuFyp6Q_4_0"/>
      <w:bookmarkStart w:id="1523" w:name="Tc_MvKR2o25pE6obCntRy4j5A_3_0"/>
      <w:bookmarkStart w:id="1524" w:name="Tc_qS4GSFn-MkebKaeSRJHbkQ_2_8"/>
      <w:bookmarkStart w:id="1525" w:name="Tc_-8reYGBj30GIg-gPLo386w_2_5"/>
      <w:bookmarkStart w:id="1526" w:name="Tc_gJcSsLHaakax5L0g5zT9yQ_2_2"/>
      <w:bookmarkStart w:id="1527" w:name="Tc_0NSCHYJfrEiWavTq6cDS6Q_2_0"/>
      <w:bookmarkStart w:id="1528" w:name="Tc_kzhMhCPwYEOr7Zqi-OxDCA_1_8"/>
      <w:bookmarkStart w:id="1529" w:name="Tc_-SP6x71iPECw2or3zbEhzg_1_5"/>
      <w:bookmarkStart w:id="1530" w:name="Tc_JPD2lLlNL0OTiTolaSc6cg_1_2"/>
      <w:bookmarkStart w:id="1531" w:name="_a093d55c_f111_457a_82fe_124e08b8ae90"/>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r>
        <w:rPr>
          <w:rFonts w:ascii="Times New Roman;Times;serif" w:hAnsi="Times New Roman;Times;serif"/>
          <w:b/>
          <w:sz w:val="20"/>
        </w:rPr>
        <w:t>NOTE 11.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reclassifications and taxes related to items of other comprehensive income (loss) for the three and six months ended September 30, 2025 and 2024:</w:t>
      </w:r>
    </w:p>
    <w:p>
      <w:pPr>
        <w:pStyle w:val="TextBody"/>
        <w:bidi w:val="0"/>
        <w:spacing w:before="0" w:after="0"/>
        <w:ind w:left="0" w:right="0" w:hanging="0"/>
        <w:jc w:val="left"/>
        <w:rPr/>
      </w:pPr>
      <w:r>
        <w:rPr/>
        <w:t>​</w:t>
      </w:r>
    </w:p>
    <w:tbl>
      <w:tblPr>
        <w:tblW w:w="9411" w:type="dxa"/>
        <w:jc w:val="left"/>
        <w:tblInd w:w="0" w:type="dxa"/>
        <w:tblLayout w:type="fixed"/>
        <w:tblCellMar>
          <w:top w:w="0" w:type="dxa"/>
          <w:left w:w="0" w:type="dxa"/>
          <w:bottom w:w="0" w:type="dxa"/>
          <w:right w:w="0" w:type="dxa"/>
        </w:tblCellMar>
      </w:tblPr>
      <w:tblGrid>
        <w:gridCol w:w="5596"/>
        <w:gridCol w:w="326"/>
        <w:gridCol w:w="230"/>
        <w:gridCol w:w="461"/>
        <w:gridCol w:w="326"/>
        <w:gridCol w:w="448"/>
        <w:gridCol w:w="737"/>
        <w:gridCol w:w="326"/>
        <w:gridCol w:w="271"/>
        <w:gridCol w:w="690"/>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553460" cy="175260"/>
                      <wp:effectExtent l="0" t="0" r="0" b="0"/>
                      <wp:wrapNone/>
                      <wp:docPr id="311" name="Frame311"/>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46050" cy="175260"/>
                      <wp:effectExtent l="0" t="0" r="0" b="0"/>
                      <wp:wrapNone/>
                      <wp:docPr id="313" name="Frame31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92735" cy="175260"/>
                      <wp:effectExtent l="0" t="0" r="0" b="0"/>
                      <wp:wrapNone/>
                      <wp:docPr id="314" name="Frame31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84480" cy="175260"/>
                      <wp:effectExtent l="0" t="0" r="0" b="0"/>
                      <wp:wrapNone/>
                      <wp:docPr id="316" name="Frame31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67995" cy="175260"/>
                      <wp:effectExtent l="0" t="0" r="0" b="0"/>
                      <wp:wrapNone/>
                      <wp:docPr id="317" name="Frame317"/>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72085" cy="175260"/>
                      <wp:effectExtent l="0" t="0" r="0" b="0"/>
                      <wp:wrapNone/>
                      <wp:docPr id="319" name="Frame3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38150" cy="175260"/>
                      <wp:effectExtent l="0" t="0" r="0" b="0"/>
                      <wp:wrapNone/>
                      <wp:docPr id="320" name="Frame32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5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46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center"/>
              <w:rPr/>
            </w:pPr>
            <w:r>
              <w:rPr/>
              <w:t>​</w:t>
            </w:r>
          </w:p>
        </w:tc>
        <w:tc>
          <w:tcPr>
            <w:tcW w:w="73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center"/>
              <w:rPr/>
            </w:pPr>
            <w:r>
              <w:rPr/>
              <w:t>​</w:t>
            </w:r>
          </w:p>
        </w:tc>
        <w:tc>
          <w:tcPr>
            <w:tcW w:w="690" w:type="dxa"/>
            <w:tcBorders/>
            <w:shd w:fill="CCEEFF" w:val="clear"/>
            <w:vAlign w:val="center"/>
          </w:tcPr>
          <w:p>
            <w:pPr>
              <w:pStyle w:val="TableContents"/>
              <w:bidi w:val="0"/>
              <w:spacing w:before="0" w:after="1"/>
              <w:ind w:left="0" w:right="0" w:hanging="0"/>
              <w:jc w:val="center"/>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Other comprehensive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46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center"/>
              <w:rPr/>
            </w:pPr>
            <w:r>
              <w:rPr/>
              <w:t>​</w:t>
            </w:r>
          </w:p>
        </w:tc>
        <w:tc>
          <w:tcPr>
            <w:tcW w:w="73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center"/>
              <w:rPr/>
            </w:pPr>
            <w:r>
              <w:rPr/>
              <w:t>​</w:t>
            </w:r>
          </w:p>
        </w:tc>
        <w:tc>
          <w:tcPr>
            <w:tcW w:w="690" w:type="dxa"/>
            <w:tcBorders/>
            <w:shd w:fill="CCEEFF" w:val="clear"/>
            <w:vAlign w:val="center"/>
          </w:tcPr>
          <w:p>
            <w:pPr>
              <w:pStyle w:val="TableContents"/>
              <w:bidi w:val="0"/>
              <w:spacing w:before="0" w:after="1"/>
              <w:ind w:left="0" w:right="0" w:hanging="0"/>
              <w:jc w:val="center"/>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vAlign w:val="center"/>
          </w:tcPr>
          <w:p>
            <w:pPr>
              <w:pStyle w:val="TableContents"/>
              <w:bidi w:val="0"/>
              <w:spacing w:before="0" w:after="1"/>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102</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532" w:name="Tc_N6KxWtymgEaE7cbsDjFGGg_25_8"/>
      <w:bookmarkStart w:id="1533" w:name="Tc_5kiFNtla2k24txr9YXYttA_25_5"/>
      <w:bookmarkStart w:id="1534" w:name="Tc_PcYwaWuN3Ee8cgcSKiSp1g_25_2"/>
      <w:bookmarkStart w:id="1535" w:name="Tc_CgjgOzdJPEuRYQt888Iq6w_25_0"/>
      <w:bookmarkStart w:id="1536" w:name="Tc_DWCP4Qtj1k6OHXUpuiieVw_24_8"/>
      <w:bookmarkStart w:id="1537" w:name="Tc_liB7WlwSWEClscUzxXnmig_24_5"/>
      <w:bookmarkStart w:id="1538" w:name="Tc_BIZyZlermkKqkaGAu74FfA_24_2"/>
      <w:bookmarkStart w:id="1539" w:name="Tc_MdhmEvHIMEqMLGTBn3NFPA_24_0"/>
      <w:bookmarkStart w:id="1540" w:name="Tc_6HnXJGspvkalCsw4BDxLPw_23_8"/>
      <w:bookmarkStart w:id="1541" w:name="Tc_vU4gLagU406A4TA9sg-svg_23_5"/>
      <w:bookmarkStart w:id="1542" w:name="Tc_68I8ewbOt0GK6S373ZZhlQ_23_2"/>
      <w:bookmarkStart w:id="1543" w:name="Tc_fsz1Iz1j6k2PILw45jsN9Q_23_0"/>
      <w:bookmarkStart w:id="1544" w:name="Tc_edwpZXfjxkau6nPxm-FzZw_22_9"/>
      <w:bookmarkStart w:id="1545" w:name="Tc_TfEx1WIfck-tbk7W_1i9lA_22_6"/>
      <w:bookmarkStart w:id="1546" w:name="Tc_nh8SOh3BNUiBSYhwElmkaA_22_3"/>
      <w:bookmarkStart w:id="1547" w:name="Tc_Sj2vuYq0e0OUO4g_FF3UVA_22_0"/>
      <w:bookmarkStart w:id="1548" w:name="Tc_MGrrw8GhQEe5VCqZF3P8oA_21_8"/>
      <w:bookmarkStart w:id="1549" w:name="Tc_EebtUtnESUiAh6Go0KmrTA_21_5"/>
      <w:bookmarkStart w:id="1550" w:name="Tc_VoNUUux_kkCbu_2HD-WaIQ_21_2"/>
      <w:bookmarkStart w:id="1551" w:name="Tc_lMs59ALuWkaVniQg3MsAvQ_21_0"/>
      <w:bookmarkStart w:id="1552" w:name="Tc_uV-zyYWbNEK17ntwwgYDAQ_20_0"/>
      <w:bookmarkStart w:id="1553" w:name="Tc_GYbZVsLhoUmb1u904JxP1A_19_8"/>
      <w:bookmarkStart w:id="1554" w:name="Tc_247oo1T13UqJk-FBIlI8Mg_19_6"/>
      <w:bookmarkStart w:id="1555" w:name="Tc_kluzh4zwFU670zAmXKGL4g_19_5"/>
      <w:bookmarkStart w:id="1556" w:name="Tc_gkxCsvxyzE6stES7voa5Ew_19_2"/>
      <w:bookmarkStart w:id="1557" w:name="Tc_cpzuoYzBqEe_o6kZDeK7Jw_19_0"/>
      <w:bookmarkStart w:id="1558" w:name="Tc_fiSPtn6jGEGVl8Y3uIj3aA_18_6"/>
      <w:bookmarkStart w:id="1559" w:name="Tc_xeYjJFcB70-zeMbvuK8mGA_18_0"/>
      <w:bookmarkStart w:id="1560" w:name="Tc_KBbZjOJbRki1P3QAg8hunQ_17_8"/>
      <w:bookmarkStart w:id="1561" w:name="Tc_W_BE0gdBDEmy_UJ_fI3QBg_17_6"/>
      <w:bookmarkStart w:id="1562" w:name="Tc_J0PRb5JljEihX8RkLpGn8g_17_5"/>
      <w:bookmarkStart w:id="1563" w:name="Tc_5SMOnZKZ6kikQw-jqnnYTA_17_2"/>
      <w:bookmarkStart w:id="1564" w:name="Tc_CeaIC3Co60KoxZKMEITUKw_17_0"/>
      <w:bookmarkStart w:id="1565" w:name="Tc_B7Lp3cySVESwL2OghIIi7Q_16_0"/>
      <w:bookmarkStart w:id="1566" w:name="Tc_j_D8cCVY0kul_ZYU-nLc7Q_15_0"/>
      <w:bookmarkStart w:id="1567" w:name="Tc_ZKoofZKvd0yKhZGI6lFvjg_13_8"/>
      <w:bookmarkStart w:id="1568" w:name="Tc_MpJMTEd0uEmPsSFaBXN43A_13_5"/>
      <w:bookmarkStart w:id="1569" w:name="Tc_DWO5ip6q5Ey3zdSM4FTnsg_13_2"/>
      <w:bookmarkStart w:id="1570" w:name="Tc_K8T3e23hok-ImNlxKZgoRg_13_0"/>
      <w:bookmarkStart w:id="1571" w:name="Tc_EcaZHpST9E2tBPzJVT50kA_12_8"/>
      <w:bookmarkStart w:id="1572" w:name="Tc_k7FMnlBRB0W6dvdxOGm8UA_12_5"/>
      <w:bookmarkStart w:id="1573" w:name="Tc_DbAQlsHSoUKXh-L7HpCP7g_12_2"/>
      <w:bookmarkStart w:id="1574" w:name="Tc_fnRKEPadXEOGc57kroDpYA_12_0"/>
      <w:bookmarkStart w:id="1575" w:name="Tc_hEOcHbtAbkGoMC8eaZvsxg_11_9"/>
      <w:bookmarkStart w:id="1576" w:name="Tc_m77JG6D3Tk615IF8G6t7uw_11_8"/>
      <w:bookmarkStart w:id="1577" w:name="Tc_I30_iE2IIUmuDAVWCJIhHQ_11_5"/>
      <w:bookmarkStart w:id="1578" w:name="Tc_9VRXBVNyd0KWO0TISYS8SQ_11_2"/>
      <w:bookmarkStart w:id="1579" w:name="Tc_IAX3qNq-H0ClYEctvXvspg_11_0"/>
      <w:bookmarkStart w:id="1580" w:name="Tc_I0cu5AzpaUadkmdgac3oDg_10_0"/>
      <w:bookmarkStart w:id="1581" w:name="Tc_6nc2FzUoq0aaD1d3ygpzXQ_9_8"/>
      <w:bookmarkStart w:id="1582" w:name="Tc_phVjWxwaak-anCmWPAsBgQ_9_6"/>
      <w:bookmarkStart w:id="1583" w:name="Tc_aJYEuUMr6kiuQDXAXZOwQw_9_5"/>
      <w:bookmarkStart w:id="1584" w:name="Tc_hjw-8cDgzk6fuGXvwYFJYQ_9_2"/>
      <w:bookmarkStart w:id="1585" w:name="Tc_w71X3YQE5U-OtZVncOX2zA_9_0"/>
      <w:bookmarkStart w:id="1586" w:name="Tc_C-o2DKjmskWb0yN9gHUHgA_8_0"/>
      <w:bookmarkStart w:id="1587" w:name="Tc_SyJlFzFdJky_n5CUc_mUig_7_8"/>
      <w:bookmarkStart w:id="1588" w:name="Tc_jgtC3DI12EOXa2-uvidqlQ_7_6"/>
      <w:bookmarkStart w:id="1589" w:name="Tc_HJO75_pwwEyCR6s89nzfIw_7_5"/>
      <w:bookmarkStart w:id="1590" w:name="Tc_VlzToXYHik2gm5pfBmroUg_7_2"/>
      <w:bookmarkStart w:id="1591" w:name="Tc_PmERY8fcYky2mA62Lg5J_Q_7_0"/>
      <w:bookmarkStart w:id="1592" w:name="Tc_kaLe2tJqpkK8mL7zAJ2qtw_6_6"/>
      <w:bookmarkStart w:id="1593" w:name="Tc_aqBEe9nRMUuBUqfaxlUG_w_6_0"/>
      <w:bookmarkStart w:id="1594" w:name="Tc_E-oH59T9KUS3IxWoPGvq1w_5_8"/>
      <w:bookmarkStart w:id="1595" w:name="Tc_zv5uawXyy0KPuKyc2195Xg_5_6"/>
      <w:bookmarkStart w:id="1596" w:name="Tc_odNquw_VQUePBfnrun3wFQ_5_5"/>
      <w:bookmarkStart w:id="1597" w:name="Tc_rFj1BE4RlUm53rpehbPVpQ_5_2"/>
      <w:bookmarkStart w:id="1598" w:name="Tc_vTti7cY8dUuUSkQptXIPCw_5_0"/>
      <w:bookmarkStart w:id="1599" w:name="Tc_p2wFTR_hSEWUgEQjZNzY9w_4_0"/>
      <w:bookmarkStart w:id="1600" w:name="Tc_yJbzDxverUuxAyzDwOBgsQ_3_0"/>
      <w:bookmarkStart w:id="1601" w:name="Tc_pbP_cP5hW0akxJLpaSLQ8g_2_8"/>
      <w:bookmarkStart w:id="1602" w:name="Tc_RMtx_ZYE8kK1bndYpn69Kw_2_5"/>
      <w:bookmarkStart w:id="1603" w:name="Tc_tEf4oy_hqkOMn4jD3Eob1g_2_2"/>
      <w:bookmarkStart w:id="1604" w:name="Tc_nHaZT3Apfkucul50OYkpHw_2_0"/>
      <w:bookmarkStart w:id="1605" w:name="Tc_X9s8zwKH6Ei7HDPB5U1xaA_1_8"/>
      <w:bookmarkStart w:id="1606" w:name="Tc_lVr3Ao_d4EKaj2QsuvkdyQ_1_5"/>
      <w:bookmarkStart w:id="1607" w:name="Tc_u7x8VcCzyU6mfOVAMxw61g_1_2"/>
      <w:bookmarkStart w:id="1608" w:name="_cefa204f_de02_4d5d_abd8_1bb9f45e48fe"/>
      <w:bookmarkStart w:id="1609" w:name="Tc_N6KxWtymgEaE7cbsDjFGGg_25_8"/>
      <w:bookmarkStart w:id="1610" w:name="Tc_5kiFNtla2k24txr9YXYttA_25_5"/>
      <w:bookmarkStart w:id="1611" w:name="Tc_PcYwaWuN3Ee8cgcSKiSp1g_25_2"/>
      <w:bookmarkStart w:id="1612" w:name="Tc_CgjgOzdJPEuRYQt888Iq6w_25_0"/>
      <w:bookmarkStart w:id="1613" w:name="Tc_DWCP4Qtj1k6OHXUpuiieVw_24_8"/>
      <w:bookmarkStart w:id="1614" w:name="Tc_liB7WlwSWEClscUzxXnmig_24_5"/>
      <w:bookmarkStart w:id="1615" w:name="Tc_BIZyZlermkKqkaGAu74FfA_24_2"/>
      <w:bookmarkStart w:id="1616" w:name="Tc_MdhmEvHIMEqMLGTBn3NFPA_24_0"/>
      <w:bookmarkStart w:id="1617" w:name="Tc_6HnXJGspvkalCsw4BDxLPw_23_8"/>
      <w:bookmarkStart w:id="1618" w:name="Tc_vU4gLagU406A4TA9sg-svg_23_5"/>
      <w:bookmarkStart w:id="1619" w:name="Tc_68I8ewbOt0GK6S373ZZhlQ_23_2"/>
      <w:bookmarkStart w:id="1620" w:name="Tc_fsz1Iz1j6k2PILw45jsN9Q_23_0"/>
      <w:bookmarkStart w:id="1621" w:name="Tc_edwpZXfjxkau6nPxm-FzZw_22_9"/>
      <w:bookmarkStart w:id="1622" w:name="Tc_TfEx1WIfck-tbk7W_1i9lA_22_6"/>
      <w:bookmarkStart w:id="1623" w:name="Tc_nh8SOh3BNUiBSYhwElmkaA_22_3"/>
      <w:bookmarkStart w:id="1624" w:name="Tc_Sj2vuYq0e0OUO4g_FF3UVA_22_0"/>
      <w:bookmarkStart w:id="1625" w:name="Tc_MGrrw8GhQEe5VCqZF3P8oA_21_8"/>
      <w:bookmarkStart w:id="1626" w:name="Tc_EebtUtnESUiAh6Go0KmrTA_21_5"/>
      <w:bookmarkStart w:id="1627" w:name="Tc_VoNUUux_kkCbu_2HD-WaIQ_21_2"/>
      <w:bookmarkStart w:id="1628" w:name="Tc_lMs59ALuWkaVniQg3MsAvQ_21_0"/>
      <w:bookmarkStart w:id="1629" w:name="Tc_uV-zyYWbNEK17ntwwgYDAQ_20_0"/>
      <w:bookmarkStart w:id="1630" w:name="Tc_GYbZVsLhoUmb1u904JxP1A_19_8"/>
      <w:bookmarkStart w:id="1631" w:name="Tc_247oo1T13UqJk-FBIlI8Mg_19_6"/>
      <w:bookmarkStart w:id="1632" w:name="Tc_kluzh4zwFU670zAmXKGL4g_19_5"/>
      <w:bookmarkStart w:id="1633" w:name="Tc_gkxCsvxyzE6stES7voa5Ew_19_2"/>
      <w:bookmarkStart w:id="1634" w:name="Tc_cpzuoYzBqEe_o6kZDeK7Jw_19_0"/>
      <w:bookmarkStart w:id="1635" w:name="Tc_fiSPtn6jGEGVl8Y3uIj3aA_18_6"/>
      <w:bookmarkStart w:id="1636" w:name="Tc_xeYjJFcB70-zeMbvuK8mGA_18_0"/>
      <w:bookmarkStart w:id="1637" w:name="Tc_KBbZjOJbRki1P3QAg8hunQ_17_8"/>
      <w:bookmarkStart w:id="1638" w:name="Tc_W_BE0gdBDEmy_UJ_fI3QBg_17_6"/>
      <w:bookmarkStart w:id="1639" w:name="Tc_J0PRb5JljEihX8RkLpGn8g_17_5"/>
      <w:bookmarkStart w:id="1640" w:name="Tc_5SMOnZKZ6kikQw-jqnnYTA_17_2"/>
      <w:bookmarkStart w:id="1641" w:name="Tc_CeaIC3Co60KoxZKMEITUKw_17_0"/>
      <w:bookmarkStart w:id="1642" w:name="Tc_B7Lp3cySVESwL2OghIIi7Q_16_0"/>
      <w:bookmarkStart w:id="1643" w:name="Tc_j_D8cCVY0kul_ZYU-nLc7Q_15_0"/>
      <w:bookmarkStart w:id="1644" w:name="Tc_ZKoofZKvd0yKhZGI6lFvjg_13_8"/>
      <w:bookmarkStart w:id="1645" w:name="Tc_MpJMTEd0uEmPsSFaBXN43A_13_5"/>
      <w:bookmarkStart w:id="1646" w:name="Tc_DWO5ip6q5Ey3zdSM4FTnsg_13_2"/>
      <w:bookmarkStart w:id="1647" w:name="Tc_K8T3e23hok-ImNlxKZgoRg_13_0"/>
      <w:bookmarkStart w:id="1648" w:name="Tc_EcaZHpST9E2tBPzJVT50kA_12_8"/>
      <w:bookmarkStart w:id="1649" w:name="Tc_k7FMnlBRB0W6dvdxOGm8UA_12_5"/>
      <w:bookmarkStart w:id="1650" w:name="Tc_DbAQlsHSoUKXh-L7HpCP7g_12_2"/>
      <w:bookmarkStart w:id="1651" w:name="Tc_fnRKEPadXEOGc57kroDpYA_12_0"/>
      <w:bookmarkStart w:id="1652" w:name="Tc_hEOcHbtAbkGoMC8eaZvsxg_11_9"/>
      <w:bookmarkStart w:id="1653" w:name="Tc_m77JG6D3Tk615IF8G6t7uw_11_8"/>
      <w:bookmarkStart w:id="1654" w:name="Tc_I30_iE2IIUmuDAVWCJIhHQ_11_5"/>
      <w:bookmarkStart w:id="1655" w:name="Tc_9VRXBVNyd0KWO0TISYS8SQ_11_2"/>
      <w:bookmarkStart w:id="1656" w:name="Tc_IAX3qNq-H0ClYEctvXvspg_11_0"/>
      <w:bookmarkStart w:id="1657" w:name="Tc_I0cu5AzpaUadkmdgac3oDg_10_0"/>
      <w:bookmarkStart w:id="1658" w:name="Tc_6nc2FzUoq0aaD1d3ygpzXQ_9_8"/>
      <w:bookmarkStart w:id="1659" w:name="Tc_phVjWxwaak-anCmWPAsBgQ_9_6"/>
      <w:bookmarkStart w:id="1660" w:name="Tc_aJYEuUMr6kiuQDXAXZOwQw_9_5"/>
      <w:bookmarkStart w:id="1661" w:name="Tc_hjw-8cDgzk6fuGXvwYFJYQ_9_2"/>
      <w:bookmarkStart w:id="1662" w:name="Tc_w71X3YQE5U-OtZVncOX2zA_9_0"/>
      <w:bookmarkStart w:id="1663" w:name="Tc_C-o2DKjmskWb0yN9gHUHgA_8_0"/>
      <w:bookmarkStart w:id="1664" w:name="Tc_SyJlFzFdJky_n5CUc_mUig_7_8"/>
      <w:bookmarkStart w:id="1665" w:name="Tc_jgtC3DI12EOXa2-uvidqlQ_7_6"/>
      <w:bookmarkStart w:id="1666" w:name="Tc_HJO75_pwwEyCR6s89nzfIw_7_5"/>
      <w:bookmarkStart w:id="1667" w:name="Tc_VlzToXYHik2gm5pfBmroUg_7_2"/>
      <w:bookmarkStart w:id="1668" w:name="Tc_PmERY8fcYky2mA62Lg5J_Q_7_0"/>
      <w:bookmarkStart w:id="1669" w:name="Tc_kaLe2tJqpkK8mL7zAJ2qtw_6_6"/>
      <w:bookmarkStart w:id="1670" w:name="Tc_aqBEe9nRMUuBUqfaxlUG_w_6_0"/>
      <w:bookmarkStart w:id="1671" w:name="Tc_E-oH59T9KUS3IxWoPGvq1w_5_8"/>
      <w:bookmarkStart w:id="1672" w:name="Tc_zv5uawXyy0KPuKyc2195Xg_5_6"/>
      <w:bookmarkStart w:id="1673" w:name="Tc_odNquw_VQUePBfnrun3wFQ_5_5"/>
      <w:bookmarkStart w:id="1674" w:name="Tc_rFj1BE4RlUm53rpehbPVpQ_5_2"/>
      <w:bookmarkStart w:id="1675" w:name="Tc_vTti7cY8dUuUSkQptXIPCw_5_0"/>
      <w:bookmarkStart w:id="1676" w:name="Tc_p2wFTR_hSEWUgEQjZNzY9w_4_0"/>
      <w:bookmarkStart w:id="1677" w:name="Tc_yJbzDxverUuxAyzDwOBgsQ_3_0"/>
      <w:bookmarkStart w:id="1678" w:name="Tc_pbP_cP5hW0akxJLpaSLQ8g_2_8"/>
      <w:bookmarkStart w:id="1679" w:name="Tc_RMtx_ZYE8kK1bndYpn69Kw_2_5"/>
      <w:bookmarkStart w:id="1680" w:name="Tc_tEf4oy_hqkOMn4jD3Eob1g_2_2"/>
      <w:bookmarkStart w:id="1681" w:name="Tc_nHaZT3Apfkucul50OYkpHw_2_0"/>
      <w:bookmarkStart w:id="1682" w:name="Tc_X9s8zwKH6Ei7HDPB5U1xaA_1_8"/>
      <w:bookmarkStart w:id="1683" w:name="Tc_lVr3Ao_d4EKaj2QsuvkdyQ_1_5"/>
      <w:bookmarkStart w:id="1684" w:name="Tc_u7x8VcCzyU6mfOVAMxw61g_1_2"/>
      <w:bookmarkStart w:id="1685" w:name="_cefa204f_de02_4d5d_abd8_1bb9f45e48fe"/>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p>
    <w:tbl>
      <w:tblPr>
        <w:tblW w:w="9472" w:type="dxa"/>
        <w:jc w:val="left"/>
        <w:tblInd w:w="0" w:type="dxa"/>
        <w:tblLayout w:type="fixed"/>
        <w:tblCellMar>
          <w:top w:w="0" w:type="dxa"/>
          <w:left w:w="0" w:type="dxa"/>
          <w:bottom w:w="0" w:type="dxa"/>
          <w:right w:w="0" w:type="dxa"/>
        </w:tblCellMar>
      </w:tblPr>
      <w:tblGrid>
        <w:gridCol w:w="5596"/>
        <w:gridCol w:w="326"/>
        <w:gridCol w:w="211"/>
        <w:gridCol w:w="541"/>
        <w:gridCol w:w="326"/>
        <w:gridCol w:w="448"/>
        <w:gridCol w:w="737"/>
        <w:gridCol w:w="326"/>
        <w:gridCol w:w="275"/>
        <w:gridCol w:w="686"/>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553460" cy="175260"/>
                      <wp:effectExtent l="0" t="0" r="0" b="0"/>
                      <wp:wrapNone/>
                      <wp:docPr id="321" name="Frame321"/>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43535" cy="175260"/>
                      <wp:effectExtent l="0" t="0" r="0" b="0"/>
                      <wp:wrapNone/>
                      <wp:docPr id="324" name="Frame32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84480" cy="175260"/>
                      <wp:effectExtent l="0" t="0" r="0" b="0"/>
                      <wp:wrapNone/>
                      <wp:docPr id="326" name="Frame32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67995" cy="175260"/>
                      <wp:effectExtent l="0" t="0" r="0" b="0"/>
                      <wp:wrapNone/>
                      <wp:docPr id="327" name="Frame327"/>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74625" cy="175260"/>
                      <wp:effectExtent l="0" t="0" r="0" b="0"/>
                      <wp:wrapNone/>
                      <wp:docPr id="329" name="Frame32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35610" cy="175260"/>
                      <wp:effectExtent l="0" t="0" r="0" b="0"/>
                      <wp:wrapNone/>
                      <wp:docPr id="330" name="Frame33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5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September 30, 2024:</w:t>
            </w:r>
          </w:p>
        </w:tc>
        <w:tc>
          <w:tcPr>
            <w:tcW w:w="326" w:type="dxa"/>
            <w:tcBorders/>
            <w:shd w:fill="CCEEFF" w:val="clear"/>
            <w:vAlign w:val="center"/>
          </w:tcPr>
          <w:p>
            <w:pPr>
              <w:pStyle w:val="TableContents"/>
              <w:bidi w:val="0"/>
              <w:spacing w:before="0" w:after="0"/>
              <w:ind w:left="0" w:right="0" w:hanging="0"/>
              <w:jc w:val="center"/>
              <w:rPr/>
            </w:pPr>
            <w:r>
              <w:rPr/>
              <w:t>    </w:t>
            </w:r>
          </w:p>
        </w:tc>
        <w:tc>
          <w:tcPr>
            <w:tcW w:w="752"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85"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61" w:type="dxa"/>
            <w:gridSpan w:val="2"/>
            <w:tcBorders/>
            <w:shd w:fill="CCEEFF" w:val="clear"/>
            <w:vAlign w:val="center"/>
          </w:tcPr>
          <w:p>
            <w:pPr>
              <w:pStyle w:val="TableContents"/>
              <w:bidi w:val="0"/>
              <w:spacing w:before="0" w:after="0"/>
              <w:ind w:left="0" w:right="0" w:hanging="0"/>
              <w:jc w:val="center"/>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 – amortization of net (gains) losses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comprehensive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686" w:name="Tc_16QPR7Cg9ka_Q8A0mP-JUQ_11_11"/>
      <w:bookmarkStart w:id="1687" w:name="Tc_EYYvqGeQsUiPCNTseiwScA_11_8"/>
      <w:bookmarkStart w:id="1688" w:name="Tc_PXMe_pxHh0mQJT2MNx-A5w_11_5"/>
      <w:bookmarkStart w:id="1689" w:name="Tc_ZoiaN7yrGEy_KLjb09MTyA_11_2"/>
      <w:bookmarkStart w:id="1690" w:name="Tc_BFh8FDEKk0yv3hGsDVKMIA_11_0"/>
      <w:bookmarkStart w:id="1691" w:name="Tc_yNBYk1ADhUG7bibBgozT8Q_10_0"/>
      <w:bookmarkStart w:id="1692" w:name="Tc_s8biHXM0m0e7gw82HDALfQ_9_11"/>
      <w:bookmarkStart w:id="1693" w:name="Tc_0MIjL7WCEUeCY-0AMW0kZA_9_8"/>
      <w:bookmarkStart w:id="1694" w:name="Tc_boE9U-u66EWaJgdz8KD5iA_9_5"/>
      <w:bookmarkStart w:id="1695" w:name="Tc_3Enl0YdIRkqrnQmxQH3zJw_9_3"/>
      <w:bookmarkStart w:id="1696" w:name="Tc_JI0eT9dyekOM772oFcrDwg_9_2"/>
      <w:bookmarkStart w:id="1697" w:name="Tc_5eZhtb9RD0mcPZPmwMRdWg_9_0"/>
      <w:bookmarkStart w:id="1698" w:name="Tc_qlGmPoHxW06U46FxTUfKlg_7_11"/>
      <w:bookmarkStart w:id="1699" w:name="Tc_beDiWT-zFE2qFsJGViCPsg_7_8"/>
      <w:bookmarkStart w:id="1700" w:name="Tc_rja2aC7L8EWVJCiYyFbgMw_7_5"/>
      <w:bookmarkStart w:id="1701" w:name="Tc_k5z_kCUmTkyC4n0MRAjdnQ_7_3"/>
      <w:bookmarkStart w:id="1702" w:name="Tc_TPG0C_NCVkWf0hVzbxdxHg_7_2"/>
      <w:bookmarkStart w:id="1703" w:name="Tc_pxCJN9zLMEi_JUKkepKSWw_7_0"/>
      <w:bookmarkStart w:id="1704" w:name="Tc_ke-MHhz4Mk2QGRoo7227fg_6_3"/>
      <w:bookmarkStart w:id="1705" w:name="Tc_Uc8WUyMqRkGo7WaiVrP_Ng_6_0"/>
      <w:bookmarkStart w:id="1706" w:name="Tc_1BsurrYwpE6IprJZwmhPKQ_5_11"/>
      <w:bookmarkStart w:id="1707" w:name="Tc_zzRvPNSzfkSn7Y1tOR6HTg_5_8"/>
      <w:bookmarkStart w:id="1708" w:name="Tc_Cb9CtENOpkuK3SzD8uDtYw_5_5"/>
      <w:bookmarkStart w:id="1709" w:name="Tc_ho0WlOhk_EyQj_GPTGnmQw_5_2"/>
      <w:bookmarkStart w:id="1710" w:name="Tc_8-hlXRTBqECzho5ZIOGcMg_5_0"/>
      <w:bookmarkStart w:id="1711" w:name="Tc_rq7Ci2fnI0OsmPIH_MX3WA_4_11"/>
      <w:bookmarkStart w:id="1712" w:name="Tc_rmKqNVwpzEicqiSJFtK5vw_4_8"/>
      <w:bookmarkStart w:id="1713" w:name="Tc_t7wm5E_AlkWSWVaFZ1cD1Q_4_5"/>
      <w:bookmarkStart w:id="1714" w:name="Tc_FK8CEo5P00Ggr7YldgMcbQ_4_2"/>
      <w:bookmarkStart w:id="1715" w:name="Tc_K0UgTV89LEWxrTokUeze9Q_4_0"/>
      <w:bookmarkStart w:id="1716" w:name="Tc_OlxwF7rvTE2XkbgKFrRF7g_3_11"/>
      <w:bookmarkStart w:id="1717" w:name="Tc_jfTh8VzSi0y6EHlEu37Q0Q_3_8"/>
      <w:bookmarkStart w:id="1718" w:name="Tc_K-7_g69wukePJZJnd-ZrsQ_3_5"/>
      <w:bookmarkStart w:id="1719" w:name="Tc_3BFl396bSUqtuOAlk_rNBw_3_2"/>
      <w:bookmarkStart w:id="1720" w:name="Tc_ZAnZsp22skiaHHAPPEw2LA_2_11"/>
      <w:bookmarkStart w:id="1721" w:name="Tc_WbuvUJy7oUePBwd2-z12-Q_2_8"/>
      <w:bookmarkStart w:id="1722" w:name="Tc_4xQcwrmfV0SpnZNsEYJjDg_2_5"/>
      <w:bookmarkStart w:id="1723" w:name="Tc_jIqWw1UfQE-i5x1zhlGkcQ_2_2"/>
      <w:bookmarkStart w:id="1724" w:name="Tc_25BQfnRCsEy54o2b_8RPbQ_1_11"/>
      <w:bookmarkStart w:id="1725" w:name="Tc_Bzxo4R1AW0iRDOm2ITyPjg_1_8"/>
      <w:bookmarkStart w:id="1726" w:name="Tc_5zEUhBOgwEy46UjCIZyGbg_1_5"/>
      <w:bookmarkStart w:id="1727" w:name="Tc_ugYdG-oZ-Uicqjp7yJ8wjg_1_2"/>
      <w:bookmarkStart w:id="1728" w:name="_b41a7b62_b1fe_468e_9b63_3568e9e0dcfb"/>
      <w:bookmarkStart w:id="1729" w:name="Tc_t9LtNNtxdk-xOCWN67L_ig_11_11"/>
      <w:bookmarkStart w:id="1730" w:name="Tc_AthlO7KSI0q7nccULf3sRw_11_8"/>
      <w:bookmarkStart w:id="1731" w:name="Tc_M9wzxeoMJ0iSBoDOPe1d4g_11_5"/>
      <w:bookmarkStart w:id="1732" w:name="Tc_xoE3WtHgrUymsGp_a5Ic4Q_11_2"/>
      <w:bookmarkStart w:id="1733" w:name="Tc_aNNZRGDMEUmyvSMHq9CA_Q_11_0"/>
      <w:bookmarkStart w:id="1734" w:name="Tc_Fl9n9FLej0KfETXeImo3xA_10_0"/>
      <w:bookmarkStart w:id="1735" w:name="Tc_i3G6TCVDw0-R59hsQcBeEg_9_11"/>
      <w:bookmarkStart w:id="1736" w:name="Tc_Z953kmDJBEK-uTK9yzSIYg_9_8"/>
      <w:bookmarkStart w:id="1737" w:name="Tc_ANG5APU4HkSwcTlfO2qpNw_9_5"/>
      <w:bookmarkStart w:id="1738" w:name="Tc_8PJC1Bsrv0aA3jToPJSzqA_9_2"/>
      <w:bookmarkStart w:id="1739" w:name="Tc_V2yfhZvhsEG6sF9fQUVyjQ_9_0"/>
      <w:bookmarkStart w:id="1740" w:name="Tc_Wk0-1T9g_02LdSK1X8VxQw_7_11"/>
      <w:bookmarkStart w:id="1741" w:name="Tc_Xfm_2dKW4EGCaV_FmBsolQ_7_8"/>
      <w:bookmarkStart w:id="1742" w:name="Tc_M1jO4M09cU2yeG9YJWb3kw_7_5"/>
      <w:bookmarkStart w:id="1743" w:name="Tc_wpwLaTYArkiqoDpSOlQqPQ_7_3"/>
      <w:bookmarkStart w:id="1744" w:name="Tc_Kis_VTRpoUey1Yd7fU5UoQ_7_2"/>
      <w:bookmarkStart w:id="1745" w:name="Tc_meYVGmMb9kq0rnnHdDTLuw_7_0"/>
      <w:bookmarkStart w:id="1746" w:name="Tc_MPSQlKUOcUmD0dWS7P9F2Q_6_0"/>
      <w:bookmarkStart w:id="1747" w:name="Tc_95Gelokn7UqnZMzsltXPlw_5_11"/>
      <w:bookmarkStart w:id="1748" w:name="Tc_-zZ8R7ebX0aq6bLAAO5fKw_5_8"/>
      <w:bookmarkStart w:id="1749" w:name="Tc_nLjpfIuk-ky_51JmlCvyOw_5_5"/>
      <w:bookmarkStart w:id="1750" w:name="Tc_KlKHtZ6nnUalXiyW0J7Vjw_5_2"/>
      <w:bookmarkStart w:id="1751" w:name="Tc_PjeUsZ7HhECh4oUB1o9wvw_5_0"/>
      <w:bookmarkStart w:id="1752" w:name="Tc_eXH9dHv1XUGaODbW6vtxNQ_4_11"/>
      <w:bookmarkStart w:id="1753" w:name="Tc_Zv-EM4MzL0aRUFnCOUJ5tQ_4_8"/>
      <w:bookmarkStart w:id="1754" w:name="Tc_0nKp_thj9U2SF3DItLy9-w_4_5"/>
      <w:bookmarkStart w:id="1755" w:name="Tc_1IiHtlc84kSGmL1ogU_jTg_4_2"/>
      <w:bookmarkStart w:id="1756" w:name="Tc_0D3pEWpEdEqCrf_4_LEhWQ_4_0"/>
      <w:bookmarkStart w:id="1757" w:name="Tc_7JRSGc4lPUaB9YqwStZTdA_3_11"/>
      <w:bookmarkStart w:id="1758" w:name="Tc_RBjP6zmPjketx-NkQkUJ7Q_3_8"/>
      <w:bookmarkStart w:id="1759" w:name="Tc_K7UWWlUjiUSIemRNDuR27w_3_5"/>
      <w:bookmarkStart w:id="1760" w:name="Tc_3CuKmtIJzEqjxNsKyyzHHw_3_2"/>
      <w:bookmarkStart w:id="1761" w:name="Tc_JKS5PQe6mkmRhm_Pnmb4AA_2_11"/>
      <w:bookmarkStart w:id="1762" w:name="Tc_XIljRVGaMEavUYI-2NoS9Q_2_8"/>
      <w:bookmarkStart w:id="1763" w:name="Tc_z0UNz7AxVUWoqGR-pk0y8Q_2_5"/>
      <w:bookmarkStart w:id="1764" w:name="Tc_k4mwQUKJP0av_8kQ-F6o1g_2_2"/>
      <w:bookmarkStart w:id="1765" w:name="Tc_eZXz86W5Gk-GqxTXxNzjjQ_1_11"/>
      <w:bookmarkStart w:id="1766" w:name="Tc_ZKS3WnzP80KTZVyOq302kw_1_8"/>
      <w:bookmarkStart w:id="1767" w:name="Tc_f59f-v13ckiAnD5IzikVkQ_1_5"/>
      <w:bookmarkStart w:id="1768" w:name="Tc_LbaK_05bHEOWdT5HG6I7bg_1_2"/>
      <w:bookmarkStart w:id="1769" w:name="_e67a4821_bd3b_47a1_ac6e_f848038f026b"/>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r>
        <w:rPr>
          <w:rFonts w:ascii="Times New Roman;Times;serif" w:hAnsi="Times New Roman;Times;serif"/>
          <w:sz w:val="20"/>
        </w:rPr>
        <w:t>The following tables present the components of accumulated other comprehensive income (loss), net of taxes:</w:t>
      </w:r>
    </w:p>
    <w:p>
      <w:pPr>
        <w:pStyle w:val="TextBody"/>
        <w:bidi w:val="0"/>
        <w:spacing w:before="0" w:after="0"/>
        <w:ind w:left="0" w:right="0" w:firstLine="720"/>
        <w:jc w:val="left"/>
        <w:rPr/>
      </w:pPr>
      <w:r>
        <w:rPr/>
        <w:t>​</w:t>
      </w:r>
    </w:p>
    <w:tbl>
      <w:tblPr>
        <w:tblW w:w="8432" w:type="dxa"/>
        <w:jc w:val="left"/>
        <w:tblInd w:w="0" w:type="dxa"/>
        <w:tblLayout w:type="fixed"/>
        <w:tblCellMar>
          <w:top w:w="0" w:type="dxa"/>
          <w:left w:w="0" w:type="dxa"/>
          <w:bottom w:w="0" w:type="dxa"/>
          <w:right w:w="0" w:type="dxa"/>
        </w:tblCellMar>
      </w:tblPr>
      <w:tblGrid>
        <w:gridCol w:w="2971"/>
        <w:gridCol w:w="326"/>
        <w:gridCol w:w="425"/>
        <w:gridCol w:w="760"/>
        <w:gridCol w:w="109"/>
        <w:gridCol w:w="274"/>
        <w:gridCol w:w="821"/>
        <w:gridCol w:w="32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886585" cy="175260"/>
                      <wp:effectExtent l="0" t="0" r="0" b="0"/>
                      <wp:wrapNone/>
                      <wp:docPr id="331" name="Frame331"/>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69875" cy="175260"/>
                      <wp:effectExtent l="0" t="0" r="0" b="0"/>
                      <wp:wrapNone/>
                      <wp:docPr id="333" name="Frame333"/>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82600" cy="175260"/>
                      <wp:effectExtent l="0" t="0" r="0" b="0"/>
                      <wp:wrapNone/>
                      <wp:docPr id="334" name="Frame334"/>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9215" cy="175260"/>
                      <wp:effectExtent l="0" t="0" r="0" b="0"/>
                      <wp:wrapNone/>
                      <wp:docPr id="335" name="Frame3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73990" cy="175260"/>
                      <wp:effectExtent l="0" t="0" r="0" b="0"/>
                      <wp:wrapNone/>
                      <wp:docPr id="336" name="Frame33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21335" cy="175260"/>
                      <wp:effectExtent l="0" t="0" r="0" b="0"/>
                      <wp:wrapNone/>
                      <wp:docPr id="337" name="Frame337"/>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3200" cy="175260"/>
                      <wp:effectExtent l="0" t="0" r="0" b="0"/>
                      <wp:wrapNone/>
                      <wp:docPr id="339" name="Frame339"/>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63550" cy="175260"/>
                      <wp:effectExtent l="0" t="0" r="0" b="0"/>
                      <wp:wrapNone/>
                      <wp:docPr id="340" name="Frame34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89865" cy="175260"/>
                      <wp:effectExtent l="0" t="0" r="0" b="0"/>
                      <wp:wrapNone/>
                      <wp:docPr id="342" name="Frame34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10870" cy="175260"/>
                      <wp:effectExtent l="0" t="0" r="0" b="0"/>
                      <wp:wrapNone/>
                      <wp:docPr id="343" name="Frame343"/>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0"/>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2025</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2024</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8432" w:type="dxa"/>
        <w:jc w:val="left"/>
        <w:tblInd w:w="0" w:type="dxa"/>
        <w:tblLayout w:type="fixed"/>
        <w:tblCellMar>
          <w:top w:w="0" w:type="dxa"/>
          <w:left w:w="0" w:type="dxa"/>
          <w:bottom w:w="0" w:type="dxa"/>
          <w:right w:w="0" w:type="dxa"/>
        </w:tblCellMar>
      </w:tblPr>
      <w:tblGrid>
        <w:gridCol w:w="2971"/>
        <w:gridCol w:w="326"/>
        <w:gridCol w:w="425"/>
        <w:gridCol w:w="760"/>
        <w:gridCol w:w="109"/>
        <w:gridCol w:w="274"/>
        <w:gridCol w:w="821"/>
        <w:gridCol w:w="32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886585" cy="175260"/>
                      <wp:effectExtent l="0" t="0" r="0" b="0"/>
                      <wp:wrapNone/>
                      <wp:docPr id="344" name="Frame344"/>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69875" cy="175260"/>
                      <wp:effectExtent l="0" t="0" r="0" b="0"/>
                      <wp:wrapNone/>
                      <wp:docPr id="346" name="Frame346"/>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82600" cy="175260"/>
                      <wp:effectExtent l="0" t="0" r="0" b="0"/>
                      <wp:wrapNone/>
                      <wp:docPr id="347" name="Frame347"/>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73990" cy="175260"/>
                      <wp:effectExtent l="0" t="0" r="0" b="0"/>
                      <wp:wrapNone/>
                      <wp:docPr id="349" name="Frame34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21335" cy="175260"/>
                      <wp:effectExtent l="0" t="0" r="0" b="0"/>
                      <wp:wrapNone/>
                      <wp:docPr id="350" name="Frame350"/>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3200" cy="175260"/>
                      <wp:effectExtent l="0" t="0" r="0" b="0"/>
                      <wp:wrapNone/>
                      <wp:docPr id="352" name="Frame35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63550" cy="175260"/>
                      <wp:effectExtent l="0" t="0" r="0" b="0"/>
                      <wp:wrapNone/>
                      <wp:docPr id="353" name="Frame353"/>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54" name="Frame3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89865" cy="175260"/>
                      <wp:effectExtent l="0" t="0" r="0" b="0"/>
                      <wp:wrapNone/>
                      <wp:docPr id="355" name="Frame35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10870" cy="175260"/>
                      <wp:effectExtent l="0" t="0" r="0" b="0"/>
                      <wp:wrapNone/>
                      <wp:docPr id="356" name="Frame356"/>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vAlign w:val="center"/>
          </w:tcPr>
          <w:p>
            <w:pPr>
              <w:pStyle w:val="TableContents"/>
              <w:bidi w:val="0"/>
              <w:spacing w:before="0" w:after="1"/>
              <w:ind w:left="0" w:right="0" w:hanging="0"/>
              <w:jc w:val="left"/>
              <w:rPr/>
            </w:pPr>
            <w:r>
              <w:rPr/>
              <w:t>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2025</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29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76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2024</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2024</w:t>
            </w:r>
          </w:p>
        </w:tc>
        <w:tc>
          <w:tcPr>
            <w:tcW w:w="326" w:type="dxa"/>
            <w:tcBorders/>
            <w:shd w:fill="CCEEFF" w:val="clear"/>
            <w:vAlign w:val="center"/>
          </w:tcPr>
          <w:p>
            <w:pPr>
              <w:pStyle w:val="TableContents"/>
              <w:bidi w:val="0"/>
              <w:spacing w:before="0" w:after="1"/>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w:t>
            </w:r>
          </w:p>
        </w:tc>
      </w:tr>
    </w:tbl>
    <w:p>
      <w:pPr>
        <w:pStyle w:val="TextBody"/>
        <w:pBdr/>
        <w:bidi w:val="0"/>
        <w:spacing w:before="0" w:after="240"/>
        <w:ind w:left="0" w:right="0" w:hanging="360"/>
        <w:jc w:val="left"/>
        <w:rPr/>
      </w:pPr>
      <w:r>
        <w:rPr/>
        <w:t>​</w:t>
      </w:r>
    </w:p>
    <w:tbl>
      <w:tblPr>
        <w:tblW w:w="4592" w:type="dxa"/>
        <w:jc w:val="left"/>
        <w:tblInd w:w="0" w:type="dxa"/>
        <w:tblLayout w:type="fixed"/>
        <w:tblCellMar>
          <w:top w:w="0" w:type="dxa"/>
          <w:left w:w="0" w:type="dxa"/>
          <w:bottom w:w="0" w:type="dxa"/>
          <w:right w:w="0" w:type="dxa"/>
        </w:tblCellMar>
      </w:tblPr>
      <w:tblGrid>
        <w:gridCol w:w="211"/>
        <w:gridCol w:w="4381"/>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43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Foreign currency translation adjustments are presented gross.</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 Program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September 30, 2025, the Company repurchased 2.9 and 4.6 million shares of its common stock at an aggregate cost of $89 and $154 million, respectively, under the Share Repurchase Program.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2025, the Company announced that its Board of Directors approved an increase to the Share Repurchase Program, which added $400 million of capacity to the $51 million of capacity remaining as of September 30, 2025.</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pPr>
      <w:bookmarkStart w:id="1770" w:name="_72ca02d1_7435_4a64_80e0_cbdd75c8a608"/>
      <w:bookmarkStart w:id="1771" w:name="Tc_MLcPbtVDiECW6581xoqLCg_9_11"/>
      <w:bookmarkStart w:id="1772" w:name="Tc_lPTgnkFc3k6bxcaD3zGXUQ_9_8"/>
      <w:bookmarkStart w:id="1773" w:name="Tc_EnKDu195LUmtjJMlTjSgzw_9_5"/>
      <w:bookmarkStart w:id="1774" w:name="Tc_QcdcHXBXe0Wwrl-yn9VDRQ_9_2"/>
      <w:bookmarkStart w:id="1775" w:name="Tc_UCYcsLJql0qMEMSOw0f-Lg_9_0"/>
      <w:bookmarkStart w:id="1776" w:name="Tc_dnHvnwGfHEOkdpVoePp_5g_7_9"/>
      <w:bookmarkStart w:id="1777" w:name="Tc_chdS-fCCvUCfLpkaSQOBtw_7_3"/>
      <w:bookmarkStart w:id="1778" w:name="Tc_pwh4IyCEXUmexl_CC6wA1A_6_9"/>
      <w:bookmarkStart w:id="1779" w:name="Tc_g1YhbFzaZ0m_5vqmueyy_g_6_6"/>
      <w:bookmarkStart w:id="1780" w:name="Tc_V09EmH8STEO8UiIdKezrdA_6_3"/>
      <w:bookmarkStart w:id="1781" w:name="Tc_TEjEGN2yCkW-IiXBlLoO8g_3_11"/>
      <w:bookmarkStart w:id="1782" w:name="Tc_W7LJRQvPjkCJ_-lAsxPuWA_3_8"/>
      <w:bookmarkStart w:id="1783" w:name="Tc_iggoJ9YxWE67uaY1pZZPIw_3_5"/>
      <w:bookmarkStart w:id="1784" w:name="Tc_BtpspvmK-0yRWFgr3FdSDg_3_2"/>
      <w:bookmarkStart w:id="1785" w:name="Tc_tZzkIfb0qkihtYK9tPH5Vw_3_0"/>
      <w:bookmarkStart w:id="1786" w:name="Tc_1RWf7GJeOkmCLHb9dRR0-A_2_11"/>
      <w:bookmarkStart w:id="1787" w:name="Tc_crsl1mcrYU-IzgvekfBVlQ_2_8"/>
      <w:bookmarkStart w:id="1788" w:name="Tc_T7RqORCMGUmu9ly0njBRrg_2_5"/>
      <w:bookmarkStart w:id="1789" w:name="Tc_wHpqslibHkG3w9OwF2xl4g_2_2"/>
      <w:bookmarkStart w:id="1790" w:name="Tc_5Q0z1O1kaEGbwwVWCD5ycQ_2_0"/>
      <w:bookmarkStart w:id="1791" w:name="Tc_LL0tJiKN3U2MTGX7tQwS0w_1_8"/>
      <w:bookmarkStart w:id="1792" w:name="Tc_npB4-i0d7ECMWVj1hgAHBA_1_2"/>
      <w:bookmarkStart w:id="1793" w:name="_a626043b_af6a_4b5d_9ce3_a62aafcac447"/>
      <w:bookmarkStart w:id="1794" w:name="_Hlk11724034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RETIREMENT-RELATED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net periodic pension cost for the defined benefit pension plans recognized in the Consolidated Income Statement for the three and six months ended September 30, 2025 and 2024.</w:t>
      </w:r>
    </w:p>
    <w:p>
      <w:pPr>
        <w:pStyle w:val="TextBody"/>
        <w:bidi w:val="0"/>
        <w:spacing w:before="0" w:after="240"/>
        <w:ind w:left="0" w:right="0" w:hanging="0"/>
        <w:jc w:val="left"/>
        <w:rPr/>
      </w:pPr>
      <w:r>
        <w:rPr/>
        <w:t>​</w:t>
      </w:r>
    </w:p>
    <w:tbl>
      <w:tblPr>
        <w:tblW w:w="9589" w:type="dxa"/>
        <w:jc w:val="left"/>
        <w:tblInd w:w="0" w:type="dxa"/>
        <w:tblLayout w:type="fixed"/>
        <w:tblCellMar>
          <w:top w:w="0" w:type="dxa"/>
          <w:left w:w="0" w:type="dxa"/>
          <w:bottom w:w="0" w:type="dxa"/>
          <w:right w:w="0" w:type="dxa"/>
        </w:tblCellMar>
      </w:tblPr>
      <w:tblGrid>
        <w:gridCol w:w="3721"/>
        <w:gridCol w:w="326"/>
        <w:gridCol w:w="349"/>
        <w:gridCol w:w="722"/>
        <w:gridCol w:w="540"/>
        <w:gridCol w:w="349"/>
        <w:gridCol w:w="722"/>
        <w:gridCol w:w="326"/>
        <w:gridCol w:w="321"/>
        <w:gridCol w:w="664"/>
        <w:gridCol w:w="496"/>
        <w:gridCol w:w="321"/>
        <w:gridCol w:w="732"/>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362835" cy="175260"/>
                      <wp:effectExtent l="0" t="0" r="0" b="0"/>
                      <wp:wrapNone/>
                      <wp:docPr id="357" name="Frame357"/>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21615" cy="175260"/>
                      <wp:effectExtent l="0" t="0" r="0" b="0"/>
                      <wp:wrapNone/>
                      <wp:docPr id="359" name="Frame35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58470" cy="175260"/>
                      <wp:effectExtent l="0" t="0" r="0" b="0"/>
                      <wp:wrapNone/>
                      <wp:docPr id="360" name="Frame36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42900" cy="175260"/>
                      <wp:effectExtent l="0" t="0" r="0" b="0"/>
                      <wp:wrapNone/>
                      <wp:docPr id="361" name="Frame36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21615" cy="175260"/>
                      <wp:effectExtent l="0" t="0" r="0" b="0"/>
                      <wp:wrapNone/>
                      <wp:docPr id="362" name="Frame36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58470" cy="175260"/>
                      <wp:effectExtent l="0" t="0" r="0" b="0"/>
                      <wp:wrapNone/>
                      <wp:docPr id="363" name="Frame363"/>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3835" cy="175260"/>
                      <wp:effectExtent l="0" t="0" r="0" b="0"/>
                      <wp:wrapNone/>
                      <wp:docPr id="365" name="Frame365"/>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21640" cy="175260"/>
                      <wp:effectExtent l="0" t="0" r="0" b="0"/>
                      <wp:wrapNone/>
                      <wp:docPr id="366" name="Frame366"/>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14960" cy="175260"/>
                      <wp:effectExtent l="0" t="0" r="0" b="0"/>
                      <wp:wrapNone/>
                      <wp:docPr id="367" name="Frame367"/>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3835" cy="175260"/>
                      <wp:effectExtent l="0" t="0" r="0" b="0"/>
                      <wp:wrapNone/>
                      <wp:docPr id="368" name="Frame36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64820" cy="175260"/>
                      <wp:effectExtent l="0" t="0" r="0" b="0"/>
                      <wp:wrapNone/>
                      <wp:docPr id="369" name="Frame369"/>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40" w:type="dxa"/>
            <w:tcBorders/>
            <w:vAlign w:val="center"/>
          </w:tcPr>
          <w:p>
            <w:pPr>
              <w:pStyle w:val="TableContents"/>
              <w:bidi w:val="0"/>
              <w:spacing w:before="0" w:after="1"/>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96" w:type="dxa"/>
            <w:tcBorders/>
            <w:vAlign w:val="center"/>
          </w:tcPr>
          <w:p>
            <w:pPr>
              <w:pStyle w:val="TableContents"/>
              <w:bidi w:val="0"/>
              <w:spacing w:before="0" w:after="1"/>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bidi w:val="0"/>
              <w:spacing w:before="0" w:after="1"/>
              <w:ind w:left="0" w:right="0" w:hanging="0"/>
              <w:jc w:val="left"/>
              <w:rPr/>
            </w:pPr>
            <w:r>
              <w:rPr/>
              <w:t> </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40" w:type="dxa"/>
            <w:tcBorders/>
            <w:shd w:fill="CCEEFF" w:val="clear"/>
            <w:vAlign w:val="center"/>
          </w:tcPr>
          <w:p>
            <w:pPr>
              <w:pStyle w:val="TableContents"/>
              <w:bidi w:val="0"/>
              <w:spacing w:before="0" w:after="1"/>
              <w:ind w:left="0" w:right="0" w:hanging="0"/>
              <w:jc w:val="left"/>
              <w:rPr/>
            </w:pPr>
            <w:r>
              <w:rPr/>
              <w:t> </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96" w:type="dxa"/>
            <w:tcBorders/>
            <w:shd w:fill="CCEEFF" w:val="clear"/>
            <w:vAlign w:val="center"/>
          </w:tcPr>
          <w:p>
            <w:pPr>
              <w:pStyle w:val="TableContents"/>
              <w:bidi w:val="0"/>
              <w:spacing w:before="0" w:after="1"/>
              <w:ind w:left="0" w:right="0" w:hanging="0"/>
              <w:jc w:val="left"/>
              <w:rPr/>
            </w:pPr>
            <w:r>
              <w:rPr/>
              <w:t> </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540"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40"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 </w:t>
            </w:r>
          </w:p>
        </w:tc>
        <w:tc>
          <w:tcPr>
            <w:tcW w:w="6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9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prior service costs (credits)*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pPr>
            <w:r>
              <w:rPr/>
              <w:t>—</w:t>
            </w:r>
          </w:p>
        </w:tc>
        <w:tc>
          <w:tcPr>
            <w:tcW w:w="540"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7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664" w:type="dxa"/>
            <w:tcBorders/>
            <w:vAlign w:val="center"/>
          </w:tcPr>
          <w:p>
            <w:pPr>
              <w:pStyle w:val="TableContents"/>
              <w:bidi w:val="0"/>
              <w:spacing w:before="0" w:after="1"/>
              <w:ind w:left="0" w:right="0" w:hanging="0"/>
              <w:jc w:val="right"/>
              <w:rPr/>
            </w:pPr>
            <w:r>
              <w:rPr/>
              <w:t>—</w:t>
            </w:r>
          </w:p>
        </w:tc>
        <w:tc>
          <w:tcPr>
            <w:tcW w:w="49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Curtailments and settlements*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w:t>
            </w:r>
          </w:p>
        </w:tc>
        <w:tc>
          <w:tcPr>
            <w:tcW w:w="540"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664" w:type="dxa"/>
            <w:tcBorders/>
            <w:shd w:fill="CCEEFF" w:val="clear"/>
            <w:vAlign w:val="center"/>
          </w:tcPr>
          <w:p>
            <w:pPr>
              <w:pStyle w:val="TableContents"/>
              <w:bidi w:val="0"/>
              <w:spacing w:before="0" w:after="1"/>
              <w:ind w:left="0" w:right="0" w:hanging="0"/>
              <w:jc w:val="righ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losses (gains)*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40"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96"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26" w:type="dxa"/>
            <w:tcBorders/>
            <w:shd w:fill="CCEEFF" w:val="clear"/>
            <w:vAlign w:val="center"/>
          </w:tcPr>
          <w:p>
            <w:pPr>
              <w:pStyle w:val="TableContents"/>
              <w:bidi w:val="0"/>
              <w:spacing w:before="0" w:after="1"/>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40" w:type="dxa"/>
            <w:tcBorders/>
            <w:shd w:fill="CCEEFF" w:val="clear"/>
            <w:vAlign w:val="center"/>
          </w:tcPr>
          <w:p>
            <w:pPr>
              <w:pStyle w:val="TableContents"/>
              <w:bidi w:val="0"/>
              <w:spacing w:before="0" w:after="1"/>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96" w:type="dxa"/>
            <w:tcBorders/>
            <w:shd w:fill="CCEEFF" w:val="clear"/>
            <w:vAlign w:val="center"/>
          </w:tcPr>
          <w:p>
            <w:pPr>
              <w:pStyle w:val="TableContents"/>
              <w:bidi w:val="0"/>
              <w:spacing w:before="0" w:after="1"/>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These components of net periodic pension cost are included in other expense in the Consolidated Income Statement.</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periodic benefit cost for the nonpension postretirement benefit plans and multi-employer plans recognized in the Consolidated Income Statement were not material for any period presented.</w:t>
      </w:r>
    </w:p>
    <w:p>
      <w:pPr>
        <w:pStyle w:val="TextBody"/>
        <w:bidi w:val="0"/>
        <w:spacing w:before="0" w:after="24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795" w:name="Tc_SER9lQ20BUidjdoK4F69rQ_8_17"/>
      <w:bookmarkStart w:id="1796" w:name="Tc_LH-yjsSHjkurXNfacTk7cQ_8_14"/>
      <w:bookmarkStart w:id="1797" w:name="Tc_pRPknT-QI0C8yXBArRuPAw_8_11"/>
      <w:bookmarkStart w:id="1798" w:name="Tc_sL5d3AsvCUSku96eY_r7XA_8_8"/>
      <w:bookmarkStart w:id="1799" w:name="Tc_CytbMnfNUk622nXM_eCMMQ_8_5"/>
      <w:bookmarkStart w:id="1800" w:name="Tc_zY5DF6ONx0Ol9J_ZPsJ4IA_8_2"/>
      <w:bookmarkStart w:id="1801" w:name="Tc_9Y-wP0WHQUKRGCaiy0I6yA_8_0"/>
      <w:bookmarkStart w:id="1802" w:name="Tc_AQWivy7jikWB9vyjAW8JIg_7_0"/>
      <w:bookmarkStart w:id="1803" w:name="Tc_SCNxv-K8t0azcrLs74uYyg_6_0"/>
      <w:bookmarkStart w:id="1804" w:name="Tc_AEXS1ivZ7k6i_Kc2kxFWsA_5_0"/>
      <w:bookmarkStart w:id="1805" w:name="Tc_nQ-q2Wect0mDKpsdamDK1Q_4_17"/>
      <w:bookmarkStart w:id="1806" w:name="Tc_DRT6H-aQPkiimgiTfjNWkQ_4_14"/>
      <w:bookmarkStart w:id="1807" w:name="Tc_GRVnx-gIVUKSnsWntbXs9w_4_11"/>
      <w:bookmarkStart w:id="1808" w:name="Tc_PGWapd-uNUax5gh2hJadmw_4_8"/>
      <w:bookmarkStart w:id="1809" w:name="Tc_PfBWNP8XdEqNf2xAE8UNAQ_4_5"/>
      <w:bookmarkStart w:id="1810" w:name="Tc_vTvN418xHkSYG6qJyPtxKg_4_2"/>
      <w:bookmarkStart w:id="1811" w:name="Tc_njRzpn7-ak2EMvgP7J8y9A_4_0"/>
      <w:bookmarkStart w:id="1812" w:name="Tc_ID73_mOIBUCTurqVd-1nSQ_3_17"/>
      <w:bookmarkStart w:id="1813" w:name="Tc__BLzrc97s06cKkGV80GpIQ_3_14"/>
      <w:bookmarkStart w:id="1814" w:name="Tc_O7GuCc0P8USvyCOLl8mbWw_3_11"/>
      <w:bookmarkStart w:id="1815" w:name="Tc_u8lNGZOzAUCH6g2j5_u1Iw_3_8"/>
      <w:bookmarkStart w:id="1816" w:name="Tc_ZNajrDIHMEyv0wnN7DdPhw_3_5"/>
      <w:bookmarkStart w:id="1817" w:name="Tc_Q6vLtVqhSEeOxW8lcaqarA_3_2"/>
      <w:bookmarkStart w:id="1818" w:name="Tc_sgtItpCTME241mnnWjyVYQ_3_0"/>
      <w:bookmarkStart w:id="1819" w:name="Tc_0lSK88YBcUud58meYbokqA_2_17"/>
      <w:bookmarkStart w:id="1820" w:name="Tc_GsvqyFMLKkSKgpTyzpplMA_2_14"/>
      <w:bookmarkStart w:id="1821" w:name="Tc_CDqLab72d0i22HcV6jk3OQ_2_8"/>
      <w:bookmarkStart w:id="1822" w:name="Tc_Adq3ROXBqketnA2QuvtEYw_2_2"/>
      <w:bookmarkStart w:id="1823" w:name="Tc_cKI_22NnoEaItS2oKv2JYQ_1_14"/>
      <w:bookmarkStart w:id="1824" w:name="Tc_z8OwuR_ZbkuLb5ZghTxtlg_1_8"/>
      <w:bookmarkStart w:id="1825" w:name="Tc_AgzrpvePmUC_-1_jiTMSjQ_1_2"/>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r>
        <w:rPr>
          <w:rFonts w:ascii="Times New Roman;Times;serif" w:hAnsi="Times New Roman;Times;serif"/>
          <w:b/>
          <w:sz w:val="20"/>
        </w:rPr>
        <w:t>NOTE 13. WORKFORCE REBALANCING AND SITE-RATIONALIZATION CHARGES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September 30, 2025, the Company initiated actions to reduce our overall cost structure and increase our operating efficiency which we expect to continue through the end of the fiscal year 2026. We expect these actions will result in workforce rebalancing charges (the “Fiscal 2026 Program”) of approximately $80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March 31, 2025, the Company implemented actions to reduce our overall cost structure and increase our operating efficiency (the “Fiscal 2025 Program”). The total charges incurred related to the Fiscal 2025 Program were $162 million, consisting of $114 million in workforce rebalancing charges and $48 million in charges related to ceasing to use leased and owned fixed assets. The Company expects that these actions will reduce future payroll costs, rent expenses and depreciation of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segment breakout of charges incurred during the three and six months ended September 30, 2025 and 2024.</w:t>
      </w:r>
    </w:p>
    <w:p>
      <w:pPr>
        <w:pStyle w:val="TextBody"/>
        <w:bidi w:val="0"/>
        <w:spacing w:before="0" w:after="0"/>
        <w:ind w:left="0" w:right="0" w:hanging="0"/>
        <w:jc w:val="left"/>
        <w:rPr/>
      </w:pPr>
      <w:r>
        <w:rPr/>
        <w:t>​</w:t>
      </w:r>
    </w:p>
    <w:tbl>
      <w:tblPr>
        <w:tblW w:w="7605" w:type="dxa"/>
        <w:jc w:val="left"/>
        <w:tblInd w:w="0" w:type="dxa"/>
        <w:tblLayout w:type="fixed"/>
        <w:tblCellMar>
          <w:top w:w="0" w:type="dxa"/>
          <w:left w:w="0" w:type="dxa"/>
          <w:bottom w:w="0" w:type="dxa"/>
          <w:right w:w="0" w:type="dxa"/>
        </w:tblCellMar>
      </w:tblPr>
      <w:tblGrid>
        <w:gridCol w:w="1561"/>
        <w:gridCol w:w="326"/>
        <w:gridCol w:w="245"/>
        <w:gridCol w:w="367"/>
        <w:gridCol w:w="379"/>
        <w:gridCol w:w="245"/>
        <w:gridCol w:w="367"/>
        <w:gridCol w:w="326"/>
        <w:gridCol w:w="215"/>
        <w:gridCol w:w="323"/>
        <w:gridCol w:w="333"/>
        <w:gridCol w:w="215"/>
        <w:gridCol w:w="323"/>
        <w:gridCol w:w="109"/>
        <w:gridCol w:w="372"/>
        <w:gridCol w:w="558"/>
        <w:gridCol w:w="366"/>
        <w:gridCol w:w="275"/>
        <w:gridCol w:w="70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91235" cy="175260"/>
                      <wp:effectExtent l="0" t="0" r="0" b="0"/>
                      <wp:wrapNone/>
                      <wp:docPr id="370" name="Frame37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55575" cy="175260"/>
                      <wp:effectExtent l="0" t="0" r="0" b="0"/>
                      <wp:wrapNone/>
                      <wp:docPr id="372" name="Frame37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33045" cy="175260"/>
                      <wp:effectExtent l="0" t="0" r="0" b="0"/>
                      <wp:wrapNone/>
                      <wp:docPr id="373" name="Frame37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40665" cy="175260"/>
                      <wp:effectExtent l="0" t="0" r="0" b="0"/>
                      <wp:wrapNone/>
                      <wp:docPr id="374" name="Frame374"/>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55575" cy="175260"/>
                      <wp:effectExtent l="0" t="0" r="0" b="0"/>
                      <wp:wrapNone/>
                      <wp:docPr id="375" name="Frame37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33045" cy="175260"/>
                      <wp:effectExtent l="0" t="0" r="0" b="0"/>
                      <wp:wrapNone/>
                      <wp:docPr id="376" name="Frame37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6525" cy="175260"/>
                      <wp:effectExtent l="0" t="0" r="0" b="0"/>
                      <wp:wrapNone/>
                      <wp:docPr id="378" name="Frame378"/>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5105" cy="175260"/>
                      <wp:effectExtent l="0" t="0" r="0" b="0"/>
                      <wp:wrapNone/>
                      <wp:docPr id="379" name="Frame379"/>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1455" cy="175260"/>
                      <wp:effectExtent l="0" t="0" r="0" b="0"/>
                      <wp:wrapNone/>
                      <wp:docPr id="380" name="Frame380"/>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6525" cy="175260"/>
                      <wp:effectExtent l="0" t="0" r="0" b="0"/>
                      <wp:wrapNone/>
                      <wp:docPr id="381" name="Frame38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5105" cy="175260"/>
                      <wp:effectExtent l="0" t="0" r="0" b="0"/>
                      <wp:wrapNone/>
                      <wp:docPr id="382" name="Frame38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36220" cy="175260"/>
                      <wp:effectExtent l="0" t="0" r="0" b="0"/>
                      <wp:wrapNone/>
                      <wp:docPr id="384" name="Frame38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354330" cy="175260"/>
                      <wp:effectExtent l="0" t="0" r="0" b="0"/>
                      <wp:wrapNone/>
                      <wp:docPr id="385" name="Frame385"/>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32410" cy="175260"/>
                      <wp:effectExtent l="0" t="0" r="0" b="0"/>
                      <wp:wrapNone/>
                      <wp:docPr id="386" name="Frame386"/>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74625" cy="175260"/>
                      <wp:effectExtent l="0" t="0" r="0" b="0"/>
                      <wp:wrapNone/>
                      <wp:docPr id="387" name="Frame387"/>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44500" cy="175260"/>
                      <wp:effectExtent l="0" t="0" r="0" b="0"/>
                      <wp:wrapNone/>
                      <wp:docPr id="388" name="Frame388"/>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40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109" w:type="dxa"/>
            <w:tcBorders/>
            <w:vAlign w:val="center"/>
          </w:tcPr>
          <w:p>
            <w:pPr>
              <w:pStyle w:val="TableContents"/>
              <w:bidi w:val="0"/>
              <w:spacing w:before="0" w:after="0"/>
              <w:ind w:left="0" w:right="0" w:hanging="0"/>
              <w:jc w:val="center"/>
              <w:rPr/>
            </w:pPr>
            <w:r>
              <w:rPr/>
              <w:t>​</w:t>
            </w:r>
          </w:p>
        </w:tc>
        <w:tc>
          <w:tcPr>
            <w:tcW w:w="22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4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109" w:type="dxa"/>
            <w:tcBorders/>
            <w:vAlign w:val="center"/>
          </w:tcPr>
          <w:p>
            <w:pPr>
              <w:pStyle w:val="TableContents"/>
              <w:bidi w:val="0"/>
              <w:spacing w:before="0" w:after="0"/>
              <w:ind w:left="0" w:right="0" w:hanging="0"/>
              <w:jc w:val="center"/>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c>
          <w:tcPr>
            <w:tcW w:w="366" w:type="dxa"/>
            <w:tcBorders/>
            <w:vAlign w:val="center"/>
          </w:tcPr>
          <w:p>
            <w:pPr>
              <w:pStyle w:val="TableContents"/>
              <w:bidi w:val="0"/>
              <w:spacing w:before="0" w:after="0"/>
              <w:ind w:left="0" w:right="0" w:hanging="0"/>
              <w:jc w:val="center"/>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6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9" w:type="dxa"/>
            <w:tcBorders/>
            <w:vAlign w:val="center"/>
          </w:tcPr>
          <w:p>
            <w:pPr>
              <w:pStyle w:val="TableContents"/>
              <w:bidi w:val="0"/>
              <w:spacing w:before="0" w:after="0"/>
              <w:ind w:left="0" w:right="0" w:hanging="0"/>
              <w:jc w:val="left"/>
              <w:rPr/>
            </w:pPr>
            <w:r>
              <w:rPr/>
              <w:t>    </w:t>
            </w:r>
          </w:p>
        </w:tc>
        <w:tc>
          <w:tcPr>
            <w:tcW w:w="6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66"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33"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7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33"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79"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6"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826" w:name="Tc_LIka6cFUgEu3JoR8MNBBMA_6_5"/>
      <w:bookmarkStart w:id="1827" w:name="Tc_b4rKpK5QB0uICuhPTe7Dfg_6_2"/>
      <w:bookmarkStart w:id="1828" w:name="Tc_L6wmg7LcsUWq98SHe9y3ZA_6_0"/>
      <w:bookmarkStart w:id="1829" w:name="Tc_hf_gHg1Y30-GWszI5decmQ_5_0"/>
      <w:bookmarkStart w:id="1830" w:name="Tc_UGgyTB20CUCgIoSLz5Qp1w_4_6"/>
      <w:bookmarkStart w:id="1831" w:name="Tc_OfPJNd64N0uMVGbXEXNVew_4_0"/>
      <w:bookmarkStart w:id="1832" w:name="Tc_NGWUCURS50auqMylUu1_zg_3_5"/>
      <w:bookmarkStart w:id="1833" w:name="Tc_mVuZfU4VVU6Wv261KFsgow_3_3"/>
      <w:bookmarkStart w:id="1834" w:name="Tc_ZS4PbBoEKEiEvE5sKwLbZA_3_2"/>
      <w:bookmarkStart w:id="1835" w:name="Tc_PhRmV31wX0WKTq-l7qF-CA_3_0"/>
      <w:bookmarkStart w:id="1836" w:name="Tc_JACy04B9CUOlnrwjwQAU4w_2_5"/>
      <w:bookmarkStart w:id="1837" w:name="Tc_xlSB62RCq0uvC3K4cRH_Wg_2_2"/>
      <w:bookmarkStart w:id="1838" w:name="Tc_GbT0spjy5kK4H0qqi6tNmQ_2_0"/>
      <w:bookmarkStart w:id="1839" w:name="Tc_2qvREQ4DH0GUbqQrOOYNTw_1_5"/>
      <w:bookmarkStart w:id="1840" w:name="Tc_W8B0zWggC02A9pbMcS2GMA_1_2"/>
      <w:bookmarkStart w:id="1841" w:name="_25f69eb1_3090_40e4_b5c3_0277062dafd6"/>
      <w:bookmarkStart w:id="1842" w:name="Tc_UQIBU9fUeUasDb8UzObCaQ_7_17"/>
      <w:bookmarkStart w:id="1843" w:name="Tc_vKJxXpvSjUevypLsOrYD4A_7_14"/>
      <w:bookmarkStart w:id="1844" w:name="Tc_c-28jTjNaEKSuJ5oZDNIEw_7_11"/>
      <w:bookmarkStart w:id="1845" w:name="Tc_PgdKkYg-jUiSZZODuzKu2A_7_8"/>
      <w:bookmarkStart w:id="1846" w:name="Tc_JvzV2L8Fh0upk53qcdBBDA_7_5"/>
      <w:bookmarkStart w:id="1847" w:name="Tc_FXmY_qU80UG2uZShvDBKdA_7_2"/>
      <w:bookmarkStart w:id="1848" w:name="Tc_9OUbNVk5KUGPLdO2KnFRXw_7_0"/>
      <w:bookmarkStart w:id="1849" w:name="Tc_YweSJj4yIEmjT2t60bBICQ_5_15"/>
      <w:bookmarkStart w:id="1850" w:name="Tc_qouBxLwpBE-BxFQMPMnTzw_5_9"/>
      <w:bookmarkStart w:id="1851" w:name="Tc_507xnK_TDkKlmXZLeWJXNg_5_6"/>
      <w:bookmarkStart w:id="1852" w:name="Tc_THNKBUuAEUG2rLaXhVLSmQ_5_3"/>
      <w:bookmarkStart w:id="1853" w:name="Tc_SA1aajssQ0imW38BWxjl-A_5_0"/>
      <w:bookmarkStart w:id="1854" w:name="Tc_KEwQuYmBaU2XozwwhlE6mg_4_17"/>
      <w:bookmarkStart w:id="1855" w:name="Tc_xCJmg3LpzkmY5m3f04ta8Q_4_15"/>
      <w:bookmarkStart w:id="1856" w:name="Tc_W8ynxCRqtE62R32Q8YWi2Q_4_14"/>
      <w:bookmarkStart w:id="1857" w:name="Tc_3E9l3a8yNE6XfoR3wMJ5Hw_4_11"/>
      <w:bookmarkStart w:id="1858" w:name="Tc_CfkX5BJ3OU2Qyk8W8E_bKg_4_9"/>
      <w:bookmarkStart w:id="1859" w:name="Tc_h1H_88e9bkycvZOiGRYC2w_4_8"/>
      <w:bookmarkStart w:id="1860" w:name="Tc_M-d68VSdj0Wq2ov7CUNymw_4_5"/>
      <w:bookmarkStart w:id="1861" w:name="Tc_D4KtkN2mV0CujqpRB3K7PA_4_3"/>
      <w:bookmarkStart w:id="1862" w:name="Tc_9NJbo5IGQ0S-iP7bVzCveQ_4_2"/>
      <w:bookmarkStart w:id="1863" w:name="Tc_kahwLW4qYEePgRKMro-3yw_3_17"/>
      <w:bookmarkStart w:id="1864" w:name="Tc_zILy5Zb4r0u4SdzAs_1W_w_3_14"/>
      <w:bookmarkStart w:id="1865" w:name="Tc_JIvuMnzf-kCsiUYqOcK5Ew_3_11"/>
      <w:bookmarkStart w:id="1866" w:name="Tc_1M62ZHjRq0KQZnsYWIIA_w_3_8"/>
      <w:bookmarkStart w:id="1867" w:name="Tc_hRXPI-pQpUWg_f1BgkAxpw_3_5"/>
      <w:bookmarkStart w:id="1868" w:name="Tc_hmoXzhIdM0aGKCGue-njMA_3_2"/>
      <w:bookmarkStart w:id="1869" w:name="Tc_lrDdltbUOEuomKvgQCV-4g_3_0"/>
      <w:bookmarkStart w:id="1870" w:name="Tc_eyhkH_0PFk--WO2q6fTuFA_2_17"/>
      <w:bookmarkStart w:id="1871" w:name="Tc_IwhlqkPh70iPZdh6oUVivw_2_14"/>
      <w:bookmarkStart w:id="1872" w:name="Tc_NY8OkKbxJEihHk-fvabqCg_2_8"/>
      <w:bookmarkStart w:id="1873" w:name="Tc_NR23r9Fm2EuHPIN-Nfh-gQ_2_2"/>
      <w:bookmarkStart w:id="1874" w:name="Tc_osyArE_4mEqv4ORpfq6d_g_1_14"/>
      <w:bookmarkStart w:id="1875" w:name="Tc_TwvqC-REz0KJtmuKAifAYg_1_8"/>
      <w:bookmarkStart w:id="1876" w:name="Tc_BY6uwz0IAEa6D70WSRNExA_1_2"/>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r>
        <w:rPr>
          <w:rFonts w:ascii="Times New Roman;Times;serif" w:hAnsi="Times New Roman;Times;serif"/>
          <w:sz w:val="20"/>
        </w:rPr>
        <w:t xml:space="preserve">The following table presents the classification of workforce rebalancing and site-rationalization activities in the Consolidated Income Statement during the three and six months ended September 30, 2025 and 2024. </w:t>
      </w:r>
    </w:p>
    <w:p>
      <w:pPr>
        <w:pStyle w:val="TextBody"/>
        <w:bidi w:val="0"/>
        <w:spacing w:before="0" w:after="0"/>
        <w:ind w:left="0" w:right="0" w:hanging="0"/>
        <w:jc w:val="left"/>
        <w:rPr/>
      </w:pPr>
      <w:r>
        <w:rPr/>
        <w:t>​</w:t>
      </w:r>
    </w:p>
    <w:tbl>
      <w:tblPr>
        <w:tblW w:w="9991" w:type="dxa"/>
        <w:jc w:val="left"/>
        <w:tblInd w:w="0" w:type="dxa"/>
        <w:tblLayout w:type="fixed"/>
        <w:tblCellMar>
          <w:top w:w="0" w:type="dxa"/>
          <w:left w:w="0" w:type="dxa"/>
          <w:bottom w:w="0" w:type="dxa"/>
          <w:right w:w="0" w:type="dxa"/>
        </w:tblCellMar>
      </w:tblPr>
      <w:tblGrid>
        <w:gridCol w:w="3736"/>
        <w:gridCol w:w="326"/>
        <w:gridCol w:w="235"/>
        <w:gridCol w:w="385"/>
        <w:gridCol w:w="363"/>
        <w:gridCol w:w="235"/>
        <w:gridCol w:w="385"/>
        <w:gridCol w:w="326"/>
        <w:gridCol w:w="211"/>
        <w:gridCol w:w="346"/>
        <w:gridCol w:w="326"/>
        <w:gridCol w:w="211"/>
        <w:gridCol w:w="316"/>
        <w:gridCol w:w="326"/>
        <w:gridCol w:w="352"/>
        <w:gridCol w:w="578"/>
        <w:gridCol w:w="359"/>
        <w:gridCol w:w="274"/>
        <w:gridCol w:w="70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372360" cy="175260"/>
                      <wp:effectExtent l="0" t="0" r="0" b="0"/>
                      <wp:wrapNone/>
                      <wp:docPr id="389" name="Frame38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9225" cy="175260"/>
                      <wp:effectExtent l="0" t="0" r="0" b="0"/>
                      <wp:wrapNone/>
                      <wp:docPr id="391" name="Frame39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44475" cy="175260"/>
                      <wp:effectExtent l="0" t="0" r="0" b="0"/>
                      <wp:wrapNone/>
                      <wp:docPr id="392" name="Frame39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30505" cy="175260"/>
                      <wp:effectExtent l="0" t="0" r="0" b="0"/>
                      <wp:wrapNone/>
                      <wp:docPr id="393" name="Frame39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9225" cy="175260"/>
                      <wp:effectExtent l="0" t="0" r="0" b="0"/>
                      <wp:wrapNone/>
                      <wp:docPr id="394" name="Frame39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44475" cy="175260"/>
                      <wp:effectExtent l="0" t="0" r="0" b="0"/>
                      <wp:wrapNone/>
                      <wp:docPr id="395" name="Frame395"/>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0660" cy="175260"/>
                      <wp:effectExtent l="0" t="0" r="0" b="0"/>
                      <wp:wrapNone/>
                      <wp:docPr id="401" name="Frame4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23520" cy="175260"/>
                      <wp:effectExtent l="0" t="0" r="0" b="0"/>
                      <wp:wrapNone/>
                      <wp:docPr id="403" name="Frame40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367030" cy="175260"/>
                      <wp:effectExtent l="0" t="0" r="0" b="0"/>
                      <wp:wrapNone/>
                      <wp:docPr id="404" name="Frame404"/>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27965" cy="175260"/>
                      <wp:effectExtent l="0" t="0" r="0" b="0"/>
                      <wp:wrapNone/>
                      <wp:docPr id="405" name="Frame405"/>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73990" cy="175260"/>
                      <wp:effectExtent l="0" t="0" r="0" b="0"/>
                      <wp:wrapNone/>
                      <wp:docPr id="406" name="Frame40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45135" cy="175260"/>
                      <wp:effectExtent l="0" t="0" r="0" b="0"/>
                      <wp:wrapNone/>
                      <wp:docPr id="407" name="Frame407"/>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left"/>
              <w:rPr/>
            </w:pPr>
            <w:r>
              <w:rPr/>
              <w:t>​</w:t>
            </w:r>
          </w:p>
        </w:tc>
        <w:tc>
          <w:tcPr>
            <w:tcW w:w="14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left"/>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4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c>
          <w:tcPr>
            <w:tcW w:w="359" w:type="dxa"/>
            <w:tcBorders/>
            <w:vAlign w:val="center"/>
          </w:tcPr>
          <w:p>
            <w:pPr>
              <w:pStyle w:val="TableContents"/>
              <w:bidi w:val="0"/>
              <w:spacing w:before="0" w:after="0"/>
              <w:ind w:left="0" w:right="0" w:hanging="0"/>
              <w:jc w:val="center"/>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3" w:type="dxa"/>
            <w:tcBorders/>
            <w:vAlign w:val="center"/>
          </w:tcPr>
          <w:p>
            <w:pPr>
              <w:pStyle w:val="TableContents"/>
              <w:bidi w:val="0"/>
              <w:spacing w:before="0" w:after="0"/>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59"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5" w:type="dxa"/>
            <w:tcBorders/>
            <w:shd w:fill="CCEEFF" w:val="clear"/>
            <w:vAlign w:val="center"/>
          </w:tcPr>
          <w:p>
            <w:pPr>
              <w:pStyle w:val="TableContents"/>
              <w:bidi w:val="0"/>
              <w:spacing w:before="0" w:after="0"/>
              <w:ind w:left="0" w:right="0" w:hanging="0"/>
              <w:jc w:val="righ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0"/>
              <w:ind w:left="0" w:right="0" w:hanging="0"/>
              <w:jc w:val="righ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63"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rebalancing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3"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5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3"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5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and changes in our workforce rebalancing liabilities during the six months ended September 30, 2025.</w:t>
      </w:r>
    </w:p>
    <w:p>
      <w:pPr>
        <w:pStyle w:val="TextBody"/>
        <w:bidi w:val="0"/>
        <w:spacing w:before="0" w:after="0"/>
        <w:ind w:left="0" w:right="0" w:hanging="0"/>
        <w:jc w:val="left"/>
        <w:rPr/>
      </w:pPr>
      <w:r>
        <w:rPr/>
        <w:t>​</w:t>
      </w:r>
    </w:p>
    <w:tbl>
      <w:tblPr>
        <w:tblW w:w="5198" w:type="dxa"/>
        <w:jc w:val="left"/>
        <w:tblInd w:w="0" w:type="dxa"/>
        <w:tblLayout w:type="fixed"/>
        <w:tblCellMar>
          <w:top w:w="0" w:type="dxa"/>
          <w:left w:w="0" w:type="dxa"/>
          <w:bottom w:w="0" w:type="dxa"/>
          <w:right w:w="0" w:type="dxa"/>
        </w:tblCellMar>
      </w:tblPr>
      <w:tblGrid>
        <w:gridCol w:w="2641"/>
        <w:gridCol w:w="326"/>
        <w:gridCol w:w="303"/>
        <w:gridCol w:w="627"/>
        <w:gridCol w:w="326"/>
        <w:gridCol w:w="297"/>
        <w:gridCol w:w="678"/>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677035" cy="175260"/>
                      <wp:effectExtent l="0" t="0" r="0" b="0"/>
                      <wp:wrapNone/>
                      <wp:docPr id="408" name="Frame408"/>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92405" cy="175260"/>
                      <wp:effectExtent l="0" t="0" r="0" b="0"/>
                      <wp:wrapNone/>
                      <wp:docPr id="410" name="Frame410"/>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98145" cy="175260"/>
                      <wp:effectExtent l="0" t="0" r="0" b="0"/>
                      <wp:wrapNone/>
                      <wp:docPr id="411" name="Frame411"/>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88595" cy="175260"/>
                      <wp:effectExtent l="0" t="0" r="0" b="0"/>
                      <wp:wrapNone/>
                      <wp:docPr id="413" name="Frame413"/>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30530" cy="175260"/>
                      <wp:effectExtent l="0" t="0" r="0" b="0"/>
                      <wp:wrapNone/>
                      <wp:docPr id="414" name="Frame414"/>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c>
          <w:tcPr>
            <w:tcW w:w="32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26"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Fiscal 2025 Program balance excludes workforce rebalancing liabilities inherited from our former Parent of $16</w:t>
            </w:r>
            <w:r>
              <w:rPr>
                <w:caps w:val="false"/>
                <w:smallCaps w:val="false"/>
              </w:rPr>
              <w:t xml:space="preserve"> </w:t>
            </w:r>
            <w:r>
              <w:rPr>
                <w:rFonts w:ascii="Times New Roman;Times;serif" w:hAnsi="Times New Roman;Times;serif"/>
                <w:b w:val="false"/>
                <w:i w:val="false"/>
                <w:caps w:val="false"/>
                <w:smallCaps w:val="false"/>
                <w:sz w:val="16"/>
              </w:rPr>
              <w:t>million as of March 31, 2025. Current-year movement excludes cash payments of $4</w:t>
            </w:r>
            <w:r>
              <w:rPr>
                <w:caps w:val="false"/>
                <w:smallCaps w:val="false"/>
              </w:rPr>
              <w:t xml:space="preserve"> </w:t>
            </w:r>
            <w:r>
              <w:rPr>
                <w:rFonts w:ascii="Times New Roman;Times;serif" w:hAnsi="Times New Roman;Times;serif"/>
                <w:b w:val="false"/>
                <w:i w:val="false"/>
                <w:caps w:val="false"/>
                <w:smallCaps w:val="false"/>
                <w:sz w:val="16"/>
              </w:rPr>
              <w:t>million, non-cash adjustment of ($1)</w:t>
            </w:r>
            <w:r>
              <w:rPr>
                <w:caps w:val="false"/>
                <w:smallCaps w:val="false"/>
              </w:rPr>
              <w:t xml:space="preserve"> </w:t>
            </w:r>
            <w:r>
              <w:rPr>
                <w:rFonts w:ascii="Times New Roman;Times;serif" w:hAnsi="Times New Roman;Times;serif"/>
                <w:b w:val="false"/>
                <w:i w:val="false"/>
                <w:caps w:val="false"/>
                <w:smallCaps w:val="false"/>
                <w:sz w:val="16"/>
              </w:rPr>
              <w:t>million and ending balance of $13</w:t>
            </w:r>
            <w:r>
              <w:rPr>
                <w:caps w:val="false"/>
                <w:smallCaps w:val="false"/>
              </w:rPr>
              <w:t xml:space="preserve"> </w:t>
            </w:r>
            <w:r>
              <w:rPr>
                <w:rFonts w:ascii="Times New Roman;Times;serif" w:hAnsi="Times New Roman;Times;serif"/>
                <w:b w:val="false"/>
                <w:i w:val="false"/>
                <w:caps w:val="false"/>
                <w:smallCaps w:val="false"/>
                <w:sz w:val="16"/>
              </w:rPr>
              <w:t>million related to actions initiated by our former Parent. Workforce rebalancing liabilities are recorded within other liabilities in the Consolidated Balance Sheet.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SUBSEQUENT EVENTS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2025, the Company entered into an agreement to acquire all outstanding equity interests of Solvinity Group B.V., a provider of managed cloud platforms and services in the Netherlands, for cash consideration of approximately €100 million. The acquisition is expected to close in the fourth quarter of fiscal 2026, subject to customary closing conditions, including regulatory approval and the required consultation with employee representatives.</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877" w:name="MANAGEMENTSDISCUSSIONANDANALYSISOFRESULT"/>
      <w:bookmarkStart w:id="1878" w:name="Item2_803900"/>
      <w:bookmarkStart w:id="1879" w:name="_eb74397d_44cf_4e22_970e_4ea4802b85e2"/>
      <w:bookmarkEnd w:id="1877"/>
      <w:bookmarkEnd w:id="1878"/>
      <w:bookmarkEnd w:id="1879"/>
      <w:r>
        <w:rPr>
          <w:rFonts w:ascii="Times New Roman;Times;serif" w:hAnsi="Times New Roman;Times;serif"/>
          <w:b/>
          <w:sz w:val="20"/>
        </w:rPr>
        <w:t>Item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SEPTEMBER 30,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tbl>
      <w:tblPr>
        <w:tblW w:w="8781" w:type="dxa"/>
        <w:jc w:val="left"/>
        <w:tblInd w:w="0" w:type="dxa"/>
        <w:tblLayout w:type="fixed"/>
        <w:tblCellMar>
          <w:top w:w="0" w:type="dxa"/>
          <w:left w:w="0" w:type="dxa"/>
          <w:bottom w:w="0" w:type="dxa"/>
          <w:right w:w="0" w:type="dxa"/>
        </w:tblCellMar>
      </w:tblPr>
      <w:tblGrid>
        <w:gridCol w:w="3256"/>
        <w:gridCol w:w="109"/>
        <w:gridCol w:w="260"/>
        <w:gridCol w:w="704"/>
        <w:gridCol w:w="334"/>
        <w:gridCol w:w="134"/>
        <w:gridCol w:w="260"/>
        <w:gridCol w:w="704"/>
        <w:gridCol w:w="334"/>
        <w:gridCol w:w="109"/>
        <w:gridCol w:w="240"/>
        <w:gridCol w:w="652"/>
        <w:gridCol w:w="309"/>
        <w:gridCol w:w="124"/>
        <w:gridCol w:w="240"/>
        <w:gridCol w:w="652"/>
        <w:gridCol w:w="360"/>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67560" cy="175260"/>
                      <wp:effectExtent l="0" t="0" r="0" b="0"/>
                      <wp:wrapNone/>
                      <wp:docPr id="415" name="Frame415"/>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4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65100" cy="175260"/>
                      <wp:effectExtent l="0" t="0" r="0" b="0"/>
                      <wp:wrapNone/>
                      <wp:docPr id="417" name="Frame41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47040" cy="175260"/>
                      <wp:effectExtent l="0" t="0" r="0" b="0"/>
                      <wp:wrapNone/>
                      <wp:docPr id="418" name="Frame418"/>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2090" cy="175260"/>
                      <wp:effectExtent l="0" t="0" r="0" b="0"/>
                      <wp:wrapNone/>
                      <wp:docPr id="419" name="Frame419"/>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85090" cy="175260"/>
                      <wp:effectExtent l="0" t="0" r="0" b="0"/>
                      <wp:wrapNone/>
                      <wp:docPr id="420" name="Frame420"/>
                      <a:graphic xmlns:a="http://schemas.openxmlformats.org/drawingml/2006/main">
                        <a:graphicData uri="http://schemas.microsoft.com/office/word/2010/wordprocessingShape">
                          <wps:wsp>
                            <wps:cNvSpPr txBox="1"/>
                            <wps:spPr>
                              <a:xfrm>
                                <a:off x="0" y="0"/>
                                <a:ext cx="85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65100" cy="175260"/>
                      <wp:effectExtent l="0" t="0" r="0" b="0"/>
                      <wp:wrapNone/>
                      <wp:docPr id="421" name="Frame42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47040" cy="175260"/>
                      <wp:effectExtent l="0" t="0" r="0" b="0"/>
                      <wp:wrapNone/>
                      <wp:docPr id="422" name="Frame422"/>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12090" cy="175260"/>
                      <wp:effectExtent l="0" t="0" r="0" b="0"/>
                      <wp:wrapNone/>
                      <wp:docPr id="423" name="Frame42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52400" cy="175260"/>
                      <wp:effectExtent l="0" t="0" r="0" b="0"/>
                      <wp:wrapNone/>
                      <wp:docPr id="425" name="Frame42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14020" cy="175260"/>
                      <wp:effectExtent l="0" t="0" r="0" b="0"/>
                      <wp:wrapNone/>
                      <wp:docPr id="426" name="Frame426"/>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96215" cy="175260"/>
                      <wp:effectExtent l="0" t="0" r="0" b="0"/>
                      <wp:wrapNone/>
                      <wp:docPr id="427" name="Frame42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78740" cy="175260"/>
                      <wp:effectExtent l="0" t="0" r="0" b="0"/>
                      <wp:wrapNone/>
                      <wp:docPr id="428" name="Frame42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52400" cy="175260"/>
                      <wp:effectExtent l="0" t="0" r="0" b="0"/>
                      <wp:wrapNone/>
                      <wp:docPr id="429" name="Frame42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14020" cy="175260"/>
                      <wp:effectExtent l="0" t="0" r="0" b="0"/>
                      <wp:wrapNone/>
                      <wp:docPr id="430" name="Frame430"/>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28600" cy="175260"/>
                      <wp:effectExtent l="0" t="0" r="0" b="0"/>
                      <wp:wrapNone/>
                      <wp:docPr id="431" name="Frame4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5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 </w:t>
            </w:r>
          </w:p>
        </w:tc>
      </w:tr>
      <w:tr>
        <w:trP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4" w:type="dxa"/>
            <w:tcBorders/>
            <w:vAlign w:val="center"/>
          </w:tcPr>
          <w:p>
            <w:pPr>
              <w:pStyle w:val="TableContents"/>
              <w:bidi w:val="0"/>
              <w:spacing w:before="0" w:after="0"/>
              <w:ind w:left="0" w:right="0" w:hanging="0"/>
              <w:jc w:val="left"/>
              <w:rPr/>
            </w:pPr>
            <w:r>
              <w:rPr/>
              <w:t>​</w:t>
            </w:r>
          </w:p>
        </w:tc>
        <w:tc>
          <w:tcPr>
            <w:tcW w:w="1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2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4" w:type="dxa"/>
            <w:tcBorders/>
            <w:vAlign w:val="center"/>
          </w:tcPr>
          <w:p>
            <w:pPr>
              <w:pStyle w:val="TableContents"/>
              <w:bidi w:val="0"/>
              <w:spacing w:before="0" w:after="0"/>
              <w:ind w:left="0" w:right="0" w:hanging="0"/>
              <w:jc w:val="left"/>
              <w:rPr/>
            </w:pPr>
            <w:r>
              <w:rPr/>
              <w:t>​</w:t>
            </w:r>
          </w:p>
        </w:tc>
        <w:tc>
          <w:tcPr>
            <w:tcW w:w="125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33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w:t>
            </w:r>
          </w:p>
        </w:tc>
        <w:tc>
          <w:tcPr>
            <w:tcW w:w="3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309"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60"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(GAAP)</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34" w:type="dxa"/>
            <w:tcBorders/>
            <w:vAlign w:val="center"/>
          </w:tcPr>
          <w:p>
            <w:pPr>
              <w:pStyle w:val="TableContents"/>
              <w:bidi w:val="0"/>
              <w:spacing w:before="0" w:after="0"/>
              <w:ind w:left="0" w:right="0" w:hanging="0"/>
              <w:jc w:val="right"/>
              <w:rPr/>
            </w:pPr>
            <w:r>
              <w:rPr/>
              <w:t>​</w:t>
            </w:r>
          </w:p>
        </w:tc>
        <w:tc>
          <w:tcPr>
            <w:tcW w:w="13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3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09" w:type="dxa"/>
            <w:tcBorders/>
            <w:vAlign w:val="center"/>
          </w:tcPr>
          <w:p>
            <w:pPr>
              <w:pStyle w:val="TableContents"/>
              <w:bidi w:val="0"/>
              <w:spacing w:before="0" w:after="0"/>
              <w:ind w:left="0" w:right="0" w:hanging="0"/>
              <w:jc w:val="right"/>
              <w:rPr/>
            </w:pPr>
            <w:r>
              <w:rPr/>
              <w:t>​</w:t>
            </w:r>
          </w:p>
        </w:tc>
        <w:tc>
          <w:tcPr>
            <w:tcW w:w="124"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60"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34"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3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09"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360"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w:t>
            </w:r>
          </w:p>
        </w:tc>
      </w:tr>
    </w:tbl>
    <w:p>
      <w:pPr>
        <w:pStyle w:val="TextBody"/>
        <w:bidi w:val="0"/>
        <w:spacing w:before="0" w:after="0"/>
        <w:ind w:left="0" w:right="0" w:hanging="0"/>
        <w:jc w:val="left"/>
        <w:rPr/>
      </w:pPr>
      <w:r>
        <w:rPr/>
        <w:t>​</w:t>
      </w:r>
    </w:p>
    <w:tbl>
      <w:tblPr>
        <w:tblW w:w="4270" w:type="dxa"/>
        <w:jc w:val="left"/>
        <w:tblInd w:w="0" w:type="dxa"/>
        <w:tblLayout w:type="fixed"/>
        <w:tblCellMar>
          <w:top w:w="0" w:type="dxa"/>
          <w:left w:w="0" w:type="dxa"/>
          <w:bottom w:w="0" w:type="dxa"/>
          <w:right w:w="0" w:type="dxa"/>
        </w:tblCellMar>
      </w:tblPr>
      <w:tblGrid>
        <w:gridCol w:w="1546"/>
        <w:gridCol w:w="326"/>
        <w:gridCol w:w="271"/>
        <w:gridCol w:w="869"/>
        <w:gridCol w:w="326"/>
        <w:gridCol w:w="211"/>
        <w:gridCol w:w="721"/>
      </w:tblGrid>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15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10,452</w:t>
            </w:r>
          </w:p>
        </w:tc>
      </w:tr>
      <w:tr>
        <w:trP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9,121</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1,331</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880" w:name="_Hlk117523719"/>
      <w:bookmarkEnd w:id="1880"/>
      <w:r>
        <w:rPr>
          <w:rFonts w:ascii="Times New Roman;Times;serif" w:hAnsi="Times New Roman;Times;serif"/>
          <w:sz w:val="20"/>
        </w:rPr>
        <w:t xml:space="preserve">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Performance Summary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Macro Dynamics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Most economists, including the International Monetary Fund, expect positive but subdued global macroeconomic growth in calendar year 2025 and calendar year 2026 amid ongoing trade tensions and heightened macroeconomic uncertainties. Global markets have experienced volatility from time to time in recent months, driven by geopolitical developments, concerns over changes in global trade policies and the imposition of import tariffs by the United States, reactions from other nations and proposed U.S. government spending reductions. Increased economic uncertainty can impact the level and composition of global macroeconomic activity.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Performance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2025, we reported $3.7 billion in revenue, a decrease of 1% compared to the prior-year period. The revenue performance included a favorable currency exchange rate impact of three points. United States revenue declined 6 percent, Japan revenue decreased 4 percent, Principal Markets revenue increased 1 percent and Strategic Markets revenue increased 2 percent, in each case compared to the three months ended September 30, 2024. Net income of $68 million increased by $111 million versus the prior-year period, reflecting progress on our key initiatives to drive operating efficiencies and higher margins on recent signings.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2025, we reported $7.5 billion in revenue, a decrease of 1% compared to the prior-year period. The revenue performance included a favorable currency exchange rate impact of two points.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United States revenue declined 7 percent, Japan revenue decreased 1 percent, Principal Markets revenue increased 2 percent and Strategic Markets revenue increased 2 percent, in each case compared to the six months ended September 30, 2024. Net income of $124 million increased by $156 million versus the prior-year period reflecting a $30 million decline in workforce rebalancing charges, no current-period transaction-related costs and progress on our key initiatives to drive operating efficiencies and higher margins on recent signings.</w:t>
      </w:r>
    </w:p>
    <w:p>
      <w:pPr>
        <w:pStyle w:val="TextBody"/>
        <w:bidi w:val="0"/>
        <w:spacing w:before="0" w:after="240"/>
        <w:ind w:left="0" w:right="0" w:hanging="0"/>
        <w:jc w:val="left"/>
        <w:rPr>
          <w:rFonts w:ascii="Times New Roman;Times;serif" w:hAnsi="Times New Roman;Times;serif"/>
          <w:b/>
          <w:i/>
          <w:sz w:val="20"/>
        </w:rPr>
      </w:pPr>
      <w:bookmarkStart w:id="1881" w:name="_Hlk100915138"/>
      <w:bookmarkEnd w:id="1881"/>
      <w:r>
        <w:rPr>
          <w:rFonts w:ascii="Times New Roman;Times;serif" w:hAnsi="Times New Roman;Times;serif"/>
          <w:b/>
          <w:i/>
          <w:sz w:val="20"/>
        </w:rPr>
        <w:t>Segment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and six months ended September 30, 2025 and 2024. Segment revenue and revenue growth in constant currency exclude any transactions between the segments.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890"/>
        <w:gridCol w:w="326"/>
        <w:gridCol w:w="220"/>
        <w:gridCol w:w="597"/>
        <w:gridCol w:w="283"/>
        <w:gridCol w:w="113"/>
        <w:gridCol w:w="220"/>
        <w:gridCol w:w="597"/>
        <w:gridCol w:w="283"/>
        <w:gridCol w:w="109"/>
        <w:gridCol w:w="854"/>
        <w:gridCol w:w="550"/>
        <w:gridCol w:w="326"/>
        <w:gridCol w:w="216"/>
        <w:gridCol w:w="586"/>
        <w:gridCol w:w="278"/>
        <w:gridCol w:w="111"/>
        <w:gridCol w:w="216"/>
        <w:gridCol w:w="586"/>
        <w:gridCol w:w="278"/>
        <w:gridCol w:w="109"/>
        <w:gridCol w:w="827"/>
        <w:gridCol w:w="630"/>
      </w:tblGrid>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r>
      <w:tr>
        <w:trPr/>
        <w:tc>
          <w:tcPr>
            <w:tcW w:w="18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3"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26" w:type="dxa"/>
            <w:tcBorders/>
            <w:vAlign w:val="center"/>
          </w:tcPr>
          <w:p>
            <w:pPr>
              <w:pStyle w:val="TableContents"/>
              <w:bidi w:val="0"/>
              <w:spacing w:before="0" w:after="0"/>
              <w:ind w:left="0" w:right="0" w:hanging="0"/>
              <w:jc w:val="center"/>
              <w:rPr/>
            </w:pPr>
            <w:r>
              <w:rPr/>
              <w:t>​</w:t>
            </w:r>
          </w:p>
        </w:tc>
        <w:tc>
          <w:tcPr>
            <w:tcW w:w="227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c>
          <w:tcPr>
            <w:tcW w:w="109" w:type="dxa"/>
            <w:tcBorders/>
            <w:vAlign w:val="center"/>
          </w:tcPr>
          <w:p>
            <w:pPr>
              <w:pStyle w:val="TableContents"/>
              <w:bidi w:val="0"/>
              <w:spacing w:before="0" w:after="0"/>
              <w:ind w:left="0" w:right="0" w:hanging="0"/>
              <w:jc w:val="left"/>
              <w:rPr/>
            </w:pPr>
            <w:r>
              <w:rPr/>
              <w:t>​</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18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1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3" w:type="dxa"/>
            <w:tcBorders/>
            <w:vAlign w:val="center"/>
          </w:tcPr>
          <w:p>
            <w:pPr>
              <w:pStyle w:val="TableContents"/>
              <w:bidi w:val="0"/>
              <w:spacing w:before="0" w:after="0"/>
              <w:ind w:left="0" w:right="0" w:hanging="0"/>
              <w:jc w:val="center"/>
              <w:rPr/>
            </w:pPr>
            <w:r>
              <w:rPr/>
              <w:t>​</w:t>
            </w:r>
          </w:p>
        </w:tc>
        <w:tc>
          <w:tcPr>
            <w:tcW w:w="11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c>
          <w:tcPr>
            <w:tcW w:w="326" w:type="dxa"/>
            <w:tcBorders/>
            <w:vAlign w:val="center"/>
          </w:tcPr>
          <w:p>
            <w:pPr>
              <w:pStyle w:val="TableContents"/>
              <w:bidi w:val="0"/>
              <w:spacing w:before="0" w:after="0"/>
              <w:ind w:left="0" w:right="0" w:hanging="0"/>
              <w:jc w:val="left"/>
              <w:rPr/>
            </w:pPr>
            <w:r>
              <w:rPr/>
              <w:t>    </w:t>
            </w:r>
          </w:p>
        </w:tc>
        <w:tc>
          <w:tcPr>
            <w:tcW w:w="10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1" w:type="dxa"/>
            <w:tcBorders/>
            <w:vAlign w:val="center"/>
          </w:tcPr>
          <w:p>
            <w:pPr>
              <w:pStyle w:val="TableContents"/>
              <w:bidi w:val="0"/>
              <w:spacing w:before="0" w:after="0"/>
              <w:ind w:left="0" w:right="0" w:hanging="0"/>
              <w:jc w:val="center"/>
              <w:rPr/>
            </w:pPr>
            <w:r>
              <w:rPr/>
              <w:t>​</w:t>
            </w:r>
          </w:p>
        </w:tc>
        <w:tc>
          <w:tcPr>
            <w:tcW w:w="10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left"/>
              <w:rPr/>
            </w:pPr>
            <w:r>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1,946</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righ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left"/>
              <w:rPr/>
            </w:pPr>
            <w:r>
              <w:rPr/>
              <w:t>​</w:t>
            </w:r>
          </w:p>
        </w:tc>
        <w:tc>
          <w:tcPr>
            <w:tcW w:w="5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left"/>
              <w:rPr/>
            </w:pPr>
            <w:r>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left"/>
              <w:rPr/>
            </w:pPr>
            <w:r>
              <w:rPr/>
              <w:t>​</w:t>
            </w:r>
          </w:p>
        </w:tc>
        <w:tc>
          <w:tcPr>
            <w:tcW w:w="5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righ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righ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283"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2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278" w:type="dxa"/>
            <w:tcBorders/>
            <w:shd w:fill="CCEEFF" w:val="cle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2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283"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2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278" w:type="dxa"/>
            <w:tcBorders/>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2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6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8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adjusted EBITDA*</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5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1"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6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Normal"/>
        <w:bidi w:val="0"/>
        <w:spacing w:before="0" w:after="0"/>
        <w:jc w:val="left"/>
        <w:rPr>
          <w:sz w:val="4"/>
          <w:szCs w:val="4"/>
        </w:rPr>
      </w:pPr>
      <w:r>
        <w:rPr>
          <w:sz w:val="4"/>
          <w:szCs w:val="4"/>
        </w:rPr>
      </w:r>
      <w:bookmarkStart w:id="1882" w:name="_Hlk96354565"/>
      <w:bookmarkStart w:id="1883" w:name="_Hlk96354565"/>
      <w:bookmarkEnd w:id="1883"/>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Symbol" w:hAnsi="Symbol"/>
                <w:sz w:val="12"/>
              </w:rPr>
            </w:pPr>
            <w:r>
              <w:rPr>
                <w:rFonts w:ascii="Symbol" w:hAnsi="Symbol"/>
                <w:sz w:val="12"/>
              </w:rPr>
              <w:t>*</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net income (loss).</w:t>
            </w:r>
          </w:p>
        </w:tc>
      </w:tr>
    </w:tbl>
    <w:p>
      <w:pPr>
        <w:pStyle w:val="TextBody"/>
        <w:bidi w:val="0"/>
        <w:spacing w:before="0" w:after="240"/>
        <w:ind w:left="0" w:right="0" w:hanging="0"/>
        <w:jc w:val="left"/>
        <w:rPr/>
      </w:pPr>
      <w:r>
        <w:rPr/>
        <w:t xml:space="preserve">† </w:t>
      </w:r>
      <w:r>
        <w:rPr>
          <w:rFonts w:ascii="Times New Roman;Times;serif" w:hAnsi="Times New Roman;Times;serif"/>
          <w:sz w:val="16"/>
        </w:rPr>
        <w:t xml:space="preserve">Represents net amounts not allocated to segments.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pension expenses other than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U.S. GAAP net income (loss) to adjusted EBITDA:</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826"/>
        <w:gridCol w:w="326"/>
        <w:gridCol w:w="310"/>
        <w:gridCol w:w="618"/>
        <w:gridCol w:w="478"/>
        <w:gridCol w:w="310"/>
        <w:gridCol w:w="635"/>
        <w:gridCol w:w="326"/>
        <w:gridCol w:w="249"/>
        <w:gridCol w:w="676"/>
        <w:gridCol w:w="386"/>
        <w:gridCol w:w="249"/>
        <w:gridCol w:w="816"/>
      </w:tblGrid>
      <w:tr>
        <w:trPr/>
        <w:tc>
          <w:tcPr>
            <w:tcW w:w="4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064510" cy="175260"/>
                      <wp:effectExtent l="0" t="0" r="0" b="0"/>
                      <wp:wrapNone/>
                      <wp:docPr id="432" name="Frame432"/>
                      <a:graphic xmlns:a="http://schemas.openxmlformats.org/drawingml/2006/main">
                        <a:graphicData uri="http://schemas.microsoft.com/office/word/2010/wordprocessingShape">
                          <wps:wsp>
                            <wps:cNvSpPr txBox="1"/>
                            <wps:spPr>
                              <a:xfrm>
                                <a:off x="0" y="0"/>
                                <a:ext cx="306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96850" cy="175260"/>
                      <wp:effectExtent l="0" t="0" r="0" b="0"/>
                      <wp:wrapNone/>
                      <wp:docPr id="434" name="Frame43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92430" cy="175260"/>
                      <wp:effectExtent l="0" t="0" r="0" b="0"/>
                      <wp:wrapNone/>
                      <wp:docPr id="435" name="Frame435"/>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03530" cy="175260"/>
                      <wp:effectExtent l="0" t="0" r="0" b="0"/>
                      <wp:wrapNone/>
                      <wp:docPr id="436" name="Frame436"/>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96850" cy="175260"/>
                      <wp:effectExtent l="0" t="0" r="0" b="0"/>
                      <wp:wrapNone/>
                      <wp:docPr id="437" name="Frame437"/>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03225" cy="175260"/>
                      <wp:effectExtent l="0" t="0" r="0" b="0"/>
                      <wp:wrapNone/>
                      <wp:docPr id="438" name="Frame438"/>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58115" cy="175260"/>
                      <wp:effectExtent l="0" t="0" r="0" b="0"/>
                      <wp:wrapNone/>
                      <wp:docPr id="440" name="Frame44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29260" cy="175260"/>
                      <wp:effectExtent l="0" t="0" r="0" b="0"/>
                      <wp:wrapNone/>
                      <wp:docPr id="441"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45110" cy="175260"/>
                      <wp:effectExtent l="0" t="0" r="0" b="0"/>
                      <wp:wrapNone/>
                      <wp:docPr id="442" name="Frame44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58115" cy="175260"/>
                      <wp:effectExtent l="0" t="0" r="0" b="0"/>
                      <wp:wrapNone/>
                      <wp:docPr id="443" name="Frame4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18160" cy="175260"/>
                      <wp:effectExtent l="0" t="0" r="0" b="0"/>
                      <wp:wrapNone/>
                      <wp:docPr id="444" name="Frame444"/>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3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4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center"/>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8" w:type="dxa"/>
            <w:tcBorders/>
            <w:vAlign w:val="center"/>
          </w:tcPr>
          <w:p>
            <w:pPr>
              <w:pStyle w:val="TableContents"/>
              <w:bidi w:val="0"/>
              <w:spacing w:before="0" w:after="0"/>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6" w:type="dxa"/>
            <w:tcBorders/>
            <w:vAlign w:val="center"/>
          </w:tcPr>
          <w:p>
            <w:pPr>
              <w:pStyle w:val="TableContents"/>
              <w:bidi w:val="0"/>
              <w:spacing w:before="0" w:after="0"/>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78"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78"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78"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center"/>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78"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8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4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478"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6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86" w:type="dxa"/>
            <w:tcBorders/>
            <w:shd w:fill="CCEEFF" w:val="clear"/>
            <w:vAlign w:val="center"/>
          </w:tcPr>
          <w:p>
            <w:pPr>
              <w:pStyle w:val="TableContents"/>
              <w:bidi w:val="0"/>
              <w:spacing w:before="0" w:after="0"/>
              <w:ind w:left="0" w:right="0" w:hanging="0"/>
              <w:jc w:val="center"/>
              <w:rPr/>
            </w:pPr>
            <w:r>
              <w:rPr/>
              <w:t>​</w:t>
            </w:r>
          </w:p>
        </w:tc>
        <w:tc>
          <w:tcPr>
            <w:tcW w:w="249" w:type="dxa"/>
            <w:tcBorders/>
            <w:shd w:fill="CCEEFF" w:val="clear"/>
            <w:vAlign w:val="center"/>
          </w:tcPr>
          <w:p>
            <w:pPr>
              <w:pStyle w:val="TableContents"/>
              <w:bidi w:val="0"/>
              <w:spacing w:before="0" w:after="0"/>
              <w:ind w:left="0" w:right="0" w:hanging="0"/>
              <w:jc w:val="center"/>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4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pPr>
            <w:r>
              <w:rPr/>
              <w:t>—</w:t>
            </w:r>
          </w:p>
        </w:tc>
        <w:tc>
          <w:tcPr>
            <w:tcW w:w="478"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478"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6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78"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6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8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4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78" w:type="dxa"/>
            <w:tcBorders/>
            <w:shd w:fill="CCEEFF" w:val="clear"/>
            <w:vAlign w:val="center"/>
          </w:tcPr>
          <w:p>
            <w:pPr>
              <w:pStyle w:val="TableContents"/>
              <w:bidi w:val="0"/>
              <w:spacing w:before="0" w:after="0"/>
              <w:ind w:left="0" w:right="0" w:hanging="0"/>
              <w:jc w:val="center"/>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6" w:type="dxa"/>
            <w:tcBorders/>
            <w:shd w:fill="CCEEFF" w:val="clear"/>
            <w:vAlign w:val="center"/>
          </w:tcPr>
          <w:p>
            <w:pPr>
              <w:pStyle w:val="TableContents"/>
              <w:bidi w:val="0"/>
              <w:spacing w:before="0" w:after="0"/>
              <w:ind w:left="0" w:right="0" w:hanging="0"/>
              <w:jc w:val="center"/>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8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478"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8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1,113</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left"/>
        <w:rPr/>
      </w:pPr>
      <w:r>
        <w:rPr/>
        <w:t>​</w:t>
      </w:r>
    </w:p>
    <w:tbl>
      <w:tblPr>
        <w:tblW w:w="9317" w:type="dxa"/>
        <w:jc w:val="left"/>
        <w:tblInd w:w="0" w:type="dxa"/>
        <w:tblLayout w:type="fixed"/>
        <w:tblCellMar>
          <w:top w:w="0" w:type="dxa"/>
          <w:left w:w="0" w:type="dxa"/>
          <w:bottom w:w="0" w:type="dxa"/>
          <w:right w:w="0" w:type="dxa"/>
        </w:tblCellMar>
      </w:tblPr>
      <w:tblGrid>
        <w:gridCol w:w="3451"/>
        <w:gridCol w:w="326"/>
        <w:gridCol w:w="293"/>
        <w:gridCol w:w="585"/>
        <w:gridCol w:w="377"/>
        <w:gridCol w:w="151"/>
        <w:gridCol w:w="293"/>
        <w:gridCol w:w="606"/>
        <w:gridCol w:w="377"/>
        <w:gridCol w:w="326"/>
        <w:gridCol w:w="236"/>
        <w:gridCol w:w="640"/>
        <w:gridCol w:w="304"/>
        <w:gridCol w:w="122"/>
        <w:gridCol w:w="236"/>
        <w:gridCol w:w="640"/>
        <w:gridCol w:w="3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1385" cy="175260"/>
                      <wp:effectExtent l="0" t="0" r="0" b="0"/>
                      <wp:wrapNone/>
                      <wp:docPr id="445" name="Frame44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71475" cy="175260"/>
                      <wp:effectExtent l="0" t="0" r="0" b="0"/>
                      <wp:wrapNone/>
                      <wp:docPr id="446" name="Frame446"/>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39395" cy="175260"/>
                      <wp:effectExtent l="0" t="0" r="0" b="0"/>
                      <wp:wrapNone/>
                      <wp:docPr id="447" name="Frame44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384810" cy="175260"/>
                      <wp:effectExtent l="0" t="0" r="0" b="0"/>
                      <wp:wrapNone/>
                      <wp:docPr id="448" name="Frame448"/>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39395" cy="175260"/>
                      <wp:effectExtent l="0" t="0" r="0" b="0"/>
                      <wp:wrapNone/>
                      <wp:docPr id="449" name="Frame449"/>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06400" cy="175260"/>
                      <wp:effectExtent l="0" t="0" r="0" b="0"/>
                      <wp:wrapNone/>
                      <wp:docPr id="450" name="Frame450"/>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93040" cy="175260"/>
                      <wp:effectExtent l="0" t="0" r="0" b="0"/>
                      <wp:wrapNone/>
                      <wp:docPr id="451" name="Frame45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406400" cy="175260"/>
                      <wp:effectExtent l="0" t="0" r="0" b="0"/>
                      <wp:wrapNone/>
                      <wp:docPr id="452" name="Frame452"/>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4790" cy="175260"/>
                      <wp:effectExtent l="0" t="0" r="0" b="0"/>
                      <wp:wrapNone/>
                      <wp:docPr id="453" name="Frame453"/>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25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1" w:type="dxa"/>
            <w:tcBorders/>
            <w:vAlign w:val="center"/>
          </w:tcPr>
          <w:p>
            <w:pPr>
              <w:pStyle w:val="TableContents"/>
              <w:bidi w:val="0"/>
              <w:spacing w:before="0" w:after="1"/>
              <w:ind w:left="0" w:right="0" w:hanging="0"/>
              <w:jc w:val="center"/>
              <w:rPr/>
            </w:pPr>
            <w:r>
              <w:rPr/>
              <w:t>​</w:t>
            </w:r>
          </w:p>
        </w:tc>
        <w:tc>
          <w:tcPr>
            <w:tcW w:w="127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2" w:type="dxa"/>
            <w:tcBorders/>
            <w:vAlign w:val="center"/>
          </w:tcPr>
          <w:p>
            <w:pPr>
              <w:pStyle w:val="TableContents"/>
              <w:bidi w:val="0"/>
              <w:spacing w:before="0" w:after="1"/>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c>
          <w:tcPr>
            <w:tcW w:w="377" w:type="dxa"/>
            <w:tcBorders/>
            <w:shd w:fill="CCEEFF" w:val="clear"/>
            <w:vAlign w:val="center"/>
          </w:tcPr>
          <w:p>
            <w:pPr>
              <w:pStyle w:val="TableContents"/>
              <w:bidi w:val="0"/>
              <w:spacing w:before="0" w:after="1"/>
              <w:ind w:left="0" w:right="0" w:hanging="0"/>
              <w:jc w:val="left"/>
              <w:rPr/>
            </w:pPr>
            <w:r>
              <w:rPr/>
              <w:t>​</w:t>
            </w:r>
          </w:p>
        </w:tc>
        <w:tc>
          <w:tcPr>
            <w:tcW w:w="151" w:type="dxa"/>
            <w:tcBorders/>
            <w:shd w:fill="CCEEFF" w:val="clear"/>
            <w:vAlign w:val="center"/>
          </w:tcPr>
          <w:p>
            <w:pPr>
              <w:pStyle w:val="TableContents"/>
              <w:bidi w:val="0"/>
              <w:spacing w:before="0" w:after="1"/>
              <w:ind w:left="0" w:right="0" w:hanging="0"/>
              <w:jc w:val="righ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w:t>
            </w:r>
          </w:p>
        </w:tc>
        <w:tc>
          <w:tcPr>
            <w:tcW w:w="37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1,810</w:t>
            </w:r>
          </w:p>
        </w:tc>
        <w:tc>
          <w:tcPr>
            <w:tcW w:w="304" w:type="dxa"/>
            <w:tcBorders/>
            <w:shd w:fill="CCEEFF" w:val="clear"/>
            <w:vAlign w:val="center"/>
          </w:tcPr>
          <w:p>
            <w:pPr>
              <w:pStyle w:val="TableContents"/>
              <w:bidi w:val="0"/>
              <w:spacing w:before="0" w:after="1"/>
              <w:ind w:left="0" w:right="0" w:hanging="0"/>
              <w:jc w:val="left"/>
              <w:rPr/>
            </w:pPr>
            <w:r>
              <w:rPr/>
              <w:t>​</w:t>
            </w:r>
          </w:p>
        </w:tc>
        <w:tc>
          <w:tcPr>
            <w:tcW w:w="122"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1,946</w:t>
            </w:r>
          </w:p>
        </w:tc>
        <w:tc>
          <w:tcPr>
            <w:tcW w:w="3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1"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377" w:type="dxa"/>
            <w:tcBorders/>
            <w:shd w:fill="CCEEFF" w:val="clear"/>
            <w:vAlign w:val="center"/>
          </w:tcPr>
          <w:p>
            <w:pPr>
              <w:pStyle w:val="TableContents"/>
              <w:bidi w:val="0"/>
              <w:spacing w:before="0" w:after="1"/>
              <w:ind w:left="0" w:right="0" w:hanging="0"/>
              <w:jc w:val="left"/>
              <w:rPr/>
            </w:pPr>
            <w:r>
              <w:rPr/>
              <w:t>​</w:t>
            </w:r>
          </w:p>
        </w:tc>
        <w:tc>
          <w:tcPr>
            <w:tcW w:w="151"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7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04" w:type="dxa"/>
            <w:tcBorders/>
            <w:shd w:fill="CCEEFF" w:val="clear"/>
            <w:vAlign w:val="center"/>
          </w:tcPr>
          <w:p>
            <w:pPr>
              <w:pStyle w:val="TableContents"/>
              <w:bidi w:val="0"/>
              <w:spacing w:before="0" w:after="1"/>
              <w:ind w:left="0" w:right="0" w:hanging="0"/>
              <w:jc w:val="right"/>
              <w:rPr/>
            </w:pPr>
            <w:r>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54" w:type="dxa"/>
            <w:tcBorders/>
            <w:shd w:fill="CCEEFF" w:val="cle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1"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pPr>
            <w:r>
              <w:rPr/>
              <w:t>​</w:t>
            </w:r>
          </w:p>
        </w:tc>
        <w:tc>
          <w:tcPr>
            <w:tcW w:w="3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pPr>
            <w:r>
              <w:rPr/>
              <w:t>​</w:t>
            </w:r>
          </w:p>
        </w:tc>
        <w:tc>
          <w:tcPr>
            <w:tcW w:w="35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2025, United States revenue of $899 million decreased 6 percent compared to the prior-year quarter, driven by the Company’s efforts to reduce certain low-margin revenues and the expiration of certain low- and negative-margin contracts entered into before the Spin-off. Adjusted EBITDA increased $36 million from the prior-year quarter, primarily driven by progress on our key initiatives to drive operating efficiencies.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2025, United States revenue of $1.8 billion decreased 7 percent compared to the prior-year period, driven by the Company’s efforts to reduce certain low-margin revenues and the expiration of certain low- and negative-margin contracts entered into before the Spin-off. Adjusted EBITDA increased $99 million from the prior-year period, primarily driven by progress on our key initiatives to drive operating efficiencies, including lower sales, general and administrative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Japan</w:t>
      </w:r>
    </w:p>
    <w:p>
      <w:pPr>
        <w:pStyle w:val="TextBody"/>
        <w:bidi w:val="0"/>
        <w:spacing w:before="0" w:after="240"/>
        <w:ind w:left="0" w:right="0" w:firstLine="720"/>
        <w:jc w:val="left"/>
        <w:rPr/>
      </w:pPr>
      <w:r>
        <w:rPr/>
        <w:t>​</w:t>
      </w:r>
    </w:p>
    <w:tbl>
      <w:tblPr>
        <w:tblW w:w="9100" w:type="dxa"/>
        <w:jc w:val="left"/>
        <w:tblInd w:w="0" w:type="dxa"/>
        <w:tblLayout w:type="fixed"/>
        <w:tblCellMar>
          <w:top w:w="0" w:type="dxa"/>
          <w:left w:w="0" w:type="dxa"/>
          <w:bottom w:w="0" w:type="dxa"/>
          <w:right w:w="0" w:type="dxa"/>
        </w:tblCellMar>
      </w:tblPr>
      <w:tblGrid>
        <w:gridCol w:w="3451"/>
        <w:gridCol w:w="326"/>
        <w:gridCol w:w="295"/>
        <w:gridCol w:w="590"/>
        <w:gridCol w:w="380"/>
        <w:gridCol w:w="152"/>
        <w:gridCol w:w="295"/>
        <w:gridCol w:w="590"/>
        <w:gridCol w:w="380"/>
        <w:gridCol w:w="109"/>
        <w:gridCol w:w="236"/>
        <w:gridCol w:w="640"/>
        <w:gridCol w:w="304"/>
        <w:gridCol w:w="122"/>
        <w:gridCol w:w="236"/>
        <w:gridCol w:w="640"/>
        <w:gridCol w:w="3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191385" cy="175260"/>
                      <wp:effectExtent l="0" t="0" r="0" b="0"/>
                      <wp:wrapNone/>
                      <wp:docPr id="454" name="Frame45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374650" cy="175260"/>
                      <wp:effectExtent l="0" t="0" r="0" b="0"/>
                      <wp:wrapNone/>
                      <wp:docPr id="455" name="Frame455"/>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41300" cy="175260"/>
                      <wp:effectExtent l="0" t="0" r="0" b="0"/>
                      <wp:wrapNone/>
                      <wp:docPr id="456" name="Frame456"/>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374650" cy="175260"/>
                      <wp:effectExtent l="0" t="0" r="0" b="0"/>
                      <wp:wrapNone/>
                      <wp:docPr id="457" name="Frame457"/>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41300" cy="175260"/>
                      <wp:effectExtent l="0" t="0" r="0" b="0"/>
                      <wp:wrapNone/>
                      <wp:docPr id="458" name="Frame458"/>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06400" cy="175260"/>
                      <wp:effectExtent l="0" t="0" r="0" b="0"/>
                      <wp:wrapNone/>
                      <wp:docPr id="459" name="Frame459"/>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93040" cy="175260"/>
                      <wp:effectExtent l="0" t="0" r="0" b="0"/>
                      <wp:wrapNone/>
                      <wp:docPr id="460" name="Frame460"/>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06400" cy="175260"/>
                      <wp:effectExtent l="0" t="0" r="0" b="0"/>
                      <wp:wrapNone/>
                      <wp:docPr id="461" name="Frame46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24790" cy="175260"/>
                      <wp:effectExtent l="0" t="0" r="0" b="0"/>
                      <wp:wrapNone/>
                      <wp:docPr id="462" name="Frame46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1"/>
              <w:ind w:left="0" w:right="0" w:hanging="0"/>
              <w:jc w:val="left"/>
              <w:rPr/>
            </w:pPr>
            <w:r>
              <w:rPr/>
              <w:t>​</w:t>
            </w:r>
          </w:p>
        </w:tc>
        <w:tc>
          <w:tcPr>
            <w:tcW w:w="253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1"/>
              <w:ind w:left="0" w:right="0" w:hanging="0"/>
              <w:jc w:val="left"/>
              <w:rPr/>
            </w:pPr>
            <w:r>
              <w:rPr/>
              <w:t>    </w:t>
            </w:r>
          </w:p>
        </w:tc>
        <w:tc>
          <w:tcPr>
            <w:tcW w:w="126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2" w:type="dxa"/>
            <w:tcBorders/>
            <w:vAlign w:val="center"/>
          </w:tcPr>
          <w:p>
            <w:pPr>
              <w:pStyle w:val="TableContents"/>
              <w:bidi w:val="0"/>
              <w:spacing w:before="0" w:after="1"/>
              <w:ind w:left="0" w:right="0" w:hanging="0"/>
              <w:jc w:val="center"/>
              <w:rPr/>
            </w:pPr>
            <w:r>
              <w:rPr/>
              <w:t>​</w:t>
            </w:r>
          </w:p>
        </w:tc>
        <w:tc>
          <w:tcPr>
            <w:tcW w:w="126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18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2" w:type="dxa"/>
            <w:tcBorders/>
            <w:vAlign w:val="center"/>
          </w:tcPr>
          <w:p>
            <w:pPr>
              <w:pStyle w:val="TableContents"/>
              <w:bidi w:val="0"/>
              <w:spacing w:before="0" w:after="1"/>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80" w:type="dxa"/>
            <w:tcBorders/>
            <w:shd w:fill="CCEEFF" w:val="clear"/>
            <w:vAlign w:val="center"/>
          </w:tcPr>
          <w:p>
            <w:pPr>
              <w:pStyle w:val="TableContents"/>
              <w:bidi w:val="0"/>
              <w:spacing w:before="0" w:after="1"/>
              <w:ind w:left="0" w:right="0" w:hanging="0"/>
              <w:jc w:val="left"/>
              <w:rPr/>
            </w:pPr>
            <w:r>
              <w:rPr/>
              <w:t>​</w:t>
            </w:r>
          </w:p>
        </w:tc>
        <w:tc>
          <w:tcPr>
            <w:tcW w:w="152" w:type="dxa"/>
            <w:tcBorders/>
            <w:shd w:fill="CCEEFF" w:val="clear"/>
            <w:vAlign w:val="center"/>
          </w:tcPr>
          <w:p>
            <w:pPr>
              <w:pStyle w:val="TableContents"/>
              <w:bidi w:val="0"/>
              <w:spacing w:before="0" w:after="1"/>
              <w:ind w:left="0" w:right="0" w:hanging="0"/>
              <w:jc w:val="righ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8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304" w:type="dxa"/>
            <w:tcBorders/>
            <w:shd w:fill="CCEEFF" w:val="clear"/>
            <w:vAlign w:val="center"/>
          </w:tcPr>
          <w:p>
            <w:pPr>
              <w:pStyle w:val="TableContents"/>
              <w:bidi w:val="0"/>
              <w:spacing w:before="0" w:after="1"/>
              <w:ind w:left="0" w:right="0" w:hanging="0"/>
              <w:jc w:val="left"/>
              <w:rPr/>
            </w:pPr>
            <w:r>
              <w:rPr/>
              <w:t>​</w:t>
            </w:r>
          </w:p>
        </w:tc>
        <w:tc>
          <w:tcPr>
            <w:tcW w:w="122"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w:t>
            </w:r>
          </w:p>
        </w:tc>
        <w:tc>
          <w:tcPr>
            <w:tcW w:w="354"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2"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3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righ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 </w:t>
            </w:r>
          </w:p>
        </w:tc>
        <w:tc>
          <w:tcPr>
            <w:tcW w:w="3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7 </w:t>
            </w:r>
          </w:p>
        </w:tc>
        <w:tc>
          <w:tcPr>
            <w:tcW w:w="3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80"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righ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8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04" w:type="dxa"/>
            <w:tcBorders/>
            <w:vAlign w:val="center"/>
          </w:tcPr>
          <w:p>
            <w:pPr>
              <w:pStyle w:val="TableContents"/>
              <w:bidi w:val="0"/>
              <w:spacing w:before="0" w:after="1"/>
              <w:ind w:left="0" w:right="0" w:hanging="0"/>
              <w:jc w:val="right"/>
              <w:rPr/>
            </w:pPr>
            <w:r>
              <w:rPr/>
              <w:t>​</w:t>
            </w:r>
          </w:p>
        </w:tc>
        <w:tc>
          <w:tcPr>
            <w:tcW w:w="122"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54" w:type="dxa"/>
            <w:tcBorders/>
            <w:vAlign w:val="center"/>
          </w:tcPr>
          <w:p>
            <w:pPr>
              <w:pStyle w:val="TableContents"/>
              <w:bidi w:val="0"/>
              <w:spacing w:before="0" w:after="1"/>
              <w:ind w:left="0" w:right="0" w:hanging="0"/>
              <w:jc w:val="righ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30 </w:t>
            </w:r>
          </w:p>
        </w:tc>
        <w:tc>
          <w:tcPr>
            <w:tcW w:w="3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34 </w:t>
            </w:r>
          </w:p>
        </w:tc>
        <w:tc>
          <w:tcPr>
            <w:tcW w:w="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640"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September 30, 2025, Japan revenue of $581 million decreased 4 percent, and decreased 5 percent in constant currency, compared to the prior-year quarter, driven by actions the Company has taken to reduce low-margin components of its customer relationships. Adjusted EBITDA increased $29 million from the prior-year quarter, driven by progress on our key initiatives to drive operating efficiencies.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2025, Japan revenue of $1.2 billion decreased 1 percent, and decreased 5 percent in constant currency, compared to the prior-year period, driven by actions the Company has taken to reduce low-margin components of its customer relationships. Adjusted EBITDA increased $61 million from the prior-year period, driven by progress on our key initiatives to drive operating efficiencies.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Markets</w:t>
      </w:r>
    </w:p>
    <w:p>
      <w:pPr>
        <w:pStyle w:val="TextBody"/>
        <w:bidi w:val="0"/>
        <w:spacing w:before="0" w:after="240"/>
        <w:ind w:left="0" w:right="0" w:firstLine="720"/>
        <w:jc w:val="left"/>
        <w:rPr/>
      </w:pPr>
      <w:r>
        <w:rPr/>
        <w:t>​</w:t>
      </w:r>
    </w:p>
    <w:tbl>
      <w:tblPr>
        <w:tblW w:w="9317" w:type="dxa"/>
        <w:jc w:val="left"/>
        <w:tblInd w:w="0" w:type="dxa"/>
        <w:tblLayout w:type="fixed"/>
        <w:tblCellMar>
          <w:top w:w="0" w:type="dxa"/>
          <w:left w:w="0" w:type="dxa"/>
          <w:bottom w:w="0" w:type="dxa"/>
          <w:right w:w="0" w:type="dxa"/>
        </w:tblCellMar>
      </w:tblPr>
      <w:tblGrid>
        <w:gridCol w:w="3451"/>
        <w:gridCol w:w="326"/>
        <w:gridCol w:w="255"/>
        <w:gridCol w:w="692"/>
        <w:gridCol w:w="328"/>
        <w:gridCol w:w="132"/>
        <w:gridCol w:w="255"/>
        <w:gridCol w:w="692"/>
        <w:gridCol w:w="328"/>
        <w:gridCol w:w="326"/>
        <w:gridCol w:w="236"/>
        <w:gridCol w:w="640"/>
        <w:gridCol w:w="304"/>
        <w:gridCol w:w="122"/>
        <w:gridCol w:w="236"/>
        <w:gridCol w:w="640"/>
        <w:gridCol w:w="3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1385" cy="175260"/>
                      <wp:effectExtent l="0" t="0" r="0" b="0"/>
                      <wp:wrapNone/>
                      <wp:docPr id="463" name="Frame46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39420" cy="175260"/>
                      <wp:effectExtent l="0" t="0" r="0" b="0"/>
                      <wp:wrapNone/>
                      <wp:docPr id="464" name="Frame464"/>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8280" cy="175260"/>
                      <wp:effectExtent l="0" t="0" r="0" b="0"/>
                      <wp:wrapNone/>
                      <wp:docPr id="465" name="Frame46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39420" cy="175260"/>
                      <wp:effectExtent l="0" t="0" r="0" b="0"/>
                      <wp:wrapNone/>
                      <wp:docPr id="466" name="Frame466"/>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8280" cy="175260"/>
                      <wp:effectExtent l="0" t="0" r="0" b="0"/>
                      <wp:wrapNone/>
                      <wp:docPr id="467" name="Frame46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06400" cy="175260"/>
                      <wp:effectExtent l="0" t="0" r="0" b="0"/>
                      <wp:wrapNone/>
                      <wp:docPr id="468" name="Frame46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93040" cy="175260"/>
                      <wp:effectExtent l="0" t="0" r="0" b="0"/>
                      <wp:wrapNone/>
                      <wp:docPr id="469" name="Frame469"/>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06400" cy="175260"/>
                      <wp:effectExtent l="0" t="0" r="0" b="0"/>
                      <wp:wrapNone/>
                      <wp:docPr id="470" name="Frame470"/>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24790" cy="175260"/>
                      <wp:effectExtent l="0" t="0" r="0" b="0"/>
                      <wp:wrapNone/>
                      <wp:docPr id="471" name="Frame47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2" w:type="dxa"/>
            <w:tcBorders/>
            <w:vAlign w:val="center"/>
          </w:tcPr>
          <w:p>
            <w:pPr>
              <w:pStyle w:val="TableContents"/>
              <w:bidi w:val="0"/>
              <w:spacing w:before="0" w:after="0"/>
              <w:ind w:left="0" w:right="0" w:hanging="0"/>
              <w:jc w:val="center"/>
              <w:rPr/>
            </w:pPr>
            <w:r>
              <w:rPr/>
              <w:t>​</w:t>
            </w:r>
          </w:p>
        </w:tc>
        <w:tc>
          <w:tcPr>
            <w:tcW w:w="127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2" w:type="dxa"/>
            <w:tcBorders/>
            <w:vAlign w:val="center"/>
          </w:tcPr>
          <w:p>
            <w:pPr>
              <w:pStyle w:val="TableContents"/>
              <w:bidi w:val="0"/>
              <w:spacing w:before="0" w:after="0"/>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c>
          <w:tcPr>
            <w:tcW w:w="328"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w:t>
            </w:r>
          </w:p>
        </w:tc>
        <w:tc>
          <w:tcPr>
            <w:tcW w:w="32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w:t>
            </w:r>
          </w:p>
        </w:tc>
        <w:tc>
          <w:tcPr>
            <w:tcW w:w="304"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8"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04"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 </w:t>
            </w:r>
          </w:p>
        </w:tc>
        <w:tc>
          <w:tcPr>
            <w:tcW w:w="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2"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2025, Principal Markets revenue of $1.3 billion increased 1 percent compared to the prior-year quarter, driven by a favorable currency exchange rate impact of four points. Adjusted EBITDA increased $23 million from the prior-year quarter, primarily due to progress on our key initiatives to drive operating efficiencies and higher margins on recent signings.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2025, Principal Markets revenue of $2.7 billion increased 2 percent compared to the prior-year period, driven by a favorable currency exchange rate impact of four points. Adjusted EBITDA decreased $21 million from the prior-year period, primarily due to a vendor credit in the prior year, partially offset by progress on our key initiatives to drive operating efficiencies and higher margins on recent signings.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Markets</w:t>
      </w:r>
    </w:p>
    <w:p>
      <w:pPr>
        <w:pStyle w:val="TextBody"/>
        <w:bidi w:val="0"/>
        <w:spacing w:before="0" w:after="0"/>
        <w:ind w:left="0" w:right="0" w:hanging="0"/>
        <w:jc w:val="left"/>
        <w:rPr/>
      </w:pPr>
      <w:r>
        <w:rPr/>
        <w:t>​</w:t>
      </w:r>
    </w:p>
    <w:tbl>
      <w:tblPr>
        <w:tblW w:w="9317" w:type="dxa"/>
        <w:jc w:val="left"/>
        <w:tblInd w:w="0" w:type="dxa"/>
        <w:tblLayout w:type="fixed"/>
        <w:tblCellMar>
          <w:top w:w="0" w:type="dxa"/>
          <w:left w:w="0" w:type="dxa"/>
          <w:bottom w:w="0" w:type="dxa"/>
          <w:right w:w="0" w:type="dxa"/>
        </w:tblCellMar>
      </w:tblPr>
      <w:tblGrid>
        <w:gridCol w:w="3451"/>
        <w:gridCol w:w="326"/>
        <w:gridCol w:w="293"/>
        <w:gridCol w:w="585"/>
        <w:gridCol w:w="377"/>
        <w:gridCol w:w="151"/>
        <w:gridCol w:w="293"/>
        <w:gridCol w:w="606"/>
        <w:gridCol w:w="377"/>
        <w:gridCol w:w="326"/>
        <w:gridCol w:w="236"/>
        <w:gridCol w:w="640"/>
        <w:gridCol w:w="304"/>
        <w:gridCol w:w="122"/>
        <w:gridCol w:w="236"/>
        <w:gridCol w:w="640"/>
        <w:gridCol w:w="3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1385" cy="175260"/>
                      <wp:effectExtent l="0" t="0" r="0" b="0"/>
                      <wp:wrapNone/>
                      <wp:docPr id="472" name="Frame472"/>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371475" cy="175260"/>
                      <wp:effectExtent l="0" t="0" r="0" b="0"/>
                      <wp:wrapNone/>
                      <wp:docPr id="473" name="Frame473"/>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39395" cy="175260"/>
                      <wp:effectExtent l="0" t="0" r="0" b="0"/>
                      <wp:wrapNone/>
                      <wp:docPr id="474" name="Frame47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95885" cy="175260"/>
                      <wp:effectExtent l="0" t="0" r="0" b="0"/>
                      <wp:wrapNone/>
                      <wp:docPr id="475" name="Frame475"/>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84810" cy="175260"/>
                      <wp:effectExtent l="0" t="0" r="0" b="0"/>
                      <wp:wrapNone/>
                      <wp:docPr id="476" name="Frame476"/>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39395" cy="175260"/>
                      <wp:effectExtent l="0" t="0" r="0" b="0"/>
                      <wp:wrapNone/>
                      <wp:docPr id="477" name="Frame47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06400" cy="175260"/>
                      <wp:effectExtent l="0" t="0" r="0" b="0"/>
                      <wp:wrapNone/>
                      <wp:docPr id="478" name="Frame478"/>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93040" cy="175260"/>
                      <wp:effectExtent l="0" t="0" r="0" b="0"/>
                      <wp:wrapNone/>
                      <wp:docPr id="479" name="Frame479"/>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7470" cy="175260"/>
                      <wp:effectExtent l="0" t="0" r="0" b="0"/>
                      <wp:wrapNone/>
                      <wp:docPr id="480" name="Frame480"/>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06400" cy="175260"/>
                      <wp:effectExtent l="0" t="0" r="0" b="0"/>
                      <wp:wrapNone/>
                      <wp:docPr id="481" name="Frame481"/>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24790" cy="175260"/>
                      <wp:effectExtent l="0" t="0" r="0" b="0"/>
                      <wp:wrapNone/>
                      <wp:docPr id="482" name="Frame48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center"/>
              <w:rPr/>
            </w:pPr>
            <w:r>
              <w:rPr/>
              <w:t>​</w:t>
            </w:r>
          </w:p>
        </w:tc>
        <w:tc>
          <w:tcPr>
            <w:tcW w:w="253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1" w:type="dxa"/>
            <w:tcBorders/>
            <w:vAlign w:val="center"/>
          </w:tcPr>
          <w:p>
            <w:pPr>
              <w:pStyle w:val="TableContents"/>
              <w:bidi w:val="0"/>
              <w:spacing w:before="0" w:after="0"/>
              <w:ind w:left="0" w:right="0" w:hanging="0"/>
              <w:jc w:val="center"/>
              <w:rPr/>
            </w:pPr>
            <w:r>
              <w:rPr/>
              <w:t>​</w:t>
            </w:r>
          </w:p>
        </w:tc>
        <w:tc>
          <w:tcPr>
            <w:tcW w:w="127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2" w:type="dxa"/>
            <w:tcBorders/>
            <w:vAlign w:val="center"/>
          </w:tcPr>
          <w:p>
            <w:pPr>
              <w:pStyle w:val="TableContents"/>
              <w:bidi w:val="0"/>
              <w:spacing w:before="0" w:after="0"/>
              <w:ind w:left="0" w:right="0" w:hanging="0"/>
              <w:jc w:val="center"/>
              <w:rPr/>
            </w:pPr>
            <w:r>
              <w:rPr/>
              <w:t>​</w:t>
            </w:r>
          </w:p>
        </w:tc>
        <w:tc>
          <w:tcPr>
            <w:tcW w:w="12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77"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304"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w:t>
            </w:r>
          </w:p>
        </w:tc>
        <w:tc>
          <w:tcPr>
            <w:tcW w:w="3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1"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1"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77"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04"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1"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 </w:t>
            </w:r>
          </w:p>
        </w:tc>
        <w:tc>
          <w:tcPr>
            <w:tcW w:w="3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 w:type="dxa"/>
            <w:tcBorders/>
            <w:shd w:fill="CCEEFF" w:val="clear"/>
            <w:vAlign w:val="center"/>
          </w:tcPr>
          <w:p>
            <w:pPr>
              <w:pStyle w:val="TableContents"/>
              <w:bidi w:val="0"/>
              <w:spacing w:before="0" w:after="0"/>
              <w:ind w:left="0" w:right="0" w:hanging="0"/>
              <w:jc w:val="righ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640"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September 30, 2025, Strategic Markets revenue of $906 million increased 2 percent compared to the prior-year quarter, driven by a favorable currency exchange rate impact of four points. Adjusted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EBITDA increased $4 million from the prior-year quarter, primarily due to progress on our key initiatives to drive operating efficiencies and higher margins on recent signings.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six months ended September 30, 2025, Strategic Markets revenue of $1.8 billion increased 2 percent compared to the prior-year period, driven by a favorable currency exchange rate impact of two points. Adjusted EBITDA increased $48 million from the prior-year period, primarily due to progress on our key initiatives to drive operating efficiencies and higher margins on recent signings.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 and Other</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and other had an adjusted EBITDA loss of $28 million in the three months ended September 30, 2025, compared to a loss of $22 million in the three months ended September 30, 2024. Corporate and other had an adjusted EBITDA loss of $53 million in the six months ended September 30, 2025, compared to a loss of $42 million in the six months ended September 30, 2024.</w:t>
      </w:r>
    </w:p>
    <w:p>
      <w:pPr>
        <w:pStyle w:val="TextBody"/>
        <w:bidi w:val="0"/>
        <w:spacing w:before="0" w:after="0"/>
        <w:ind w:left="0" w:right="0" w:hanging="0"/>
        <w:jc w:val="left"/>
        <w:rPr>
          <w:rFonts w:ascii="Times New Roman;Times;serif" w:hAnsi="Times New Roman;Times;serif"/>
          <w:b/>
          <w:i/>
          <w:sz w:val="20"/>
        </w:rPr>
      </w:pPr>
      <w:bookmarkStart w:id="1884" w:name="_81f17272_d9b5_4e22_bff8_fc8166af06ad"/>
      <w:bookmarkEnd w:id="1884"/>
      <w:r>
        <w:rPr>
          <w:rFonts w:ascii="Times New Roman;Times;serif" w:hAnsi="Times New Roman;Times;serif"/>
          <w:b/>
          <w:i/>
          <w:sz w:val="20"/>
        </w:rPr>
        <w:t>Costs and Expenses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48"/>
        <w:gridCol w:w="326"/>
        <w:gridCol w:w="333"/>
        <w:gridCol w:w="903"/>
        <w:gridCol w:w="171"/>
        <w:gridCol w:w="333"/>
        <w:gridCol w:w="903"/>
        <w:gridCol w:w="326"/>
        <w:gridCol w:w="571"/>
        <w:gridCol w:w="271"/>
        <w:gridCol w:w="109"/>
        <w:gridCol w:w="571"/>
        <w:gridCol w:w="271"/>
        <w:gridCol w:w="326"/>
        <w:gridCol w:w="660"/>
        <w:gridCol w:w="483"/>
      </w:tblGrid>
      <w:tr>
        <w:trPr/>
        <w:tc>
          <w:tcPr>
            <w:tcW w:w="3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316480" cy="175260"/>
                      <wp:effectExtent l="0" t="0" r="0" b="0"/>
                      <wp:wrapNone/>
                      <wp:docPr id="483" name="Frame483"/>
                      <a:graphic xmlns:a="http://schemas.openxmlformats.org/drawingml/2006/main">
                        <a:graphicData uri="http://schemas.microsoft.com/office/word/2010/wordprocessingShape">
                          <wps:wsp>
                            <wps:cNvSpPr txBox="1"/>
                            <wps:spPr>
                              <a:xfrm>
                                <a:off x="0" y="0"/>
                                <a:ext cx="2316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1455" cy="175260"/>
                      <wp:effectExtent l="0" t="0" r="0" b="0"/>
                      <wp:wrapNone/>
                      <wp:docPr id="485" name="Frame48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573405" cy="175260"/>
                      <wp:effectExtent l="0" t="0" r="0" b="0"/>
                      <wp:wrapNone/>
                      <wp:docPr id="486" name="Frame48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08585" cy="175260"/>
                      <wp:effectExtent l="0" t="0" r="0" b="0"/>
                      <wp:wrapNone/>
                      <wp:docPr id="487" name="Frame487"/>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11455" cy="175260"/>
                      <wp:effectExtent l="0" t="0" r="0" b="0"/>
                      <wp:wrapNone/>
                      <wp:docPr id="488" name="Frame48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73405" cy="175260"/>
                      <wp:effectExtent l="0" t="0" r="0" b="0"/>
                      <wp:wrapNone/>
                      <wp:docPr id="489" name="Frame489"/>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7010" cy="175260"/>
                      <wp:effectExtent l="0" t="0" r="0" b="0"/>
                      <wp:wrapNone/>
                      <wp:docPr id="490"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362585" cy="175260"/>
                      <wp:effectExtent l="0" t="0" r="0" b="0"/>
                      <wp:wrapNone/>
                      <wp:docPr id="491" name="Frame4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72085" cy="175260"/>
                      <wp:effectExtent l="0" t="0" r="0" b="0"/>
                      <wp:wrapNone/>
                      <wp:docPr id="492" name="Frame49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9215" cy="175260"/>
                      <wp:effectExtent l="0" t="0" r="0" b="0"/>
                      <wp:wrapNone/>
                      <wp:docPr id="493" name="Frame4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362585" cy="175260"/>
                      <wp:effectExtent l="0" t="0" r="0" b="0"/>
                      <wp:wrapNone/>
                      <wp:docPr id="494" name="Frame4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172085" cy="175260"/>
                      <wp:effectExtent l="0" t="0" r="0" b="0"/>
                      <wp:wrapNone/>
                      <wp:docPr id="495" name="Frame49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19100" cy="175260"/>
                      <wp:effectExtent l="0" t="0" r="0" b="0"/>
                      <wp:wrapNone/>
                      <wp:docPr id="497" name="Frame497"/>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06705" cy="175260"/>
                      <wp:effectExtent l="0" t="0" r="0" b="0"/>
                      <wp:wrapNone/>
                      <wp:docPr id="498" name="Frame498"/>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vAlign w:val="center"/>
          </w:tcPr>
          <w:p>
            <w:pPr>
              <w:pStyle w:val="TableContents"/>
              <w:bidi w:val="0"/>
              <w:spacing w:before="0" w:after="0"/>
              <w:ind w:left="0" w:right="0" w:hanging="0"/>
              <w:jc w:val="left"/>
              <w:rPr/>
            </w:pPr>
            <w:r>
              <w:rPr/>
              <w:t>​</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71" w:type="dxa"/>
            <w:tcBorders/>
            <w:vAlign w:val="center"/>
          </w:tcPr>
          <w:p>
            <w:pPr>
              <w:pStyle w:val="TableContents"/>
              <w:bidi w:val="0"/>
              <w:spacing w:before="0" w:after="0"/>
              <w:ind w:left="0" w:right="0" w:hanging="0"/>
              <w:jc w:val="left"/>
              <w:rPr/>
            </w:pPr>
            <w:r>
              <w:rPr/>
              <w:t>​</w:t>
            </w:r>
          </w:p>
        </w:tc>
        <w:tc>
          <w:tcPr>
            <w:tcW w:w="12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3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w:t>
            </w:r>
          </w:p>
        </w:tc>
        <w:tc>
          <w:tcPr>
            <w:tcW w:w="171"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w:t>
            </w:r>
          </w:p>
        </w:tc>
        <w:tc>
          <w:tcPr>
            <w:tcW w:w="171"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171"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71"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71"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 </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71"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98 </w:t>
            </w:r>
          </w:p>
        </w:tc>
        <w:tc>
          <w:tcPr>
            <w:tcW w:w="171"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 </w:t>
            </w:r>
          </w:p>
        </w:tc>
        <w:tc>
          <w:tcPr>
            <w:tcW w:w="2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60"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services was 78.5% of revenue in the three months ended September 30, 2025, compared to 80.1% in the three months ended September 30, 2024, driven by progress on our key initiatives to drive operating efficiencies and higher margins on recent signings. Selling, general and administrative expenses were 17.7% of revenue in the three months ended September 30, 2025 compared to 17.1% in the prior-year quarter, driven by lower revenue. Workforce rebalancing charges were 0.5% of revenue in the three months ended September 30, 2025 versus 1.0% of revenue in the prior-year quarter. Interest expense was 0.5% of revenue in the three months ended September 30, 2025 compared to 0.7% in the prior-year quarter. Other expense was 0.1% of revenue in the three months ended September 30, 2025, compared to 1.2% of revenue in the prior-year quarter, driven by currency-related hedging losses recorded last 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10152" w:type="dxa"/>
        <w:jc w:val="left"/>
        <w:tblInd w:w="0" w:type="dxa"/>
        <w:tblLayout w:type="fixed"/>
        <w:tblCellMar>
          <w:top w:w="0" w:type="dxa"/>
          <w:left w:w="0" w:type="dxa"/>
          <w:bottom w:w="0" w:type="dxa"/>
          <w:right w:w="0" w:type="dxa"/>
        </w:tblCellMar>
      </w:tblPr>
      <w:tblGrid>
        <w:gridCol w:w="3736"/>
        <w:gridCol w:w="326"/>
        <w:gridCol w:w="314"/>
        <w:gridCol w:w="850"/>
        <w:gridCol w:w="162"/>
        <w:gridCol w:w="314"/>
        <w:gridCol w:w="850"/>
        <w:gridCol w:w="326"/>
        <w:gridCol w:w="571"/>
        <w:gridCol w:w="271"/>
        <w:gridCol w:w="109"/>
        <w:gridCol w:w="571"/>
        <w:gridCol w:w="271"/>
        <w:gridCol w:w="326"/>
        <w:gridCol w:w="729"/>
        <w:gridCol w:w="42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372360" cy="175260"/>
                      <wp:effectExtent l="0" t="0" r="0" b="0"/>
                      <wp:wrapNone/>
                      <wp:docPr id="499" name="Frame49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500" name="Frame5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99390" cy="175260"/>
                      <wp:effectExtent l="0" t="0" r="0" b="0"/>
                      <wp:wrapNone/>
                      <wp:docPr id="501" name="Frame50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539750" cy="175260"/>
                      <wp:effectExtent l="0" t="0" r="0" b="0"/>
                      <wp:wrapNone/>
                      <wp:docPr id="502" name="Frame502"/>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02870" cy="175260"/>
                      <wp:effectExtent l="0" t="0" r="0" b="0"/>
                      <wp:wrapNone/>
                      <wp:docPr id="503" name="Frame503"/>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199390" cy="175260"/>
                      <wp:effectExtent l="0" t="0" r="0" b="0"/>
                      <wp:wrapNone/>
                      <wp:docPr id="504" name="Frame50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539750" cy="175260"/>
                      <wp:effectExtent l="0" t="0" r="0" b="0"/>
                      <wp:wrapNone/>
                      <wp:docPr id="505" name="Frame505"/>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62585" cy="175260"/>
                      <wp:effectExtent l="0" t="0" r="0" b="0"/>
                      <wp:wrapNone/>
                      <wp:docPr id="507" name="Frame5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72085" cy="175260"/>
                      <wp:effectExtent l="0" t="0" r="0" b="0"/>
                      <wp:wrapNone/>
                      <wp:docPr id="508" name="Frame5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5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362585" cy="175260"/>
                      <wp:effectExtent l="0" t="0" r="0" b="0"/>
                      <wp:wrapNone/>
                      <wp:docPr id="510" name="Frame5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72085" cy="175260"/>
                      <wp:effectExtent l="0" t="0" r="0" b="0"/>
                      <wp:wrapNone/>
                      <wp:docPr id="511" name="Frame51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462915" cy="175260"/>
                      <wp:effectExtent l="0" t="0" r="0" b="0"/>
                      <wp:wrapNone/>
                      <wp:docPr id="513" name="Frame513"/>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70510" cy="175260"/>
                      <wp:effectExtent l="0" t="0" r="0" b="0"/>
                      <wp:wrapNone/>
                      <wp:docPr id="514" name="Frame514"/>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c>
          <w:tcPr>
            <w:tcW w:w="326" w:type="dxa"/>
            <w:tcBorders/>
            <w:vAlign w:val="center"/>
          </w:tcPr>
          <w:p>
            <w:pPr>
              <w:pStyle w:val="TableContents"/>
              <w:bidi w:val="0"/>
              <w:spacing w:before="0" w:after="0"/>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vAlign w:val="center"/>
          </w:tcPr>
          <w:p>
            <w:pPr>
              <w:pStyle w:val="TableContents"/>
              <w:bidi w:val="0"/>
              <w:spacing w:before="0" w:after="0"/>
              <w:ind w:left="0" w:right="0" w:hanging="0"/>
              <w:jc w:val="left"/>
              <w:rPr/>
            </w:pPr>
            <w:r>
              <w:rPr/>
              <w:t>​</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2" w:type="dxa"/>
            <w:tcBorders/>
            <w:vAlign w:val="center"/>
          </w:tcPr>
          <w:p>
            <w:pPr>
              <w:pStyle w:val="TableContents"/>
              <w:bidi w:val="0"/>
              <w:spacing w:before="0" w:after="0"/>
              <w:ind w:left="0" w:right="0" w:hanging="0"/>
              <w:jc w:val="left"/>
              <w:rPr/>
            </w:pPr>
            <w:r>
              <w:rPr/>
              <w:t>​</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162"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w:t>
            </w:r>
          </w:p>
        </w:tc>
        <w:tc>
          <w:tcPr>
            <w:tcW w:w="162"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5,958</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162"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62"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62"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62"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190 </w:t>
            </w:r>
          </w:p>
        </w:tc>
        <w:tc>
          <w:tcPr>
            <w:tcW w:w="162"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59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pPr>
            <w:r>
              <w:rPr/>
              <w:t>​</w:t>
            </w:r>
          </w:p>
        </w:tc>
        <w:tc>
          <w:tcPr>
            <w:tcW w:w="4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885" w:name="_Hlk175054216"/>
      <w:bookmarkEnd w:id="1885"/>
      <w:r>
        <w:rPr>
          <w:rFonts w:ascii="Times New Roman;Times;serif" w:hAnsi="Times New Roman;Times;serif"/>
          <w:sz w:val="20"/>
        </w:rPr>
        <w:t>Cost of services was 78.6% of revenue in the six months ended September 30, 2025, compared to 79.3% in the six months ended September 30, 2024, driven by progress on our key initiatives to drive operating efficiencies and higher margins on recent signings. Selling, general and administrative expenses were 17.5% of revenue in the six months ended September 30, 2025 compared to 17.4% in the prior-year period. Workforce rebalancing charges were 0.6% of revenue in the six months ended September 30, 2025 versus 1.0% of revenue in the prior-year period. Interest expense was 0.5% of revenue in the six months ended September 30, 2025 compared to 0.7% in the prior-year period. Other expense was 0.2% of revenue in the six months ended September 30, 2025 compared to 0.6% in the prior-year period, driven by currency-related hedging losses recorded last year.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Transaction-Related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classifies certain expenses and benefits related to the Separation, acquisitions and divestitures as “transaction-related costs”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Workforce Rebalancing and Site-Rationalization Charges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2026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September 30, 2025, management initiated actions to reduce the Company’s overall cost structure and enhance operating efficiency. As a result of these actions, the Company recorded workforce rebalancing charges of $19 million and $44 million for the three and six months ended September 30, 2025, respectively.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$80 million, of which approximately $28 million has been paid through September 30, 2025, and the remainder is expected to be paid thereafter. Management expects that these workforce rebalancing activities will reduce annual payroll costs and related expenses by more than $100 million. There can be no guarantee that we will achieve our expected cost savings. </w:t>
      </w:r>
    </w:p>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will continue to seek opportunities to improve operational efficiency and reduce costs, which may result in additional charges in future periods. For additional information, see Note 13 – Workforce Rebalancing Charges in the accompanying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2025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March 31, 2025, management implemented actions to reduce the Company’s overall cost structure and increase our operating efficiency. During the year ended March 31, 2025, the Company recorded $114 million in workforce rebalancing charges and $48 million in charges related to ceasing to use leased and owned fixed assets.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$150 million, of which approximately $132 million has been paid through September 30, 2025, and the remainder is expected to be paid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 </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three months ended September 30, 2025 was $30 million, compared to $38 million for the three months ended September 30, 2024. Our income tax expense for the three months ended September 30, 2025 and 2024 was primarily related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six months ended September 30, 2025 was $66 million, compared to $91 million for the six months ended September 30, 2024. Our income tax expense for the six months ended September 30, 2025 and 2024 was primarily related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 </w:t>
      </w:r>
    </w:p>
    <w:p>
      <w:pPr>
        <w:pStyle w:val="TextBody"/>
        <w:bidi w:val="0"/>
        <w:spacing w:before="0" w:after="240"/>
        <w:ind w:left="0" w:right="0" w:hanging="0"/>
        <w:jc w:val="left"/>
        <w:rPr>
          <w:rFonts w:ascii="Times New Roman;Times;serif" w:hAnsi="Times New Roman;Times;serif"/>
          <w:b/>
          <w:sz w:val="20"/>
        </w:rPr>
      </w:pPr>
      <w:bookmarkStart w:id="1886" w:name="_d3362ab0_0c30_4a29_9fa4_0b8286d9b3a8"/>
      <w:bookmarkEnd w:id="1886"/>
      <w:r>
        <w:rPr>
          <w:rFonts w:ascii="Times New Roman;Times;serif" w:hAnsi="Times New Roman;Times;serif"/>
          <w:b/>
          <w:sz w:val="20"/>
        </w:rPr>
        <w:t>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Dynamics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assets of $11.2 billion increased by $792 million (and increased by $372 million adjusted for currency) from March 31, 2025, primarily driven by an increase in deferred costs of $942 million mainly due to an extended and amended multi-year, third-party software agreement and an increase in operating right-of-use assets, net, of $138 million due to additions outpacing amortization, partially offset by a decrease in cash and cash equivalents of $455 million mainly due to share repurchases and payments for annual incentive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liabilities of $9.9 billion increased by $784 million (and increased by $526 million adjusted for currency) from March 31, 2025, primarily as a result of an increase in other noncurrent liabilities of $748 million driven by the extended and amended multi-year, third-party software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equity of $1.3 billion increased by $8 million from March 31, 2025, principally due to our net earnings of $124 million and other comprehensive income of $72 million in the period, as well as activity related to employee stock plans of $55 million, partially offset by $154 million of share repurchases under our Share Repurchase Program and $89 million of shares repurchased for tax withholdings.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p>
      <w:pPr>
        <w:pStyle w:val="TextBody"/>
        <w:bidi w:val="0"/>
        <w:spacing w:before="0" w:after="240"/>
        <w:ind w:left="0" w:right="0" w:firstLine="720"/>
        <w:jc w:val="left"/>
        <w:rPr/>
      </w:pPr>
      <w:r>
        <w:rPr/>
        <w:t>​</w:t>
      </w:r>
    </w:p>
    <w:tbl>
      <w:tblPr>
        <w:tblW w:w="9190" w:type="dxa"/>
        <w:jc w:val="left"/>
        <w:tblInd w:w="0" w:type="dxa"/>
        <w:tblLayout w:type="fixed"/>
        <w:tblCellMar>
          <w:top w:w="0" w:type="dxa"/>
          <w:left w:w="0" w:type="dxa"/>
          <w:bottom w:w="0" w:type="dxa"/>
          <w:right w:w="0" w:type="dxa"/>
        </w:tblCellMar>
      </w:tblPr>
      <w:tblGrid>
        <w:gridCol w:w="6331"/>
        <w:gridCol w:w="326"/>
        <w:gridCol w:w="285"/>
        <w:gridCol w:w="731"/>
        <w:gridCol w:w="440"/>
        <w:gridCol w:w="285"/>
        <w:gridCol w:w="792"/>
      </w:tblGrid>
      <w:tr>
        <w:trPr/>
        <w:tc>
          <w:tcPr>
            <w:tcW w:w="6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80975" cy="175260"/>
                      <wp:effectExtent l="0" t="0" r="0" b="0"/>
                      <wp:wrapNone/>
                      <wp:docPr id="516" name="Frame51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64185" cy="175260"/>
                      <wp:effectExtent l="0" t="0" r="0" b="0"/>
                      <wp:wrapNone/>
                      <wp:docPr id="517" name="Frame51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79400" cy="175260"/>
                      <wp:effectExtent l="0" t="0" r="0" b="0"/>
                      <wp:wrapNone/>
                      <wp:docPr id="518" name="Frame518"/>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80975" cy="175260"/>
                      <wp:effectExtent l="0" t="0" r="0" b="0"/>
                      <wp:wrapNone/>
                      <wp:docPr id="519" name="Frame51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2920" cy="175260"/>
                      <wp:effectExtent l="0" t="0" r="0" b="0"/>
                      <wp:wrapNone/>
                      <wp:docPr id="520" name="Frame52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0" w:type="dxa"/>
            <w:tcBorders/>
            <w:vAlign w:val="center"/>
          </w:tcPr>
          <w:p>
            <w:pPr>
              <w:pStyle w:val="TableContents"/>
              <w:bidi w:val="0"/>
              <w:spacing w:before="0" w:after="0"/>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pPr>
            <w:r>
              <w:rPr/>
              <w:t>  </w:t>
            </w:r>
          </w:p>
        </w:tc>
        <w:tc>
          <w:tcPr>
            <w:tcW w:w="440"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operating activities was $22 million in the six months ended September 30, 2025, compared to $101 million in the prior-year period mainly due to a decline of $187 million in accounts receivables as a source of cash in the current year compared to the prior year when the collection of receivables outpaced revenues, partially offset by $161 million in higher earnings in the current year.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$196 million in the six months ended September 30, 2025, compared to a net cash use of $241 million in the prior-year period due to an acquisition in the prior-year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totaled $310 million in the six months ended September 30, 2025, compared to net cash used by financing activities of $101 million in the prior-year period, mainly due to share repurchases of $154 million under the Company’s Share Repurchase Program and $89 million of shares repurchased to settle tax withholdings related to the vesting of stock-based awards.</w:t>
      </w:r>
    </w:p>
    <w:p>
      <w:pPr>
        <w:pStyle w:val="TextBody"/>
        <w:bidi w:val="0"/>
        <w:spacing w:before="0" w:after="240"/>
        <w:ind w:left="0" w:right="0" w:hanging="0"/>
        <w:jc w:val="left"/>
        <w:rPr>
          <w:rFonts w:ascii="Times New Roman;Times;serif" w:hAnsi="Times New Roman;Times;serif"/>
          <w:b/>
          <w:sz w:val="20"/>
        </w:rPr>
      </w:pPr>
      <w:bookmarkStart w:id="1887" w:name="_4c081af3_2323_44ce_80c7_48b265c40b1c"/>
      <w:bookmarkEnd w:id="1887"/>
      <w:r>
        <w:rPr>
          <w:rFonts w:ascii="Times New Roman;Times;serif" w:hAnsi="Times New Roman;Times;serif"/>
          <w:b/>
          <w:sz w:val="20"/>
        </w:rPr>
        <w:t>Other Information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signings for the three and six months ended September 30, 2025 and 2024.</w:t>
      </w:r>
    </w:p>
    <w:tbl>
      <w:tblPr>
        <w:tblW w:w="7152" w:type="dxa"/>
        <w:jc w:val="left"/>
        <w:tblInd w:w="0" w:type="dxa"/>
        <w:tblLayout w:type="fixed"/>
        <w:tblCellMar>
          <w:top w:w="0" w:type="dxa"/>
          <w:left w:w="0" w:type="dxa"/>
          <w:bottom w:w="0" w:type="dxa"/>
          <w:right w:w="0" w:type="dxa"/>
        </w:tblCellMar>
      </w:tblPr>
      <w:tblGrid>
        <w:gridCol w:w="1501"/>
        <w:gridCol w:w="326"/>
        <w:gridCol w:w="385"/>
        <w:gridCol w:w="659"/>
        <w:gridCol w:w="595"/>
        <w:gridCol w:w="385"/>
        <w:gridCol w:w="659"/>
        <w:gridCol w:w="109"/>
        <w:gridCol w:w="337"/>
        <w:gridCol w:w="577"/>
        <w:gridCol w:w="521"/>
        <w:gridCol w:w="337"/>
        <w:gridCol w:w="76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953135" cy="175260"/>
                      <wp:effectExtent l="0" t="0" r="0" b="0"/>
                      <wp:wrapNone/>
                      <wp:docPr id="521" name="Frame52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577"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center"/>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September 30,</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billions)</w:t>
            </w:r>
          </w:p>
        </w:tc>
        <w:tc>
          <w:tcPr>
            <w:tcW w:w="326"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95" w:type="dxa"/>
            <w:tcBorders/>
            <w:vAlign w:val="center"/>
          </w:tcPr>
          <w:p>
            <w:pPr>
              <w:pStyle w:val="TableContents"/>
              <w:bidi w:val="0"/>
              <w:spacing w:before="0" w:after="0"/>
              <w:ind w:left="0" w:right="0" w:hanging="0"/>
              <w:jc w:val="center"/>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1" w:type="dxa"/>
            <w:tcBorders/>
            <w:vAlign w:val="center"/>
          </w:tcPr>
          <w:p>
            <w:pPr>
              <w:pStyle w:val="TableContents"/>
              <w:bidi w:val="0"/>
              <w:spacing w:before="0" w:after="0"/>
              <w:ind w:left="0" w:right="0" w:hanging="0"/>
              <w:jc w:val="center"/>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signings</w:t>
            </w:r>
          </w:p>
        </w:tc>
        <w:tc>
          <w:tcPr>
            <w:tcW w:w="32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595"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521"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8.7</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bookmarkStart w:id="1888" w:name="_Hlk85705053"/>
      <w:bookmarkEnd w:id="1888"/>
      <w:r>
        <w:rPr>
          <w:rFonts w:ascii="Times New Roman;Times;serif" w:hAnsi="Times New Roman;Times;serif"/>
          <w:sz w:val="20"/>
        </w:rPr>
        <w:t>Signings decreased by $2.8 billion, or 49% in the three months ended September 30, 2025, compared to the prior-year quarter, and signings decreased by $2.7 billion, or 31%, in the six months ended September 30, 2025, compared to the six months ended September 30, 2024, primarily because the quarter ended September 30, 2024 included a $1.8 billion signing, the largest signing in Kyndryl’s history as an independent company. Management uses signings to monitor the performance of the business, as a measure of customer engagement and our ability to drive growth.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and our revolving credit agreement will be sufficient to meet our anticipated operating cash needs and to fund our planned capital investments, debt maturities and stock repurchases for at least the next twelve months.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 </w:t>
      </w:r>
    </w:p>
    <w:p>
      <w:pPr>
        <w:pStyle w:val="TextBody"/>
        <w:shd w:fill="FFFFFF" w:val="clear"/>
        <w:bidi w:val="0"/>
        <w:spacing w:before="0" w:after="0"/>
        <w:ind w:left="0" w:right="0" w:firstLine="720"/>
        <w:jc w:val="left"/>
        <w:rPr/>
      </w:pPr>
      <w:r>
        <w:rPr/>
        <w:t>​</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Initial Notes and the 2034 Notes are subject to customary affirmative covenants, negative covenants and events of default for financings of this type and are redeemable at our option in a customary manner.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Revolving Credit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 As of September 30, 2025, there has been no drawdown on the Revolving Credit Agreement.</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Transfers of Financial Assets</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An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discretion to purchase such incremental amounts. We have also entered into additional agreements with a separate third-party financial institution that enable us to sell receivables contingent on the approval of the counterparty. These agreements were first executed in June 2022 and renew automatically on their anniversary date, unless either party elects not to extend.</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net proceeds from these agreements are reflected as cash provided by operating activities in the Consolidated Statement of Cash Flows. Gross proceeds from receivables sold to third parties under the aforementioned programs were $563 million and $1.2 billion for the three and six months ended September 30, 2025, respectively, and $1.1 billion and $1.9 billion for the three and six months ended September 30, 2024, respectively. The fees associated with the transfers of receivables were $5 million and $10 million for the three and six months ended September 30, 2025, and were $10 million and $20 million for the three and six months ended September 30,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Supplier Financing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were immaterial at September 30, 2025 and March 31, 2025.</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Share Repurchase Program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six months ended September 30, 2025, the Company repurchased 2.9 and 4.6 million shares of its common stock at an aggregate cost of $89 and $154 million, respectively, under the Share Repurchase Program.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2025, the Company announced that its Board of Directors approved an increase to the Share Repurchase Program, which added $400 million of repurchase capacity to the $51 million of capacity remaining as of September 30, 2025. </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2025 for more information; we refer to the Annual Report on Form 10-K for the fiscal year ended March 31, 2025 as the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w:t>
      </w:r>
      <w:r>
        <w:rPr>
          <w:rFonts w:ascii="Times New Roman;Times;serif" w:hAnsi="Times New Roman;Times;serif"/>
          <w:sz w:val="20"/>
          <w:shd w:fill="FFFFFF" w:val="clear"/>
        </w:rPr>
        <w:t>the Private Securities Litigation Reform Act of 1995</w:t>
      </w:r>
      <w:r>
        <w:rPr>
          <w:rFonts w:ascii="Times New Roman;Times;serif" w:hAnsi="Times New Roman;Times;serif"/>
          <w:sz w:val="20"/>
        </w:rPr>
        <w:t xml:space="preserve">. </w:t>
      </w:r>
      <w:r>
        <w:rPr>
          <w:rFonts w:ascii="Times New Roman;Times;serif" w:hAnsi="Times New Roman;Times;serif"/>
          <w:sz w:val="20"/>
          <w:shd w:fill="FFFFFF" w:val="clear"/>
        </w:rPr>
        <w:t>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w:t>
      </w:r>
      <w:r>
        <w:rPr>
          <w:rFonts w:ascii="Times New Roman;Times;serif" w:hAnsi="Times New Roman;Times;serif"/>
          <w:sz w:val="20"/>
        </w:rPr>
        <w:t xml:space="preserve">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bidi w:val="0"/>
        <w:spacing w:before="0" w:after="0"/>
        <w:ind w:left="0" w:right="0" w:firstLine="720"/>
        <w:jc w:val="left"/>
        <w:rPr/>
      </w:pPr>
      <w:r>
        <w:rPr/>
        <w:t>​</w:t>
      </w:r>
    </w:p>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additional services to customers; </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and maintain our capital allocation strategy; </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address and adapt to technological developments and trends;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economic, geopolitical, public health and other conditions; </w:t>
            </w:r>
          </w:p>
        </w:tc>
      </w:tr>
    </w:tbl>
    <w:tbl>
      <w:tblPr>
        <w:tblW w:w="3636" w:type="dxa"/>
        <w:jc w:val="left"/>
        <w:tblInd w:w="0" w:type="dxa"/>
        <w:tblLayout w:type="fixed"/>
        <w:tblCellMar>
          <w:top w:w="28" w:type="dxa"/>
          <w:left w:w="28" w:type="dxa"/>
          <w:bottom w:w="28" w:type="dxa"/>
          <w:right w:w="28" w:type="dxa"/>
        </w:tblCellMar>
      </w:tblPr>
      <w:tblGrid>
        <w:gridCol w:w="124"/>
        <w:gridCol w:w="256"/>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damage to the Company’s reputation; </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inability to accurately estimate the cost of services and the timeline for completion of contracts;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service delivery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ability to successfully manage acquisitions and dispositions, including integration challenges, failure to achieve objectives, the assumption of liabilities and higher debt levels; </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our business with foreign, state and local government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failure of the Company’s intellectual property rights to prevent competitive offerings and the failure of the Company to obtain, retain and extend necessary licenses; </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impairment of our goodwill or long-lived assets;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risks relating to cybersecurity, data governance and privacy;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risks relating to non-compliance with legal and regulatory requirements and changes in laws, regulations and policies in the U.S. and countries where the Company and its customers do business, including with respect to tariffs, taxes and other controls on imports or exports;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adverse effects from tax matters and environmental matters;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legal proceedings and investigatory risks and potential indemnification obligations;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changes in market liquidity conditions and customer credit risk on receivables;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pension plans; </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impact of currency fluctuations;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our Form 10-K for the fiscal year ended March 31, 2025, as such factors may be updated from time to time in the Company’s subsequent filings with the SEC. </w:t>
      </w:r>
      <w:r>
        <w:rPr>
          <w:rFonts w:ascii="Times New Roman;Times;serif" w:hAnsi="Times New Roman;Times;serif"/>
          <w:sz w:val="20"/>
          <w:shd w:fill="FFFFFF" w:val="clear"/>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shd w:fill="FFFFFF" w:val="clear"/>
        </w:rPr>
        <w:t>speaks only as of the date on which it is made. Except as required by law, the Company assumes no obligation to update or revise any forward-looking statements, whether as a result of new information, future events or otherwise.</w:t>
      </w:r>
    </w:p>
    <w:p>
      <w:pPr>
        <w:pStyle w:val="TextBody"/>
        <w:bidi w:val="0"/>
        <w:spacing w:before="0" w:after="0"/>
        <w:ind w:left="0" w:right="0" w:firstLine="72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Available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889" w:name="ITEM3_Quantitive"/>
      <w:bookmarkStart w:id="1890" w:name="ITEM3"/>
      <w:bookmarkStart w:id="1891" w:name="_96ebd822_db1f_4c9d_a05c_9fb135e816c7"/>
      <w:bookmarkEnd w:id="1889"/>
      <w:bookmarkEnd w:id="1890"/>
      <w:bookmarkEnd w:id="1891"/>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bidi w:val="0"/>
        <w:spacing w:before="0" w:after="0"/>
        <w:ind w:left="0" w:right="0" w:hanging="0"/>
        <w:jc w:val="left"/>
        <w:rPr>
          <w:rFonts w:ascii="Times New Roman;Times;serif" w:hAnsi="Times New Roman;Times;serif"/>
          <w:b/>
          <w:sz w:val="20"/>
        </w:rPr>
      </w:pPr>
      <w:bookmarkStart w:id="1892" w:name="Item4ControlsandProcedures_560001"/>
      <w:bookmarkEnd w:id="1892"/>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(as such term is defined in Rule 13a-15(f) of the Exchange Act) that occurred during the period covered by this report that have materially affected, or are reasonably likely to materially affect, the Company’s internal control over financial reporting.</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893" w:name="PartIIOtherInformation_819306"/>
      <w:bookmarkStart w:id="1894" w:name="_9345d986_2117_48bb_895e_bb41231caf0e"/>
      <w:bookmarkEnd w:id="1893"/>
      <w:bookmarkEnd w:id="1894"/>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895" w:name="Item1LegalProceedings_389566"/>
      <w:bookmarkEnd w:id="1895"/>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 to Note 10 – Commitments and Contingencies, in the notes to consolidated financial statements in this report.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896" w:name="ITEM1A"/>
      <w:bookmarkEnd w:id="1896"/>
      <w:r>
        <w:rPr>
          <w:rFonts w:ascii="Times New Roman;Times;serif" w:hAnsi="Times New Roman;Times;serif"/>
          <w:b/>
          <w:sz w:val="20"/>
        </w:rPr>
        <w:t>Item 1A. Risk Factors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discussion of our potential risks and uncertainties, see the information under the heading “Risk Factors” in our Form 10-K for the year ended March 31, 2025. There have been no material changes with respect to the risk factors disclosed in the Form 10-K.</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897" w:name="Item2Uregisteredsalesofequitysecurities"/>
      <w:bookmarkEnd w:id="1897"/>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our common stock repurchases during the three months ended September 30, 2025 is set forth in the table below.</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18"/>
        <w:gridCol w:w="109"/>
        <w:gridCol w:w="1620"/>
        <w:gridCol w:w="109"/>
        <w:gridCol w:w="211"/>
        <w:gridCol w:w="1156"/>
        <w:gridCol w:w="109"/>
        <w:gridCol w:w="2428"/>
        <w:gridCol w:w="109"/>
        <w:gridCol w:w="211"/>
        <w:gridCol w:w="3025"/>
      </w:tblGrid>
      <w:tr>
        <w:trPr/>
        <w:tc>
          <w:tcPr>
            <w:tcW w:w="1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709930" cy="175260"/>
                      <wp:effectExtent l="0" t="0" r="0" b="0"/>
                      <wp:wrapNone/>
                      <wp:docPr id="522" name="Frame522"/>
                      <a:graphic xmlns:a="http://schemas.openxmlformats.org/drawingml/2006/main">
                        <a:graphicData uri="http://schemas.microsoft.com/office/word/2010/wordprocessingShape">
                          <wps:wsp>
                            <wps:cNvSpPr txBox="1"/>
                            <wps:spPr>
                              <a:xfrm>
                                <a:off x="0" y="0"/>
                                <a:ext cx="709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5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028700" cy="175260"/>
                      <wp:effectExtent l="0" t="0" r="0" b="0"/>
                      <wp:wrapNone/>
                      <wp:docPr id="524" name="Frame524"/>
                      <a:graphic xmlns:a="http://schemas.openxmlformats.org/drawingml/2006/main">
                        <a:graphicData uri="http://schemas.microsoft.com/office/word/2010/wordprocessingShape">
                          <wps:wsp>
                            <wps:cNvSpPr txBox="1"/>
                            <wps:spPr>
                              <a:xfrm>
                                <a:off x="0" y="0"/>
                                <a:ext cx="1028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9215" cy="175260"/>
                      <wp:effectExtent l="0" t="0" r="0" b="0"/>
                      <wp:wrapNone/>
                      <wp:docPr id="525" name="Frame5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734060" cy="175260"/>
                      <wp:effectExtent l="0" t="0" r="0" b="0"/>
                      <wp:wrapNone/>
                      <wp:docPr id="527" name="Frame52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5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541780" cy="175260"/>
                      <wp:effectExtent l="0" t="0" r="0" b="0"/>
                      <wp:wrapNone/>
                      <wp:docPr id="529" name="Frame529"/>
                      <a:graphic xmlns:a="http://schemas.openxmlformats.org/drawingml/2006/main">
                        <a:graphicData uri="http://schemas.microsoft.com/office/word/2010/wordprocessingShape">
                          <wps:wsp>
                            <wps:cNvSpPr txBox="1"/>
                            <wps:spPr>
                              <a:xfrm>
                                <a:off x="0" y="0"/>
                                <a:ext cx="154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9215" cy="175260"/>
                      <wp:effectExtent l="0" t="0" r="0" b="0"/>
                      <wp:wrapNone/>
                      <wp:docPr id="530"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31"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920875" cy="175260"/>
                      <wp:effectExtent l="0" t="0" r="0" b="0"/>
                      <wp:wrapNone/>
                      <wp:docPr id="532" name="Frame532"/>
                      <a:graphic xmlns:a="http://schemas.openxmlformats.org/drawingml/2006/main">
                        <a:graphicData uri="http://schemas.microsoft.com/office/word/2010/wordprocessingShape">
                          <wps:wsp>
                            <wps:cNvSpPr txBox="1"/>
                            <wps:spPr>
                              <a:xfrm>
                                <a:off x="0" y="0"/>
                                <a:ext cx="1920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09" w:type="dxa"/>
            <w:tcBorders/>
            <w:vAlign w:val="center"/>
          </w:tcPr>
          <w:p>
            <w:pPr>
              <w:pStyle w:val="TableContents"/>
              <w:bidi w:val="0"/>
              <w:spacing w:before="0" w:after="1"/>
              <w:ind w:left="0" w:right="0" w:hanging="0"/>
              <w:jc w:val="center"/>
              <w:rPr/>
            </w:pPr>
            <w:r>
              <w:rPr/>
              <w:t>​</w:t>
            </w:r>
          </w:p>
        </w:tc>
        <w:tc>
          <w:tcPr>
            <w:tcW w:w="1620"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Number of Shares Repurchased</w:t>
            </w:r>
            <w:r>
              <w:rPr>
                <w:rFonts w:ascii="Times New Roman;Times;serif" w:hAnsi="Times New Roman;Times;serif"/>
                <w:b/>
                <w:sz w:val="12"/>
              </w:rPr>
              <w:t>(a)</w:t>
            </w:r>
            <w:r>
              <w:rPr>
                <w:rFonts w:ascii="Times New Roman;Times;serif" w:hAnsi="Times New Roman;Times;serif"/>
                <w:sz w:val="16"/>
              </w:rPr>
              <w:t xml:space="preserve"> </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1"/>
              <w:ind w:left="0" w:right="0" w:hanging="0"/>
              <w:jc w:val="center"/>
              <w:rPr/>
            </w:pPr>
            <w:r>
              <w:rPr/>
              <w:t>​</w:t>
            </w:r>
          </w:p>
        </w:tc>
        <w:tc>
          <w:tcPr>
            <w:tcW w:w="24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 or Programs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30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Plans or Programs (in millions)</w:t>
            </w:r>
          </w:p>
        </w:tc>
      </w:tr>
      <w:tr>
        <w:trPr/>
        <w:tc>
          <w:tcPr>
            <w:tcW w:w="1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1 - 31</w:t>
            </w:r>
          </w:p>
        </w:tc>
        <w:tc>
          <w:tcPr>
            <w:tcW w:w="109" w:type="dxa"/>
            <w:tcBorders/>
            <w:shd w:fill="CCEEFF" w:val="clear"/>
            <w:vAlign w:val="center"/>
          </w:tcPr>
          <w:p>
            <w:pPr>
              <w:pStyle w:val="TableContents"/>
              <w:bidi w:val="0"/>
              <w:spacing w:before="0" w:after="1"/>
              <w:ind w:left="0" w:right="0" w:hanging="0"/>
              <w:jc w:val="center"/>
              <w:rPr/>
            </w:pPr>
            <w:r>
              <w:rPr/>
              <w:t>​</w:t>
            </w:r>
          </w:p>
        </w:tc>
        <w:tc>
          <w:tcPr>
            <w:tcW w:w="16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207,928</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w:t>
            </w:r>
          </w:p>
        </w:tc>
        <w:tc>
          <w:tcPr>
            <w:tcW w:w="109" w:type="dxa"/>
            <w:tcBorders/>
            <w:shd w:fill="CCEEFF" w:val="clear"/>
            <w:vAlign w:val="center"/>
          </w:tcPr>
          <w:p>
            <w:pPr>
              <w:pStyle w:val="TableContents"/>
              <w:bidi w:val="0"/>
              <w:spacing w:before="0" w:after="1"/>
              <w:ind w:left="0" w:right="0" w:hanging="0"/>
              <w:jc w:val="center"/>
              <w:rPr/>
            </w:pPr>
            <w:r>
              <w:rPr/>
              <w:t>​</w:t>
            </w:r>
          </w:p>
        </w:tc>
        <w:tc>
          <w:tcPr>
            <w:tcW w:w="24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207,928</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August 1 - 31</w:t>
            </w:r>
          </w:p>
        </w:tc>
        <w:tc>
          <w:tcPr>
            <w:tcW w:w="109" w:type="dxa"/>
            <w:tcBorders/>
            <w:vAlign w:val="center"/>
          </w:tcPr>
          <w:p>
            <w:pPr>
              <w:pStyle w:val="TableContents"/>
              <w:bidi w:val="0"/>
              <w:spacing w:before="0" w:after="1"/>
              <w:ind w:left="0" w:right="0" w:hanging="0"/>
              <w:jc w:val="center"/>
              <w:rPr/>
            </w:pPr>
            <w:r>
              <w:rPr/>
              <w:t>​</w:t>
            </w:r>
          </w:p>
        </w:tc>
        <w:tc>
          <w:tcPr>
            <w:tcW w:w="16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1,447,359</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c>
          <w:tcPr>
            <w:tcW w:w="109" w:type="dxa"/>
            <w:tcBorders/>
            <w:vAlign w:val="center"/>
          </w:tcPr>
          <w:p>
            <w:pPr>
              <w:pStyle w:val="TableContents"/>
              <w:bidi w:val="0"/>
              <w:spacing w:before="0" w:after="1"/>
              <w:ind w:left="0" w:right="0" w:hanging="0"/>
              <w:jc w:val="center"/>
              <w:rPr/>
            </w:pPr>
            <w:r>
              <w:rPr/>
              <w:t>​</w:t>
            </w:r>
          </w:p>
        </w:tc>
        <w:tc>
          <w:tcPr>
            <w:tcW w:w="24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1,447,359</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30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11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1 - 30</w:t>
            </w:r>
          </w:p>
        </w:tc>
        <w:tc>
          <w:tcPr>
            <w:tcW w:w="109" w:type="dxa"/>
            <w:tcBorders/>
            <w:shd w:fill="CCEEFF" w:val="clear"/>
            <w:vAlign w:val="center"/>
          </w:tcPr>
          <w:p>
            <w:pPr>
              <w:pStyle w:val="TableContents"/>
              <w:bidi w:val="0"/>
              <w:spacing w:before="0" w:after="1"/>
              <w:ind w:left="0" w:right="0" w:hanging="0"/>
              <w:jc w:val="center"/>
              <w:rPr/>
            </w:pPr>
            <w:r>
              <w:rPr/>
              <w:t>​</w:t>
            </w:r>
          </w:p>
        </w:tc>
        <w:tc>
          <w:tcPr>
            <w:tcW w:w="16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1,197,396</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30.98</w:t>
            </w:r>
          </w:p>
        </w:tc>
        <w:tc>
          <w:tcPr>
            <w:tcW w:w="109" w:type="dxa"/>
            <w:tcBorders/>
            <w:shd w:fill="CCEEFF" w:val="clear"/>
            <w:vAlign w:val="center"/>
          </w:tcPr>
          <w:p>
            <w:pPr>
              <w:pStyle w:val="TableContents"/>
              <w:bidi w:val="0"/>
              <w:spacing w:before="0" w:after="1"/>
              <w:ind w:left="0" w:right="0" w:hanging="0"/>
              <w:jc w:val="center"/>
              <w:rPr/>
            </w:pPr>
            <w:r>
              <w:rPr/>
              <w:t>​</w:t>
            </w:r>
          </w:p>
        </w:tc>
        <w:tc>
          <w:tcPr>
            <w:tcW w:w="24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1,197,396</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0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1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center"/>
              <w:rPr/>
            </w:pPr>
            <w:r>
              <w:rPr/>
              <w:t>​</w:t>
            </w:r>
          </w:p>
        </w:tc>
        <w:tc>
          <w:tcPr>
            <w:tcW w:w="16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2,852,683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pPr>
            <w:r>
              <w:rPr/>
              <w:t>​</w:t>
            </w:r>
          </w:p>
        </w:tc>
        <w:tc>
          <w:tcPr>
            <w:tcW w:w="11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4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2,852,683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3025"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99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shares were repurchased in open market transactions pursuant to the $300 million Share Repurchase Program authorized by our Board of Directors and publicly announced on November 21, 2024. The Share Repurchase Program does not have a set expiration date and may be suspended, modified or discontinued at any time without prior notice. Amounts shown herein exclude common stock repurchases to settle tax withholdings related to the vesting of stock-based awards. On November 4, 2025, we announced that our Board of Directors approved an increase to the Share Repurchase Program, which added $400 million of capacity to the $51 million of capacity remaining as of September 30, 2025. See further description of the Stock Repurchase Program in “Part I, Item 2—Management’s Discussion and Analysis of Financial Condition and Results of Operations—Liquidity and Capital Resources— Share Repurchase Program.”</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898" w:name="ITEM3DefaultsUponSeniorSecurities"/>
      <w:bookmarkStart w:id="1899" w:name="_7e7a6cbf_f3c7_4018_914d_87d31d2c1052"/>
      <w:bookmarkEnd w:id="1898"/>
      <w:bookmarkEnd w:id="1899"/>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00" w:name="Item4MineSafetyDisclosures"/>
      <w:bookmarkEnd w:id="1900"/>
      <w:r>
        <w:rPr>
          <w:rFonts w:ascii="Times New Roman;Times;serif" w:hAnsi="Times New Roman;Times;serif"/>
          <w:b/>
          <w:sz w:val="20"/>
        </w:rPr>
        <w:t>Item 4. Mine Safety Disclosures</w:t>
      </w:r>
    </w:p>
    <w:p>
      <w:pPr>
        <w:pStyle w:val="TextBody"/>
        <w:bidi w:val="0"/>
        <w:spacing w:before="0" w:after="240"/>
        <w:ind w:left="0" w:right="0" w:hanging="0"/>
        <w:jc w:val="left"/>
        <w:rPr/>
      </w:pPr>
      <w:bookmarkStart w:id="1901" w:name="Item_4_Mine_Safety"/>
      <w:bookmarkEnd w:id="1901"/>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02" w:name="Item5OtherInformation"/>
      <w:bookmarkEnd w:id="1902"/>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903" w:name="_Hlk124580894"/>
      <w:bookmarkEnd w:id="1903"/>
      <w:r>
        <w:rPr>
          <w:rFonts w:ascii="Times New Roman;Times;serif" w:hAnsi="Times New Roman;Times;serif"/>
          <w:sz w:val="20"/>
        </w:rPr>
        <w:t>During the three months ended September 30, 2025, none of the Company’s directors or executive officers adopted, terminated or modified a “Rule 10b5-1 trading arrangement” or a “non-Rule 10b5-1 trading arrangement” as such terms are defined in Item 408 of Regulation S-K.</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04" w:name="Item6Exhibits_457436"/>
      <w:bookmarkStart w:id="1905" w:name="_083333d7_6761_4792_a9f8_5a87e766ec0f"/>
      <w:bookmarkEnd w:id="1904"/>
      <w:bookmarkEnd w:id="1905"/>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45"/>
        <w:gridCol w:w="9160"/>
      </w:tblGrid>
      <w:tr>
        <w:trPr/>
        <w:tc>
          <w:tcPr>
            <w:tcW w:w="1045" w:type="dxa"/>
            <w:tcBorders/>
            <w:vAlign w:val="center"/>
          </w:tcPr>
          <w:p>
            <w:pPr>
              <w:pStyle w:val="TableContents"/>
              <w:bidi w:val="0"/>
              <w:spacing w:before="0" w:after="283"/>
              <w:ind w:left="0" w:right="0" w:hanging="0"/>
              <w:jc w:val="left"/>
              <w:rPr>
                <w:sz w:val="4"/>
                <w:szCs w:val="4"/>
              </w:rPr>
            </w:pPr>
            <w:r>
              <w:rPr>
                <w:sz w:val="4"/>
                <w:szCs w:val="4"/>
              </w:rPr>
            </w:r>
          </w:p>
        </w:tc>
        <w:tc>
          <w:tcPr>
            <w:tcW w:w="9160" w:type="dxa"/>
            <w:tcBorders/>
            <w:vAlign w:val="center"/>
          </w:tcPr>
          <w:p>
            <w:pPr>
              <w:pStyle w:val="TableContents"/>
              <w:bidi w:val="0"/>
              <w:spacing w:before="0" w:after="283"/>
              <w:ind w:left="0" w:right="0" w:hanging="0"/>
              <w:jc w:val="left"/>
              <w:rPr>
                <w:sz w:val="4"/>
                <w:szCs w:val="4"/>
              </w:rPr>
            </w:pPr>
            <w:r>
              <w:rPr>
                <w:sz w:val="4"/>
                <w:szCs w:val="4"/>
              </w:rPr>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6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6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the registrant was filed as Exhibit 3.1 to the registrant’s Current Report on Form 8-K filed on November 4, 2021,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6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the registrant, effective January 25, 2023, was filed as Exhibit 3.1 to the registrant’s Current Report on Form 8-K filed on January 27, 2023, and is hereby incorporated by reference</w:t>
              </w:r>
            </w:hyperlink>
            <w:r>
              <w:rPr>
                <w:rFonts w:ascii="Times New Roman;Times;serif" w:hAnsi="Times New Roman;Times;serif"/>
                <w:sz w:val="20"/>
              </w:rPr>
              <w: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60" w:type="dxa"/>
            <w:tcBorders/>
            <w:vAlign w:val="center"/>
          </w:tcPr>
          <w:p>
            <w:pPr>
              <w:pStyle w:val="TableContents"/>
              <w:bidi w:val="0"/>
              <w:spacing w:before="0" w:after="0"/>
              <w:ind w:left="0" w:right="0" w:hanging="0"/>
              <w:jc w:val="left"/>
              <w:rPr/>
            </w:pPr>
            <w:hyperlink w:anchor="kd-20250930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60" w:type="dxa"/>
            <w:tcBorders/>
            <w:vAlign w:val="center"/>
          </w:tcPr>
          <w:p>
            <w:pPr>
              <w:pStyle w:val="TableContents"/>
              <w:bidi w:val="0"/>
              <w:spacing w:before="0" w:after="0"/>
              <w:ind w:left="0" w:right="0" w:hanging="0"/>
              <w:jc w:val="left"/>
              <w:rPr/>
            </w:pPr>
            <w:hyperlink w:anchor="kd-20250930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60" w:type="dxa"/>
            <w:tcBorders/>
            <w:vAlign w:val="center"/>
          </w:tcPr>
          <w:p>
            <w:pPr>
              <w:pStyle w:val="TableContents"/>
              <w:bidi w:val="0"/>
              <w:spacing w:before="0" w:after="0"/>
              <w:ind w:left="0" w:right="0" w:hanging="0"/>
              <w:jc w:val="left"/>
              <w:rPr/>
            </w:pPr>
            <w:hyperlink w:anchor="kd-20250930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60" w:type="dxa"/>
            <w:tcBorders/>
            <w:vAlign w:val="center"/>
          </w:tcPr>
          <w:p>
            <w:pPr>
              <w:pStyle w:val="TableContents"/>
              <w:bidi w:val="0"/>
              <w:spacing w:before="0" w:after="0"/>
              <w:ind w:left="0" w:right="0" w:hanging="0"/>
              <w:jc w:val="left"/>
              <w:rPr/>
            </w:pPr>
            <w:hyperlink w:anchor="kd-20250930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Instance Document – the instance document does not appear on the Interactive Data File because its XBRL tags are embedded within the Inline XBRL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Schema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Calculation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Definition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Label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Presentation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06" w:name="_f57a3cc7_2a30_40dd_893d_63f3fc4726da"/>
      <w:bookmarkEnd w:id="1906"/>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478" w:type="dxa"/>
        <w:jc w:val="left"/>
        <w:tblInd w:w="0" w:type="dxa"/>
        <w:tblLayout w:type="fixed"/>
        <w:tblCellMar>
          <w:top w:w="0" w:type="dxa"/>
          <w:left w:w="0" w:type="dxa"/>
          <w:bottom w:w="0" w:type="dxa"/>
          <w:right w:w="0" w:type="dxa"/>
        </w:tblCellMar>
      </w:tblPr>
      <w:tblGrid>
        <w:gridCol w:w="601"/>
        <w:gridCol w:w="1606"/>
        <w:gridCol w:w="109"/>
        <w:gridCol w:w="406"/>
        <w:gridCol w:w="4756"/>
      </w:tblGrid>
      <w:tr>
        <w:trPr/>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160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51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60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5, 2025</w:t>
            </w:r>
          </w:p>
        </w:tc>
        <w:tc>
          <w:tcPr>
            <w:tcW w:w="109" w:type="dxa"/>
            <w:tcBorders/>
            <w:vAlign w:val="center"/>
          </w:tcPr>
          <w:p>
            <w:pPr>
              <w:pStyle w:val="TableContents"/>
              <w:pBdr/>
              <w:bidi w:val="0"/>
              <w:spacing w:before="0" w:after="0"/>
              <w:ind w:left="0" w:right="0" w:hanging="0"/>
              <w:jc w:val="left"/>
              <w:rPr/>
            </w:pPr>
            <w:r>
              <w:rPr/>
              <w:t>​</w:t>
            </w:r>
          </w:p>
        </w:tc>
        <w:tc>
          <w:tcPr>
            <w:tcW w:w="5162" w:type="dxa"/>
            <w:gridSpan w:val="2"/>
            <w:tcBorders/>
            <w:vAlign w:val="center"/>
          </w:tcPr>
          <w:p>
            <w:pPr>
              <w:pStyle w:val="TableContents"/>
              <w:bidi w:val="0"/>
              <w:spacing w:before="0" w:after="0"/>
              <w:ind w:left="0" w:right="0" w:hanging="0"/>
              <w:jc w:val="left"/>
              <w:rPr/>
            </w:pPr>
            <w:r>
              <w:rPr/>
              <w:t>​</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7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Vineet Khurana</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283"/>
              <w:ind w:left="0" w:right="0" w:hanging="0"/>
              <w:jc w:val="left"/>
              <w:rPr>
                <w:sz w:val="4"/>
                <w:szCs w:val="4"/>
              </w:rPr>
            </w:pPr>
            <w:r>
              <w:rPr>
                <w:sz w:val="4"/>
                <w:szCs w:val="4"/>
              </w:rPr>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Vineet Khurana</w:t>
            </w:r>
          </w:p>
        </w:tc>
      </w:tr>
      <w:tr>
        <w:trPr/>
        <w:tc>
          <w:tcPr>
            <w:tcW w:w="2316"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Global Controller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 and Authorized Signatory)</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120"/>
        <w:ind w:left="0" w:right="0" w:hanging="0"/>
        <w:jc w:val="right"/>
        <w:rPr>
          <w:rFonts w:ascii="Times New Roman;Times;serif" w:hAnsi="Times New Roman;Times;serif"/>
          <w:b/>
          <w:sz w:val="20"/>
        </w:rPr>
      </w:pPr>
      <w:bookmarkStart w:id="1907" w:name="kd-20250930xex31d1.htm"/>
      <w:bookmarkStart w:id="1908" w:name="kskd20250930xex31d1"/>
      <w:bookmarkEnd w:id="1907"/>
      <w:bookmarkEnd w:id="1908"/>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Martin J. Schroeter,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7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09" w:name="kd-20250930xex31d2.htm"/>
      <w:bookmarkStart w:id="1910" w:name="kskd20250930xex31d2"/>
      <w:bookmarkEnd w:id="1909"/>
      <w:bookmarkEnd w:id="1910"/>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B. Wyshner,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2687" w:type="dxa"/>
        <w:jc w:val="left"/>
        <w:tblInd w:w="0" w:type="dxa"/>
        <w:tblLayout w:type="fixed"/>
        <w:tblCellMar>
          <w:top w:w="0" w:type="dxa"/>
          <w:left w:w="0" w:type="dxa"/>
          <w:bottom w:w="0" w:type="dxa"/>
          <w:right w:w="0" w:type="dxa"/>
        </w:tblCellMar>
      </w:tblPr>
      <w:tblGrid>
        <w:gridCol w:w="271"/>
        <w:gridCol w:w="2416"/>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2416"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 Wyshner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 Wyshner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7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11" w:name="kd-20250930xex32d1.htm"/>
      <w:bookmarkStart w:id="1912" w:name="kskd20250930xex32d1"/>
      <w:bookmarkEnd w:id="1911"/>
      <w:bookmarkEnd w:id="1912"/>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September 30, 2025,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13" w:name="kd-20250930xex32d2.htm"/>
      <w:bookmarkStart w:id="1914" w:name="kskd20250930xex32d2"/>
      <w:bookmarkEnd w:id="1913"/>
      <w:bookmarkEnd w:id="1914"/>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September 30, 2025,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p>
      <w:pPr>
        <w:pStyle w:val="TextBody"/>
        <w:bidi w:val="0"/>
        <w:spacing w:before="0" w:after="0"/>
        <w:ind w:left="0" w:right="0" w:hanging="0"/>
        <w:jc w:val="left"/>
        <w:rPr/>
      </w:pPr>
      <w:r>
        <w:rPr/>
        <w:t>​</w:t>
      </w:r>
    </w:p>
    <w:tbl>
      <w:tblPr>
        <w:tblW w:w="2540" w:type="dxa"/>
        <w:jc w:val="left"/>
        <w:tblInd w:w="0" w:type="dxa"/>
        <w:tblLayout w:type="fixed"/>
        <w:tblCellMar>
          <w:top w:w="0" w:type="dxa"/>
          <w:left w:w="0" w:type="dxa"/>
          <w:bottom w:w="0" w:type="dxa"/>
          <w:right w:w="0" w:type="dxa"/>
        </w:tblCellMar>
      </w:tblPr>
      <w:tblGrid>
        <w:gridCol w:w="124"/>
        <w:gridCol w:w="2416"/>
      </w:tblGrid>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55837023000663/kd-20230125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18703</Words>
  <Characters>102124</Characters>
  <CharactersWithSpaces>122963</CharactersWithSpaces>
  <Paragraphs>8302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