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717-2_424b5.htm"/>
        <w:bookmarkStart w:id="1" w:name="kstm2625717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9"/>
        </w:rPr>
        <w:t>Filed Pursuant to Rule 424(b)(5)</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 Registration No. 333-276713</w:t>
      </w:r>
      <w:r>
        <w:rPr>
          <w:rFonts w:ascii="Times New Roman;Times;serif" w:hAnsi="Times New Roman;Times;serif"/>
          <w:b/>
          <w:i w:val="false"/>
          <w:caps w:val="false"/>
          <w:smallCaps w:val="false"/>
          <w:color w:val="000000"/>
          <w:sz w:val="19"/>
        </w:rPr>
        <w:t>​</w:t>
      </w:r>
    </w:p>
    <w:p>
      <w:pPr>
        <w:pStyle w:val="TextBody"/>
        <w:bidi w:val="0"/>
        <w:spacing w:lineRule="atLeast" w:line="190" w:before="40" w:after="283"/>
        <w:jc w:val="left"/>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PROSPECTUS SUPPLEMENT</w:t>
      </w:r>
      <w:r>
        <w:rPr>
          <w:rFonts w:ascii="Times New Roman;Times;serif" w:hAnsi="Times New Roman;Times;serif"/>
          <w:b/>
          <w:i/>
          <w:caps w:val="false"/>
          <w:smallCaps w:val="false"/>
          <w:color w:val="000000"/>
          <w:sz w:val="19"/>
        </w:rPr>
        <w:t xml:space="preserve"> </w:t>
        <w:br/>
      </w:r>
      <w:r>
        <w:rPr>
          <w:rFonts w:ascii="Times New Roman;Times;serif" w:hAnsi="Times New Roman;Times;serif"/>
          <w:b/>
          <w:i/>
          <w:caps w:val="false"/>
          <w:smallCaps w:val="false"/>
          <w:color w:val="000000"/>
          <w:spacing w:val="-4"/>
          <w:sz w:val="19"/>
        </w:rPr>
        <w:t>(To prospectus dated January 26, 2024)</w:t>
      </w:r>
      <w:r>
        <w:rPr>
          <w:rFonts w:ascii="Times New Roman;Times;serif" w:hAnsi="Times New Roman;Times;serif"/>
          <w:b/>
          <w:i/>
          <w:caps w:val="false"/>
          <w:smallCaps w:val="false"/>
          <w:color w:val="000000"/>
          <w:spacing w:val="4"/>
          <w:sz w:val="19"/>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45" w:after="283"/>
        <w:jc w:val="center"/>
        <w:rPr>
          <w:caps w:val="false"/>
          <w:smallCaps w:val="false"/>
          <w:color w:val="000000"/>
        </w:rPr>
      </w:pPr>
      <w:r>
        <w:rPr>
          <w:caps w:val="false"/>
          <w:smallCaps w:val="false"/>
          <w:color w:val="000000"/>
        </w:rPr>
        <w:drawing>
          <wp:inline distT="0" distB="0" distL="0" distR="0">
            <wp:extent cx="19050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096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15"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80" w:before="5"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$600,000,000 7.800% Senior Notes due 2029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5"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 7.875% Senior Notes due 2032</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are offering $600,000,000 aggregate principal amount of 7.800% Senior Notes due 2029 (the “2029 Notes”) and $400,000,000 aggregate principal amount of 7.875% Senior Notes due 2032 (the “2032 Notes” and, together with the 2029 Notes, the “Notes”). The Notes will be issued pursuant to a base indenture dated as of October 15, 2021 between Kyndryl Holdings, Inc., as issuer, and The Bank of New York Mellon Trust Company, N.A., as trustee (the “Trustee”), as supplemented by the third supplemental indenture to be dated September 28, 2026 relating to the 2029 Notes offered hereby, and the fourth supplemental indenture to be dated September 28, 2026 relating to the 2032 Notes offered hereby (as so supplemented, the “Indentures”).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2029 Notes will bear interest at a rate of 7.800% per year and mature on September 28, 2029 and the 2032 Notes will bear interest at a rate of 7.875% per year and mature on January 15, 2032. We will pay interest on the 2029 Notes on March 28 and September 28 of each year. The first such payment on the 2029 Notes will be made on March 28, 2027. We will pay interest on the 2032 Notes on January 15 and July 15 of each year. The first such payment on the 2032 Notes will be made on January 15, 2027. The interest rate payable on each series of the Notes will be subject to adjustments from time to time as discussed in this prospectus supplement under the heading “Description of Notes — Interest Rate Adjustment.”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may redeem the Notes of each series, in whole or in part, at the redemption prices described under “Description of Notes — Optional Redemption.” If we experience a change of control repurchase event (as defined herein), we may be required to offer to purchase the Notes from holders of the Notes. See “Description of Notes — Purchase of Notes upon a Change of Control Repurchase Event.”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Each series of the Notes will be our senior unsecured obligations and will rank equal in right of payment among themselves and with our existing and future senior unsecured indebtedness. Neither series of the Notes will be guaranteed by any of our subsidiaries. The Notes will be issued only in registered form in minimum denominations of $2,000 and integral multiples of $1,000 in excess thereof.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offering of each series of the Notes is not conditioned on the completion of the offering of any other series of the Notes.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No series of the Notes will be listed on any securities exchange. The Notes are new issues of securities with no established trading market. </w:t>
      </w:r>
    </w:p>
    <w:tbl>
      <w:tblPr>
        <w:tblW w:w="10120" w:type="dxa"/>
        <w:jc w:val="left"/>
        <w:tblInd w:w="540" w:type="dxa"/>
        <w:tblLayout w:type="fixed"/>
        <w:tblCellMar>
          <w:top w:w="0" w:type="dxa"/>
          <w:left w:w="0" w:type="dxa"/>
          <w:bottom w:w="28" w:type="dxa"/>
          <w:right w:w="0" w:type="dxa"/>
        </w:tblCellMar>
      </w:tblPr>
      <w:tblGrid>
        <w:gridCol w:w="1440"/>
        <w:gridCol w:w="109"/>
        <w:gridCol w:w="109"/>
        <w:gridCol w:w="109"/>
        <w:gridCol w:w="109"/>
        <w:gridCol w:w="766"/>
        <w:gridCol w:w="109"/>
        <w:gridCol w:w="109"/>
        <w:gridCol w:w="109"/>
        <w:gridCol w:w="109"/>
        <w:gridCol w:w="226"/>
        <w:gridCol w:w="1306"/>
        <w:gridCol w:w="109"/>
        <w:gridCol w:w="109"/>
        <w:gridCol w:w="109"/>
        <w:gridCol w:w="109"/>
        <w:gridCol w:w="109"/>
        <w:gridCol w:w="766"/>
        <w:gridCol w:w="109"/>
        <w:gridCol w:w="109"/>
        <w:gridCol w:w="109"/>
        <w:gridCol w:w="109"/>
        <w:gridCol w:w="226"/>
        <w:gridCol w:w="1306"/>
        <w:gridCol w:w="109"/>
        <w:gridCol w:w="109"/>
        <w:gridCol w:w="109"/>
        <w:gridCol w:w="109"/>
        <w:gridCol w:w="226"/>
        <w:gridCol w:w="1306"/>
        <w:gridCol w:w="109"/>
        <w:gridCol w:w="154"/>
      </w:tblGrid>
      <w:tr>
        <w:trPr/>
        <w:tc>
          <w:tcPr>
            <w:tcW w:w="14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2029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2029 Notes </w:t>
            </w:r>
            <w:r>
              <w:rPr/>
              <w:br/>
            </w: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 2032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2032 Notes </w:t>
            </w:r>
            <w:r>
              <w:rPr/>
              <w:br/>
            </w:r>
            <w:r>
              <w:rPr>
                <w:spacing w:val="-3"/>
              </w:rPr>
              <w:t xml:space="preserve">Total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40" w:type="dxa"/>
            <w:tcBorders/>
            <w:shd w:fill="CCEEFF" w:val="clear"/>
            <w:tcMar>
              <w:bottom w:w="0" w:type="dxa"/>
            </w:tcMar>
            <w:vAlign w:val="center"/>
          </w:tcPr>
          <w:p>
            <w:pPr>
              <w:pStyle w:val="TableContents"/>
              <w:bidi w:val="0"/>
              <w:spacing w:before="0" w:after="0"/>
              <w:jc w:val="left"/>
              <w:rPr/>
            </w:pPr>
            <w:r>
              <w:rPr>
                <w:spacing w:val="4"/>
              </w:rPr>
              <w:t>Price to the Public</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598,962,000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98.821%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395,284,000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994,246,000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spacing w:val="4"/>
              </w:rPr>
            </w:pPr>
            <w:r>
              <w:rPr>
                <w:spacing w:val="4"/>
              </w:rPr>
              <w:t xml:space="preserve">Underwriting Discounts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4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596,562,000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98.171%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392,684,000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989,246,000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0"/>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Plus accrued interest, if any, from September 28, 2026, if settlement occurs after that date.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6289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before="0" w:after="283"/>
                              <w:jc w:val="left"/>
                              <w:rPr>
                                <w:sz w:val="18"/>
                              </w:rPr>
                            </w:pPr>
                            <w:r>
                              <w:rPr>
                                <w:spacing w:val="4"/>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8"/>
                        </w:rPr>
                      </w:pPr>
                      <w:r>
                        <w:rPr>
                          <w:spacing w:val="4"/>
                          <w:sz w:val="18"/>
                        </w:rPr>
                        <w:t>(1)</w:t>
                      </w:r>
                      <w:r>
                        <w:rPr>
                          <w:sz w:val="18"/>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90" w:before="40" w:after="283"/>
        <w:ind w:left="540" w:right="0" w:firstLine="400"/>
        <w:jc w:val="left"/>
        <w:rPr/>
      </w:pPr>
      <w:r>
        <w:rPr>
          <w:rFonts w:ascii="Times New Roman;Times;serif" w:hAnsi="Times New Roman;Times;serif"/>
          <w:b w:val="false"/>
          <w:i/>
          <w:caps w:val="false"/>
          <w:smallCaps w:val="false"/>
          <w:color w:val="000000"/>
          <w:spacing w:val="4"/>
          <w:sz w:val="19"/>
        </w:rPr>
        <w:t xml:space="preserve">Investing in the Notes involves risks. You should carefully read and consider the risk factors included in this prospectus supplement beginning on page </w:t>
      </w:r>
      <w:hyperlink w:anchor="sRIFA">
        <w:r>
          <w:rPr>
            <w:rStyle w:val="InternetLink"/>
          </w:rPr>
          <w:t>S-5</w:t>
        </w:r>
      </w:hyperlink>
      <w:r>
        <w:rPr>
          <w:rFonts w:ascii="Times New Roman;Times;serif" w:hAnsi="Times New Roman;Times;serif"/>
          <w:b w:val="false"/>
          <w:i/>
          <w:caps w:val="false"/>
          <w:smallCaps w:val="false"/>
          <w:color w:val="000000"/>
          <w:spacing w:val="4"/>
          <w:sz w:val="19"/>
        </w:rPr>
        <w:t xml:space="preserve">, as well as “Risk Factors” in our Annual Report on Form 10-K for the year ended March 31, 2026. </w:t>
      </w:r>
    </w:p>
    <w:p>
      <w:pPr>
        <w:pStyle w:val="TextBody"/>
        <w:bidi w:val="0"/>
        <w:spacing w:lineRule="atLeast" w:line="190" w:before="40" w:after="283"/>
        <w:ind w:left="540"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90" w:before="4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 xml:space="preserve">The underwriters expect to deliver each series of the Notes to investors on or about September 28, 2026 in book entry form through the facilities of The Depository Trust Company and its direct and indirect participants (“DTC”), including Euroclear Bank, SA/NV (“Euroclear”) and Clearstream Banking S.A., </w:t>
      </w:r>
      <w:r>
        <w:rPr>
          <w:rFonts w:ascii="Times New Roman;Times;serif" w:hAnsi="Times New Roman;Times;serif"/>
          <w:b w:val="false"/>
          <w:i/>
          <w:caps w:val="false"/>
          <w:smallCaps w:val="false"/>
          <w:color w:val="000000"/>
          <w:spacing w:val="4"/>
          <w:sz w:val="19"/>
        </w:rPr>
        <w:t>société anonyme</w:t>
      </w:r>
      <w:r>
        <w:rPr>
          <w:rFonts w:ascii="Times New Roman;Times;serif" w:hAnsi="Times New Roman;Times;serif"/>
          <w:b w:val="false"/>
          <w:i w:val="false"/>
          <w:caps w:val="false"/>
          <w:smallCaps w:val="false"/>
          <w:color w:val="000000"/>
          <w:spacing w:val="4"/>
          <w:sz w:val="19"/>
        </w:rPr>
        <w:t xml:space="preserve">, Luxembourg (“Clearstream”). </w:t>
      </w:r>
    </w:p>
    <w:p>
      <w:pPr>
        <w:pStyle w:val="TextBody"/>
        <w:bidi w:val="0"/>
        <w:spacing w:lineRule="atLeast" w:line="190" w:before="8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Joint Book-Running Managers</w:t>
      </w:r>
      <w:r>
        <w:rPr>
          <w:rFonts w:ascii="Times New Roman;Times;serif" w:hAnsi="Times New Roman;Times;serif"/>
          <w:b/>
          <w:i/>
          <w:caps w:val="false"/>
          <w:smallCaps w:val="false"/>
          <w:color w:val="000000"/>
          <w:spacing w:val="4"/>
          <w:sz w:val="19"/>
        </w:rPr>
        <w:t xml:space="preserve"> </w:t>
      </w:r>
    </w:p>
    <w:tbl>
      <w:tblPr>
        <w:tblW w:w="5061" w:type="dxa"/>
        <w:jc w:val="left"/>
        <w:tblInd w:w="540" w:type="dxa"/>
        <w:tblLayout w:type="fixed"/>
        <w:tblCellMar>
          <w:top w:w="0" w:type="dxa"/>
          <w:left w:w="0" w:type="dxa"/>
          <w:bottom w:w="0" w:type="dxa"/>
          <w:right w:w="0" w:type="dxa"/>
        </w:tblCellMar>
      </w:tblPr>
      <w:tblGrid>
        <w:gridCol w:w="124"/>
        <w:gridCol w:w="1273"/>
        <w:gridCol w:w="109"/>
        <w:gridCol w:w="109"/>
        <w:gridCol w:w="1459"/>
        <w:gridCol w:w="109"/>
        <w:gridCol w:w="109"/>
        <w:gridCol w:w="1615"/>
        <w:gridCol w:w="154"/>
      </w:tblGrid>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Morgan Stanley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Scotiabank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00" w:after="283"/>
        <w:ind w:left="540" w:right="0" w:hanging="0"/>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Co-Managers</w:t>
      </w:r>
      <w:r>
        <w:rPr>
          <w:rFonts w:ascii="Times New Roman;Times;serif" w:hAnsi="Times New Roman;Times;serif"/>
          <w:b/>
          <w:i/>
          <w:caps w:val="false"/>
          <w:smallCaps w:val="false"/>
          <w:color w:val="000000"/>
          <w:spacing w:val="4"/>
          <w:sz w:val="19"/>
        </w:rPr>
        <w:t xml:space="preserve"> </w:t>
      </w:r>
    </w:p>
    <w:tbl>
      <w:tblPr>
        <w:tblW w:w="6257" w:type="dxa"/>
        <w:jc w:val="left"/>
        <w:tblInd w:w="540" w:type="dxa"/>
        <w:tblLayout w:type="fixed"/>
        <w:tblCellMar>
          <w:top w:w="0" w:type="dxa"/>
          <w:left w:w="0" w:type="dxa"/>
          <w:bottom w:w="0" w:type="dxa"/>
          <w:right w:w="0" w:type="dxa"/>
        </w:tblCellMar>
      </w:tblPr>
      <w:tblGrid>
        <w:gridCol w:w="124"/>
        <w:gridCol w:w="1421"/>
        <w:gridCol w:w="109"/>
        <w:gridCol w:w="109"/>
        <w:gridCol w:w="2501"/>
        <w:gridCol w:w="109"/>
        <w:gridCol w:w="109"/>
        <w:gridCol w:w="1621"/>
        <w:gridCol w:w="154"/>
      </w:tblGrid>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BBVA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center"/>
              <w:rPr/>
            </w:pPr>
            <w:r>
              <w:rPr>
                <w:spacing w:val="-5"/>
              </w:rPr>
              <w:t>Santander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center"/>
              <w:rPr/>
            </w:pPr>
            <w:r>
              <w:rPr>
                <w:spacing w:val="-5"/>
              </w:rPr>
              <w:t>BofA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Lloyds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00"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date of this prospectus supplement is September 24, 2026.</w:t>
      </w:r>
      <w:r>
        <w:rPr>
          <w:rFonts w:ascii="Times New Roman;Times;serif" w:hAnsi="Times New Roman;Time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6760" w:type="dxa"/>
        <w:jc w:val="left"/>
        <w:tblInd w:w="1393" w:type="dxa"/>
        <w:tblLayout w:type="fixed"/>
        <w:tblCellMar>
          <w:top w:w="0" w:type="dxa"/>
          <w:left w:w="0" w:type="dxa"/>
          <w:bottom w:w="28" w:type="dxa"/>
          <w:right w:w="0" w:type="dxa"/>
        </w:tblCellMar>
      </w:tblPr>
      <w:tblGrid>
        <w:gridCol w:w="5441"/>
        <w:gridCol w:w="109"/>
        <w:gridCol w:w="109"/>
        <w:gridCol w:w="109"/>
        <w:gridCol w:w="109"/>
        <w:gridCol w:w="620"/>
        <w:gridCol w:w="109"/>
        <w:gridCol w:w="154"/>
      </w:tblGrid>
      <w:tr>
        <w:trPr/>
        <w:tc>
          <w:tcPr>
            <w:tcW w:w="54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center"/>
              <w:rPr/>
            </w:pPr>
            <w:r>
              <w:rPr>
                <w:spacing w:val="-4"/>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SNRF">
              <w:r>
                <w:rPr>
                  <w:rStyle w:val="InternetLink"/>
                  <w:spacing w:val="4"/>
                </w:rPr>
                <w:t>S-ii</w:t>
              </w:r>
            </w:hyperlink>
            <w:hyperlink w:anchor="sSN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SUF3">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UF3">
              <w:r>
                <w:rPr>
                  <w:rStyle w:val="InternetLink"/>
                  <w:spacing w:val="4"/>
                </w:rPr>
                <w:t>S-1</w:t>
              </w:r>
            </w:hyperlink>
            <w:hyperlink w:anchor="sSUF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THOF">
              <w:r>
                <w:rPr>
                  <w:rStyle w:val="InternetLink"/>
                  <w:spacing w:val="4"/>
                </w:rPr>
                <w:t>S-2</w:t>
              </w:r>
            </w:hyperlink>
            <w:hyperlink w:anchor="s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S-7</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AP">
              <w:r>
                <w:rPr>
                  <w:rStyle w:val="InternetLink"/>
                  <w:spacing w:val="4"/>
                </w:rPr>
                <w:t>S-8</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S-9</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MUFI">
              <w:r>
                <w:rPr>
                  <w:rStyle w:val="InternetLink"/>
                  <w:spacing w:val="4"/>
                </w:rPr>
                <w:t xml:space="preserve">Material U.S. Federal Income Tax Consequences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MUFI">
              <w:r>
                <w:rPr>
                  <w:rStyle w:val="InternetLink"/>
                  <w:spacing w:val="4"/>
                </w:rPr>
                <w:t>S-27</w:t>
              </w:r>
            </w:hyperlink>
            <w:hyperlink w:anchor="sMU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UCOI">
              <w:r>
                <w:rPr>
                  <w:rStyle w:val="InternetLink"/>
                  <w:spacing w:val="4"/>
                </w:rPr>
                <w:t xml:space="preserve">Underwriting (Conflicts of Interest)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COI">
              <w:r>
                <w:rPr>
                  <w:rStyle w:val="InternetLink"/>
                  <w:spacing w:val="4"/>
                </w:rPr>
                <w:t>S-31</w:t>
              </w:r>
            </w:hyperlink>
            <w:hyperlink w:anchor="sU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LEMA">
              <w:r>
                <w:rPr>
                  <w:rStyle w:val="InternetLink"/>
                  <w:spacing w:val="4"/>
                </w:rPr>
                <w:t>S-39</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S-39</w:t>
              </w:r>
            </w:hyperlink>
            <w:hyperlink w:anchor="s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441"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S-39</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441" w:type="dxa"/>
            <w:tcBorders/>
            <w:shd w:fill="CCEEFF" w:val="clear"/>
            <w:tcMar>
              <w:bottom w:w="0" w:type="dxa"/>
            </w:tcMar>
            <w:vAlign w:val="center"/>
          </w:tcPr>
          <w:p>
            <w:pPr>
              <w:pStyle w:val="TableContents"/>
              <w:bidi w:val="0"/>
              <w:spacing w:before="0" w:after="0"/>
              <w:jc w:val="left"/>
              <w:rPr/>
            </w:pPr>
            <w:hyperlink w:anchor="s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IBR">
              <w:r>
                <w:rPr>
                  <w:rStyle w:val="InternetLink"/>
                  <w:spacing w:val="4"/>
                </w:rPr>
                <w:t>S-39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881" w:type="dxa"/>
        <w:jc w:val="left"/>
        <w:tblInd w:w="1393" w:type="dxa"/>
        <w:tblLayout w:type="fixed"/>
        <w:tblCellMar>
          <w:top w:w="0" w:type="dxa"/>
          <w:left w:w="0" w:type="dxa"/>
          <w:bottom w:w="0" w:type="dxa"/>
          <w:right w:w="0" w:type="dxa"/>
        </w:tblCellMar>
      </w:tblPr>
      <w:tblGrid>
        <w:gridCol w:w="124"/>
        <w:gridCol w:w="4648"/>
        <w:gridCol w:w="109"/>
        <w:gridCol w:w="109"/>
        <w:gridCol w:w="109"/>
        <w:gridCol w:w="109"/>
        <w:gridCol w:w="410"/>
        <w:gridCol w:w="109"/>
        <w:gridCol w:w="154"/>
      </w:tblGrid>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center"/>
              <w:rPr/>
            </w:pPr>
            <w:r>
              <w:rPr>
                <w:spacing w:val="-4"/>
              </w:rPr>
              <w:t>Prospectus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KHI">
              <w:r>
                <w:rPr>
                  <w:rStyle w:val="InternetLink"/>
                  <w:spacing w:val="4"/>
                </w:rPr>
                <w:t xml:space="preserve">Kyndryl Holdings,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KHI">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WYCF">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SNOF">
              <w:r>
                <w:rPr>
                  <w:rStyle w:val="InternetLink"/>
                  <w:spacing w:val="4"/>
                </w:rPr>
                <w:t xml:space="preserve">Special Note on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NOF">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UOP">
              <w:r>
                <w:rPr>
                  <w:rStyle w:val="InternetLink"/>
                  <w:spacing w:val="4"/>
                </w:rPr>
                <w:t>6</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pPr>
            <w:hyperlink w:anchor="tVODS">
              <w:r>
                <w:rPr>
                  <w:rStyle w:val="InternetLink"/>
                  <w:spacing w:val="4"/>
                </w:rPr>
                <w:t xml:space="preserve">Validity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VODS">
              <w:r>
                <w:rPr>
                  <w:rStyle w:val="InternetLink"/>
                  <w:spacing w:val="4"/>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not, and the underwriters have not, authorized anyone to provide you with information different from that contained or incorporated by reference in this prospectus supplement, the accompanying prospectus or in any free writing prospectus prepared by or on behalf of us or to which we have referred you. Neither we nor the underwriters take any responsibility for, and can provide no assurance as to the reliability of, any other information that others may give you. We and the underwriters are offering to sell, and seeking offers to buy, the Notes only in jurisdictions where offers and sales are permitted. The information contained or incorporated by reference in this prospectus supplement, the accompanying prospectus, any free writing prospectuses relating to this offering or any document incorporated by reference herein or therein is accurate only as of the date of such document, regardless of the time of delivery of this prospectus supplement or of any sale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w:t>
      </w:r>
      <w:bookmarkStart w:id="5" w:name="sS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contains the terms of this offering of Notes. The second part, the accompanying prospectus dated January 26, 2024, gives more general information, some of which may not apply to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information incorporated by reference in this prospectus supplement may add to, update or change the information in the accompanying prospectus. If information in this prospectus supplement varies in any way from the information in the accompanying prospectus or in a document we have incorporated by reference, you should rely on the information in the more recent document. You should also read and consider the additional information under the captions “Where You Can Find More Information” and “Information Incorporated by Reference” in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supplement and the accompanying prospectus and the offering of the Notes in certain jurisdictions may be restricted by law. This prospectus supplement and the accompanying prospectus do not constitute an offer, or an invitation on our behalf or the underwriters’ behalf, or any one of them, to subscribe to or purchase any of the Notes, and may not be used for or in connection with an offer or solicitation by anyone, in any jurisdiction in which such an offer or solicitation is not authorized or to any person to whom it is unlawful to make such an offer or solicitation. See “Underwriting (Conflicts of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herein or the context otherwise requires, the terms “Kyndryl,” “Kyndryl Holdings,” “the Company,” “we,” “us,” and “our” refer to Kyndryl Holdings, Inc. and its consolidated subsidiaries. If we use a capitalized term in this prospectus supplement and do not define the term in this document, it is defined in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by reference herein and therein contain “forward-looking statements” within the meaning of the Private Securities Litigation Reform Act of 1995. All statements other than statements of historical fact included in this prospectus supplement, the accompanying prospectus and the documents incorporated by reference herein and therein,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prospectus supplement, the accompanying prospectus and the documents incorporated by reference herein and therein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attract new customers, retain existing customers or sell services to customers; </w:t>
      </w:r>
      <w:r>
        <mc:AlternateContent>
          <mc:Choice Requires="wps">
            <w:drawing>
              <wp:anchor behindDoc="0" distT="7366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meet growth and productivity objectives and maintain our capital allocation strategy; </w:t>
      </w:r>
      <w:r>
        <mc:AlternateContent>
          <mc:Choice Requires="wps">
            <w:drawing>
              <wp:anchor behindDoc="0" distT="7366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7366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relationships with critical suppliers and partners;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address and adapt to technological developments and trends; </w:t>
      </w:r>
      <w:r>
        <mc:AlternateContent>
          <mc:Choice Requires="wps">
            <w:drawing>
              <wp:anchor behindDoc="0" distT="7366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attract and retain key personnel and other skilled employees; </w:t>
      </w:r>
      <w:r>
        <mc:AlternateContent>
          <mc:Choice Requires="wps">
            <w:drawing>
              <wp:anchor behindDoc="0" distT="7366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economic, geopolitical, public health and other conditions; </w:t>
      </w:r>
      <w:r>
        <mc:AlternateContent>
          <mc:Choice Requires="wps">
            <w:drawing>
              <wp:anchor behindDoc="0" distT="7366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the Company’s reputation and impact on the Company and the Company’s stock price resulting from negative publicity;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accurately estimate the cost of services and the timeline for completion of contracts;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delivery issues;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successfully complete and manage acquisitions and dispositions, including integration challenges, failure to achieve objectives, the assumption of liabilities and higher debt levels;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refinance maturing debt on favorable terms in a timely manner, or at all, and risks related to the Company’s access to capital and credit markets;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business with foreign, state and local government customers;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of the Company’s intellectual property rights to prevent competitive offerings and the failure of the Company to obtain, retain and extend necessary licenses;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impairment of the Company’s goodwill or long-lived assets;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cybersecurity, data governance and privacy;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non-compliance with legal and regulatory requirements and changes in laws, regulations and policies in the U.S. and countries where the Company and its customers do business, including with respect to tariffs, taxes and other controls on imports or exports;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from tax matters and environmental matters;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legal and regulatory claims, suits, investigations, proceedings and other matters, and consequences related thereto;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remediate, and the timing and costs related to the remediation of, material weaknesses in internal control over financial reporting, as well as the Company’s ability to maintain effective controls in the future;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indemnification obligations;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changes or developments in credit ratings, market liquidity conditions and customer credit risk on receivables;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pension plans;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currency fluctuations; and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common stock and the securities market.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Additional risks and uncertainties include, among others, those risks and uncertainties described in the “Risk Factors” section beginning on page 11 of Kyndryl’s </w:t>
      </w:r>
      <w:hyperlink r:id="rId3">
        <w:r>
          <w:rPr>
            <w:rStyle w:val="InternetLink"/>
          </w:rPr>
          <w:t>Annual Report on Form 10-K for the fiscal year ended March 31, 2026</w:t>
        </w:r>
      </w:hyperlink>
      <w:r>
        <w:rPr>
          <w:rFonts w:ascii="Times New Roman;Times;serif" w:hAnsi="Times New Roman;Times;serif"/>
          <w:b w:val="false"/>
          <w:i w:val="false"/>
          <w:caps w:val="false"/>
          <w:smallCaps w:val="false"/>
          <w:color w:val="000000"/>
          <w:spacing w:val="4"/>
          <w:sz w:val="20"/>
        </w:rPr>
        <w:t>, which is incorporated by reference herein, as such factors may be updated from time to time in the Company’s subsequent filings with the SEC. In addition, other risks and uncertainties that are not currently known to the Company or that the Company currently deems immaterial may also impact actual results and outcomes. Any forward-looking statement in this prospectus supplement speaks only as of the date on which it is made. Except as required by law, the Company assumes no obligation to update or revise any forward-looking statements,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SUF3"/>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the information contained elsewhere in this prospectus supplement or incorporated by reference herein. Because this is only a summary, it may not contain all of the information that you should consider before investing in the Notes offered hereby. For a more complete understanding of this offering, we encourage you to read this entire prospectus supplement, the prospectus and the documents incorporated by reference herein, including the “Risk Factors.” You should read the following summary together with the more detailed information and consolidated financial statements and the Notes to those statements incorporated by reference into this prospectus supplement. Unless otherwise indicated, financial information included or incorporated by reference in this prospectus supplement is presented on an historical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Our purpose is to design, build and manage secure and responsive private, public and multi-cloud environments to serve our customers’ needs and accelerate their digital transformations. We offer services across a number of areas of expertise, such as cloud services, core enterprise services, applications, data and artificial intelligence (“AI”) services, digital workplace services, security and resiliency services and network and edge services as we continue to support our customers through technological change. Our services enable us to modernize and manage cloud, on-premises and hybrid IT environments as “one” for our customers, enabling them to scale seamlessly. To deliver these services, we rely on our global team of skilled practitioners. Our employees leverage their deep engineering expertise and extensive experience operating complex and heterogeneous technology environments to drive service quality and intellectual property development and develop and maintain our long-term trusted customer relationships.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Holdings, Inc. is incorporated under the laws of the State of Delaware. Our principal executive offices are located at One Vanderbilt Avenue, 15th Floor, New York, New York, 10017 and our telephone number is (855) 596-3795. Our internet address is www.kyndryl.com. Other than the documents expressly incorporated by reference, the information on our website and any other website that is referred to in this prospectus supplement is not part of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and is not intended to be complete. It does not contain all the information that is important to you. For a more complete understanding of the Notes, please refer to the section of this prospectus supplement entitled “Description of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Kyndryl Holdings,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$1,000,000,000 aggregate principal amount of Notes, consisting of:</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8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$600,000,000 aggregate principal amount of 7.800% Senior Notes due 2029;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4300" distB="0" distL="23876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9pt;mso-wrap-distance-bottom:0pt;margin-top:9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55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$400,000,000 aggregate principal amount of 7.875% Senior Notes due 2032.</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4300" distB="0" distL="23876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8pt;mso-wrap-distance-right:0pt;mso-wrap-distance-top:9pt;mso-wrap-distance-bottom:0pt;margin-top:9pt;mso-position-vertical:top;mso-position-vertical-relative:text;margin-left:18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offering of each series of the Notes is not conditioned on the completion of the offering of any other series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2029 Notes will mature on September 28, 2029 and the 2032 Notes will mature on January 15, 2032, unless earlier redeemed or repurchased.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“Interest Rate Adjustment” below, interest on the 2029 Notes will accrue from the issue date at a rate of 7.800% per annum and interest on the 2032 Notes will accrue from the issue date at a rate of 7.875% per annum.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 Adjustment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interest rate payable on each series of the Notes will be subject to adjustment from time to time if any of Moody’s Investors Service, Inc. (“Moody’s”), S&amp;P Global Ratings (“S&amp;P”) or Fitch Ratings, Inc. (“Fitch”) (or, in each case, a substitute rating agency therefor), downgrades (or subsequently upgrades) the debt rating of the applicable series of the Notes, as set forth under “Description of Notes — Interest Rate Adjustment”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March 28 and September 28 of each year, commencing on March 28, 2027, with respect to the 2029 Notes. January 15 and July 15 of each year, commencing on January 15, 2027, with respect to the 2032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will be our senior unsecured obligations and will rank equal in right of payment among themselves and with all of our other existing and future senior unsecured indebtedness, including indebtedness outstanding under the Revolving Credit Agreement (as defined herein). Neither series of the Notes will be guaranteed by any of our subsidiaries and thus will be effectively subordinated to all existing or future indebtedness or other liabilities, including trade payables, of our subsidiaries. As a result, claims of the creditors of our subsidiaries will generally have priority with respect to the assets and earnings of such subsidiaries over the claims of holders of the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we had approximately $4,070 million of outstanding indebtedness, including $2,900 million in aggregate principal amount of senior unsecured fixed-rate notes (the “Existing Notes”), and $2.15 billion of availability under our multi-currency revolving credit agreement (the “Revolving Credit Agreement”). As of June 30, 2026, our short-term indebtedness included $1 billion in short-term borrowings, currently bearing an interest rate of 5.232%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Revolving Credit Agreement (the “Outstanding Balance”). See “Capitalization.”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Notes — Ranking.”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any time and from time to time prior to (i)  August 28, 2029 with respect to the 2029 Notes (one month prior to their maturity date) and (ii) </w:t>
      </w:r>
      <w:r>
        <w:rPr>
          <w:rFonts w:ascii="Times New Roman;Times;serif" w:hAnsi="Times New Roman;Times;serif"/>
          <w:b w:val="false"/>
          <w:i w:val="false"/>
          <w:caps w:val="false"/>
          <w:smallCaps w:val="false"/>
          <w:color w:val="000000"/>
          <w:sz w:val="20"/>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December 15, 2031 with respect to the 2032 Notes (one month prior to their maturity date) (each such date, with respect to the 2029 Notes or the 2032 Notes, as applicable, the “Par Call Date”), we may redeem some or all of the Notes of each series at the applicable “make-whole” redemption price described in this prospectus supplement, together with accrued and unpaid interest.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and from time to time on or after the applicable Par Call Date, we may redeem some or all of the Notes of each series at a redemption price equal to 100% of the principal amount of the Notes to be redeemed, together with accrued and unpaid interest. See “Description of Notes — Optional Redemption.”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Repurchase Event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experience a change of control repurchase event (as defined herein), each holder may require us to repurchase some or all of our Notes at a purchase price equal to 101% of the aggregate principal amount of the Notes to be repurchased, plus accrued and unpaid interest, if any, to, but not including, the repurchase date. See “Description of Notes — Purchase of Notes upon a Change of Control Repurchase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not applied, and do not intend to apply, to list any series of the Notes on any securities exchange or to have any series of the Notes quoted on a quotation system.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Prior Market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series of the Notes will constitute a new class of securities with no established trading market. Certain of the underwriters have advised us that they intend to make a market in each series of the Notes. However, they are not obligated to do so and may discontinue any market-making at any time in their sole discretion. Therefore, we cannot assure you that a liquid trading market for either series of the Notes will develop, that you will be able to sell your respective Notes at a particular time or that the price you receive when you sell will be favorable.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Book-Entry Form and 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offered in book-entry form through the facilities of The Depository Trust Company in minimum denominations of $2,000 and integral multiples of $1,000 in excess thereof. See “Description of Notes — Book-Entry; Delivery and Form.”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use the net proceeds of this offering to repay at maturity the $700 million outstanding aggregate principal amount of our 2.05% senior notes due October 2026 (the “2026 Notes”). We intend to use any remaining net proceeds from this offering, together with cash on hand, to repay the Outstanding Balance under our Revolving Credit Agreement, and for related fees and expenses. This prospectus supplement does not constitute a notice of redemption with respect to, or an offer to purchase, the 2026 Notes.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“Use of Proceeds.”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Trust Company, N.A.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Indentures are, and the Notes will be, governed by and construed in accordance with the laws of the 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consider all of the information contained in this prospectus supplement before making an investment in the Notes. In particular, you should consider the risks described under “Risk Factors” beginning on page S-5 in this prospectus supplement and in the filings we incorporate by reference.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Conflicts of 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the underwriters or their affiliates are lenders under our Revolving Credit Agreement and may own a portion of the 2026 Notes. As a result of the intended use of net proceeds of this offering to repay at maturity the 2026 Notes and to repay amounts outstanding under our Revolving Credit Agreement, such underwriters or their affiliates may receive at least 5% of the net proceeds of this offering. The receipt of at least 5% of the net proceeds of this offering by any underwriter or its affiliates would be considered a “conflict of interest” under Rule 5121 of the Financial Industry Regulatory Authority, Inc. (“FINRA”) for such underwriters. Consequently, this offering will be conducted in accordance with the applicable requirements of FINRA Rule 5121. See “Use of Proceeds” and “Underwriting (Conflicts of Interest) — Conflicts of Interest.”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deciding whether to purchase the Notes, you should carefully consider the risks described below, which could cause our operating results and financial condition to be materially adversely affected, as well as other information and data included in or incorporated by reference into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Our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read carefully the “Risk Factors” beginning on page 11 of our annual report on Form 10-K for the fiscal year ended March 31,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indebtedness could adversely affect our business, financial condition and results of operations and make it difficult for us to fulfill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$4,070 million of outstanding indebtedness, including $2,900 million in aggregate principal amount of Existing Notes, and $2.15 billion of availability under our Revolving Credit Agreement. As of June 30, 2026, our short-term indebtedness included $1 billion in short-term borrowings under the Revolving Credit Agreement. See “Capitalization.” Our ability to make payments on and to refinance our indebtedness, including our existing indebtedness and the Notes offered hereby, as well as any future debt that we may incur, or to fund capital expenditures, acquisitions and other strategic initiatives, will depend on our ability to generate cash in the future from operations, financings or asset sales. Our ability to generate cash is subject to general economic, financial, competitive, legislative, regulatory and other factors that are beyond our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Indentures will not, and the agreements governing our Existing Notes and Revolving Credit Agreement do not, limit our ability to incur additional unsecured debt, including debt that would rank equally with each series of the Notes. If we incur any additional debt that ranks equally with each series of the Notes, the holders of that debt will be entitled to share ratably with you in any proceeds distributed in connection with any insolvency, liquidation, reorganization, dissolution or other winding-up of our company. This may have the effect of reducing the amount of proceeds paid to you.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Ratings of the Notes may change after issuance and affect the market price and marketability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expect that, prior to issuance, the Notes will be rated by one or more rating agencies. Such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Our credit ratings are based upon information furnished by us or obtained by a rating agency from its own sources and are subject to revision, suspension or withdrawal by one or more rating agencies at any time. Rating agencies may place our ratings on negative outlook or credit watch, or take downgrade actions, due to a variety of factors including adverse changes in macroeconomic conditions, such as a global or regional recession, trade policy uncertainty (including tariff impositions or escalations), or broader credit market trends. In addition, rating agencies may review the ratings assigned to us due to developments that are beyond our control, including potential new standards requiring the agencies to reassess rating practices and methodologies. Rating agencies may further consider changes in our credit ratings based on changes in expectations about future profitability and cash flows even if short-term liquidity expectations are not negatively impacted. It is also possible that such ratings may be lowered in connection with future events, such as future acquisitions or regulatory action taken against us. Recently, we have experienced adverse actions or developments with respect to our credit ratings. Any lowering, suspension or withdrawal of such ratings with respect to the Notes or the anticipation of such changes may have an adverse effect on the market price or marketability of such Notes. In addition, any decline in the ratings of the Notes may make it more difficult for us to raise capital on acceptable terms. The interest rates payable on the Notes are subject to adjustment depending upon the ratings assigned to such Notes, as described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herein under “Description of Notes — Interest Rate Adjustment.” Such adjustment may not be sufficient to compensate for any loss in the market value of such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holding company and substantially all of our operations are conducted by our subsidiaries. None of our subsidiaries will guarantee either series of the Notes, and each series of the Notes will be structurally subordinated to the indebtedness and other liabilities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 substantially all of our operations through our subsidiaries, and our subsidiaries generate substantially all of our operating income and cash flow. Our ability to pay our obligations under the Notes depends on our ability to obtain cash dividends or other cash payments or obtain loans from our subsidiaries, which are separate and distinct legal entities that will have no obligations to pay any dividends or to lend or advance funds to us. Our subsidiaries may be restricted from paying dividends by contract, including other financing arrangements, charter provisions or applicable legal or regulatory requirements, and their ability to do so may depend on their financial condition and regulatory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not have any claim as a creditor against any of our subsidiaries, and indebtedness and other liabilities of our subsidiaries will effectively be senior to your claims against them. Consequently, in any insolvency, liquidation, reorganization, dissolution or other winding-up of any of our subsidiaries, creditors of those subsidiaries would be paid before any amounts would be distributed to us, and thus be available to satisfy our obligations under the Notes and other claims against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established trading market for either series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for which there is no established trading market. We do not intend to apply for listing of either series of the Notes on any securities exchange or to arrange for quotation on any automated dealer quotation system. As a result, an active trading market for either series of the Notes may not develop. If an active trading market does not develop or is not maintained for either series of the Notes, the market price and liquidity of such Notes may be adversely affected. In that case, you may not be able to sell your respective Notes at a particular time or at a favorable price.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series of the Notes will be subject to a change of control provision, and we may not have the ability to raise the funds necessary to fulfill our obligations under either series of the Notes following a change of control repurchase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have the ability to raise the funds necessary to fulfill the obligations under the Notes following a “change of control repurchase event” as defined in the Indentures governing the Notes. Under the Indentures, upon the occurrence of a change of control repurchase event, we will be required to offer to repurchase all outstanding Notes at 101% of the principal amount of each series of the Notes to be repurchased plus accrued and unpaid interest to the date of repurchase. However, we may not have sufficient funds at the time of the change of control repurchase event to make the required repurchase of the Notes. Our failure to make or complete a change of control repurchase event offer would place us in default under the Indentures governing the Notes. In addition, certain change of control repurchase events will be an event of default under our Existing Notes and Revolving Credit Agreement, so we would need to repay any debt then outstanding thereunder or obtain the requisite consents from the holders and lenders thereunder, respectively. However, there can be no assurance that we would be able to repay such debt or obtain such consents at such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enter into transactions that would not constitute a change of control repurchase event that could affect our ability to satisfy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under the Indentures governing the Notes offered hereby, the Existing Notes and the Revolving Credit Agreement, we could, in the future, enter into certain transactions, including acquisitions, refinancings or other recapitalizations, that would not constitute a change of control repurchase event under such agreements but that could increase the amount of indebtedness outstanding at such time or otherwise affect our capital structure or credit ratings in a way that adversely affects the holders of the Notes. See “Description of Notes — Purchase of Notes upon a Change of Control Repurchase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from this offering are estimated to be approximately $986 million after the deduction of the underwriters’ discounts and expenses of the offering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of this offering to repay at maturity the $700 million outstanding aggregate principal amount of our 2026 Notes. We intend to use any remaining net proceeds from this offering, together with cash on hand, to repay the Outstanding Balance under our Revolving Credit Agreement, and for related fees and expenses. This prospectus supplement does not constitute a notice of redemption with respect to, or an offer to purchase, the 2026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are lenders under the Revolving Credit Agreement and may own a portion of the 2026 Notes. To the extent that a portion of the net proceeds of this offering is used to repay at maturity the 2026 Notes and to repay amounts outstanding under our Revolving Credit Agreement, such underwriters or their affiliates would receive a portion of those net proceeds. See “Underwriting (Conflicts of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information on the terms, including the interest rate, of the 2026 Notes and our Revolving Credit Agreement, see “Note 10 — Borrowings” in the notes to our consolidated financial statements beginning on page 20 of our quarterly report on Form 10-Q for the quarter ended June 30, 2026, and “Item 2. Management’s Discussion and Analysis of Financial Condition and Results of Operations — Liquidity and Capital Resources — Senior Unsecured Notes” and “Item 2. Management’s Discussion and Analysis of Financial Condition and Results of Operations — Liquidity and Capital Resources — Revolving Credit Agreement” beginning on page 33 of our quarterly report on Form 10-Q for the quarter ended June 30,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A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capitalization on a consolidated basis as of June 30, 2026 and on an as adjusted basis to reflect (i) the net proceeds for this offering after deducting underwriting discounts and commissions and estimated expenses for the offering and (ii) the anticipated use of proceeds of this offering. The table should be read in conjunction with the information under the heading “Use of Proceeds” and the consolidated financial statements, including the notes thereto, which are incorporated by reference into this prospectus supplement. </w:t>
      </w:r>
    </w:p>
    <w:tbl>
      <w:tblPr>
        <w:tblW w:w="8812" w:type="dxa"/>
        <w:jc w:val="left"/>
        <w:tblInd w:w="1393" w:type="dxa"/>
        <w:tblLayout w:type="fixed"/>
        <w:tblCellMar>
          <w:top w:w="0" w:type="dxa"/>
          <w:left w:w="0" w:type="dxa"/>
          <w:bottom w:w="28" w:type="dxa"/>
          <w:right w:w="0" w:type="dxa"/>
        </w:tblCellMar>
      </w:tblPr>
      <w:tblGrid>
        <w:gridCol w:w="4490"/>
        <w:gridCol w:w="109"/>
        <w:gridCol w:w="109"/>
        <w:gridCol w:w="180"/>
        <w:gridCol w:w="376"/>
        <w:gridCol w:w="1079"/>
        <w:gridCol w:w="185"/>
        <w:gridCol w:w="152"/>
        <w:gridCol w:w="152"/>
        <w:gridCol w:w="177"/>
        <w:gridCol w:w="371"/>
        <w:gridCol w:w="1089"/>
        <w:gridCol w:w="181"/>
        <w:gridCol w:w="162"/>
      </w:tblGrid>
      <w:tr>
        <w:trPr/>
        <w:tc>
          <w:tcPr>
            <w:tcW w:w="44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2026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Actual</w:t>
            </w:r>
            <w:r>
              <w:rPr/>
              <w:t xml:space="preserve"> </w:t>
              <w:br/>
            </w:r>
            <w:r>
              <w:rPr>
                <w:spacing w:val="-3"/>
              </w:rPr>
              <w:t>(unaudited)</w:t>
            </w:r>
            <w:r>
              <w:rPr>
                <w:spacing w:val="-2"/>
                <w:sz w:val="10"/>
              </w:rPr>
              <w:t>(1)</w:t>
            </w:r>
            <w:r>
              <w:rPr/>
              <w:t xml:space="preserve"> </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81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w:t>
            </w:r>
            <w:r>
              <w:rPr/>
              <w:t xml:space="preserve"> </w:t>
              <w:br/>
            </w:r>
            <w:r>
              <w:rPr>
                <w:spacing w:val="-3"/>
              </w:rPr>
              <w:t>(unaudited)</w:t>
            </w:r>
            <w:r>
              <w:rPr>
                <w:spacing w:val="-2"/>
                <w:sz w:val="10"/>
              </w:rPr>
              <w:t>(1)</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gridSpan w:val="10"/>
            <w:tcBorders/>
            <w:tcMar>
              <w:bottom w:w="0" w:type="dxa"/>
            </w:tcMar>
            <w:vAlign w:val="center"/>
          </w:tcPr>
          <w:p>
            <w:pPr>
              <w:pStyle w:val="TableContents"/>
              <w:bidi w:val="0"/>
              <w:spacing w:before="0" w:after="0"/>
              <w:jc w:val="center"/>
              <w:rPr>
                <w:spacing w:val="-3"/>
              </w:rPr>
            </w:pPr>
            <w:r>
              <w:rPr>
                <w:spacing w:val="-3"/>
              </w:rPr>
              <w:t xml:space="preserve">(in millions, except for share and per share data) </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double" w:sz="8" w:space="0" w:color="000000"/>
            </w:tcBorders>
            <w:shd w:fill="CCEEFF" w:val="clear"/>
            <w:tcMar>
              <w:bottom w:w="50" w:type="dxa"/>
            </w:tcMar>
            <w:vAlign w:val="center"/>
          </w:tcPr>
          <w:p>
            <w:pPr>
              <w:pStyle w:val="TableContents"/>
              <w:bidi w:val="0"/>
              <w:spacing w:before="0" w:after="283"/>
              <w:jc w:val="right"/>
              <w:rPr/>
            </w:pPr>
            <w:r>
              <w:rPr/>
              <w:t>2,104</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89"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1,390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jc w:val="left"/>
              <w:rPr>
                <w:spacing w:val="4"/>
              </w:rPr>
            </w:pPr>
            <w:r>
              <w:rPr>
                <w:spacing w:val="4"/>
              </w:rPr>
              <w:t xml:space="preserve">Short-term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1,000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portion of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781</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77" w:type="dxa"/>
            <w:tcBorders>
              <w:bottom w:val="single" w:sz="2" w:space="0" w:color="CCEEFF"/>
            </w:tcBorders>
            <w:shd w:fill="CCEEFF" w:val="clear"/>
            <w:vAlign w:val="center"/>
          </w:tcPr>
          <w:p>
            <w:pPr>
              <w:pStyle w:val="TableContents"/>
              <w:bidi w:val="0"/>
              <w:spacing w:before="0" w:after="283"/>
              <w:jc w:val="left"/>
              <w:rPr/>
            </w:pPr>
            <w:r>
              <w:rPr/>
              <w:t>​</w:t>
            </w:r>
          </w:p>
        </w:tc>
        <w:tc>
          <w:tcPr>
            <w:tcW w:w="3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shd w:fill="CCEEFF" w:val="clear"/>
            <w:tcMar>
              <w:bottom w:w="50" w:type="dxa"/>
            </w:tcMar>
            <w:vAlign w:val="center"/>
          </w:tcPr>
          <w:p>
            <w:pPr>
              <w:pStyle w:val="TableContents"/>
              <w:bidi w:val="0"/>
              <w:spacing w:before="0" w:after="283"/>
              <w:jc w:val="right"/>
              <w:rPr/>
            </w:pPr>
            <w:r>
              <w:rPr/>
              <w:t>81</w:t>
            </w:r>
          </w:p>
        </w:tc>
        <w:tc>
          <w:tcPr>
            <w:tcW w:w="181"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short-term debt and current portion of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1,781</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77" w:type="dxa"/>
            <w:tcBorders>
              <w:bottom w:val="single" w:sz="2" w:space="0" w:color="FFFFFF"/>
            </w:tcBorders>
            <w:vAlign w:val="center"/>
          </w:tcPr>
          <w:p>
            <w:pPr>
              <w:pStyle w:val="TableContents"/>
              <w:bidi w:val="0"/>
              <w:spacing w:before="0" w:after="283"/>
              <w:jc w:val="left"/>
              <w:rPr/>
            </w:pPr>
            <w:r>
              <w:rPr/>
              <w:t>​</w:t>
            </w:r>
          </w:p>
        </w:tc>
        <w:tc>
          <w:tcPr>
            <w:tcW w:w="371" w:type="dxa"/>
            <w:tcBorders>
              <w:bottom w:val="single" w:sz="2" w:space="0" w:color="000000"/>
            </w:tcBorders>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tcMar>
              <w:bottom w:w="50" w:type="dxa"/>
            </w:tcMar>
            <w:vAlign w:val="center"/>
          </w:tcPr>
          <w:p>
            <w:pPr>
              <w:pStyle w:val="TableContents"/>
              <w:bidi w:val="0"/>
              <w:spacing w:before="0" w:after="283"/>
              <w:jc w:val="right"/>
              <w:rPr/>
            </w:pPr>
            <w:r>
              <w:rPr/>
              <w:t>81</w:t>
            </w:r>
          </w:p>
        </w:tc>
        <w:tc>
          <w:tcPr>
            <w:tcW w:w="181" w:type="dxa"/>
            <w:tcBorders>
              <w:bottom w:val="single" w:sz="2" w:space="0" w:color="FFFFFF"/>
            </w:tcBorders>
            <w:vAlign w:val="center"/>
          </w:tcPr>
          <w:p>
            <w:pPr>
              <w:pStyle w:val="TableContents"/>
              <w:bidi w:val="0"/>
              <w:spacing w:before="0" w:after="283"/>
              <w:jc w:val="left"/>
              <w:rPr/>
            </w:pPr>
            <w:r>
              <w:rPr/>
              <w:t>​</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283"/>
              <w:jc w:val="left"/>
              <w:rPr>
                <w:spacing w:val="4"/>
              </w:rPr>
            </w:pPr>
            <w:r>
              <w:rPr>
                <w:spacing w:val="4"/>
              </w:rPr>
              <w:t xml:space="preserve">Unsecured senior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2.05% senior notes due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700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2.70% senior notes due 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500</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500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3.15%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650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650</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6.35% senior notes due 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500</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500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4.10% senior notes due 2041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550</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550</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2029 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600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ind w:left="200" w:right="0" w:hanging="0"/>
              <w:jc w:val="left"/>
              <w:rPr>
                <w:spacing w:val="4"/>
              </w:rPr>
            </w:pPr>
            <w:r>
              <w:rPr>
                <w:spacing w:val="4"/>
              </w:rPr>
              <w:t xml:space="preserve">2032 Notes offered hereby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tcMar>
              <w:bottom w:w="0" w:type="dxa"/>
            </w:tcMar>
            <w:vAlign w:val="center"/>
          </w:tcPr>
          <w:p>
            <w:pPr>
              <w:pStyle w:val="TableContents"/>
              <w:bidi w:val="0"/>
              <w:spacing w:before="0" w:after="283"/>
              <w:jc w:val="right"/>
              <w:rPr/>
            </w:pPr>
            <w:r>
              <w:rPr/>
              <w:t>​</w:t>
            </w:r>
          </w:p>
        </w:tc>
        <w:tc>
          <w:tcPr>
            <w:tcW w:w="1079"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400</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Finance lease and other obligations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185</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77" w:type="dxa"/>
            <w:tcBorders>
              <w:bottom w:val="single" w:sz="2" w:space="0" w:color="CCEEFF"/>
            </w:tcBorders>
            <w:shd w:fill="CCEEFF" w:val="clear"/>
            <w:vAlign w:val="center"/>
          </w:tcPr>
          <w:p>
            <w:pPr>
              <w:pStyle w:val="TableContents"/>
              <w:bidi w:val="0"/>
              <w:spacing w:before="0" w:after="283"/>
              <w:jc w:val="left"/>
              <w:rPr/>
            </w:pPr>
            <w:r>
              <w:rPr/>
              <w:t>​</w:t>
            </w:r>
          </w:p>
        </w:tc>
        <w:tc>
          <w:tcPr>
            <w:tcW w:w="3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shd w:fill="CCEEFF" w:val="clear"/>
            <w:tcMar>
              <w:bottom w:w="50" w:type="dxa"/>
            </w:tcMar>
            <w:vAlign w:val="center"/>
          </w:tcPr>
          <w:p>
            <w:pPr>
              <w:pStyle w:val="TableContents"/>
              <w:bidi w:val="0"/>
              <w:spacing w:before="0" w:after="283"/>
              <w:jc w:val="right"/>
              <w:rPr/>
            </w:pPr>
            <w:r>
              <w:rPr/>
              <w:t>185</w:t>
            </w:r>
          </w:p>
        </w:tc>
        <w:tc>
          <w:tcPr>
            <w:tcW w:w="181"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3,085</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77" w:type="dxa"/>
            <w:tcBorders>
              <w:bottom w:val="single" w:sz="2" w:space="0" w:color="FFFFFF"/>
            </w:tcBorders>
            <w:vAlign w:val="center"/>
          </w:tcPr>
          <w:p>
            <w:pPr>
              <w:pStyle w:val="TableContents"/>
              <w:bidi w:val="0"/>
              <w:spacing w:before="0" w:after="283"/>
              <w:jc w:val="left"/>
              <w:rPr/>
            </w:pPr>
            <w:r>
              <w:rPr/>
              <w:t>​</w:t>
            </w:r>
          </w:p>
        </w:tc>
        <w:tc>
          <w:tcPr>
            <w:tcW w:w="371" w:type="dxa"/>
            <w:tcBorders>
              <w:bottom w:val="single" w:sz="2" w:space="0" w:color="000000"/>
            </w:tcBorders>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tcMar>
              <w:bottom w:w="50" w:type="dxa"/>
            </w:tcMar>
            <w:vAlign w:val="center"/>
          </w:tcPr>
          <w:p>
            <w:pPr>
              <w:pStyle w:val="TableContents"/>
              <w:bidi w:val="0"/>
              <w:spacing w:before="0" w:after="283"/>
              <w:jc w:val="right"/>
              <w:rPr/>
            </w:pPr>
            <w:r>
              <w:rPr/>
              <w:t>3,385</w:t>
            </w:r>
          </w:p>
        </w:tc>
        <w:tc>
          <w:tcPr>
            <w:tcW w:w="181" w:type="dxa"/>
            <w:tcBorders>
              <w:bottom w:val="single" w:sz="2" w:space="0" w:color="FFFFFF"/>
            </w:tcBorders>
            <w:vAlign w:val="center"/>
          </w:tcPr>
          <w:p>
            <w:pPr>
              <w:pStyle w:val="TableContents"/>
              <w:bidi w:val="0"/>
              <w:spacing w:before="0" w:after="283"/>
              <w:jc w:val="left"/>
              <w:rPr/>
            </w:pPr>
            <w:r>
              <w:rPr/>
              <w:t>​</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shd w:fill="CCEEFF" w:val="clear"/>
            <w:tcMar>
              <w:bottom w:w="0" w:type="dxa"/>
            </w:tcMar>
            <w:vAlign w:val="center"/>
          </w:tcPr>
          <w:p>
            <w:pPr>
              <w:pStyle w:val="TableContents"/>
              <w:bidi w:val="0"/>
              <w:spacing w:before="0" w:after="0"/>
              <w:jc w:val="left"/>
              <w:rPr>
                <w:spacing w:val="4"/>
              </w:rPr>
            </w:pPr>
            <w:r>
              <w:rPr>
                <w:spacing w:val="4"/>
              </w:rPr>
              <w:t xml:space="preserve">Unamortized discount and debt issuance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376" w:type="dxa"/>
            <w:tcBorders/>
            <w:shd w:fill="CCEEFF" w:val="clear"/>
            <w:tcMar>
              <w:bottom w:w="0" w:type="dxa"/>
            </w:tcMar>
            <w:vAlign w:val="center"/>
          </w:tcPr>
          <w:p>
            <w:pPr>
              <w:pStyle w:val="TableContents"/>
              <w:bidi w:val="0"/>
              <w:spacing w:before="0" w:after="283"/>
              <w:jc w:val="right"/>
              <w:rPr/>
            </w:pPr>
            <w:r>
              <w:rPr/>
              <w:t>​</w:t>
            </w:r>
          </w:p>
        </w:tc>
        <w:tc>
          <w:tcPr>
            <w:tcW w:w="1079" w:type="dxa"/>
            <w:tcBorders/>
            <w:shd w:fill="CCEEFF" w:val="clear"/>
            <w:tcMar>
              <w:bottom w:w="0" w:type="dxa"/>
            </w:tcMar>
            <w:vAlign w:val="center"/>
          </w:tcPr>
          <w:p>
            <w:pPr>
              <w:pStyle w:val="TableContents"/>
              <w:bidi w:val="0"/>
              <w:spacing w:before="0" w:after="283"/>
              <w:jc w:val="right"/>
              <w:rPr/>
            </w:pPr>
            <w:r>
              <w:rPr/>
              <w:t>(14)</w:t>
            </w:r>
          </w:p>
        </w:tc>
        <w:tc>
          <w:tcPr>
            <w:tcW w:w="185"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77" w:type="dxa"/>
            <w:tcBorders/>
            <w:shd w:fill="CCEEFF" w:val="clear"/>
            <w:tcMar>
              <w:bottom w:w="0" w:type="dxa"/>
            </w:tcMar>
            <w:vAlign w:val="center"/>
          </w:tcPr>
          <w:p>
            <w:pPr>
              <w:pStyle w:val="TableContents"/>
              <w:bidi w:val="0"/>
              <w:spacing w:before="0" w:after="283"/>
              <w:jc w:val="left"/>
              <w:rPr/>
            </w:pPr>
            <w:r>
              <w:rPr/>
              <w:t>​</w:t>
            </w:r>
          </w:p>
        </w:tc>
        <w:tc>
          <w:tcPr>
            <w:tcW w:w="371"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(29)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Current portion of long-term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(781)</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77" w:type="dxa"/>
            <w:tcBorders>
              <w:bottom w:val="single" w:sz="2" w:space="0" w:color="FFFFFF"/>
            </w:tcBorders>
            <w:vAlign w:val="center"/>
          </w:tcPr>
          <w:p>
            <w:pPr>
              <w:pStyle w:val="TableContents"/>
              <w:bidi w:val="0"/>
              <w:spacing w:before="0" w:after="283"/>
              <w:jc w:val="left"/>
              <w:rPr/>
            </w:pPr>
            <w:r>
              <w:rPr/>
              <w:t>​</w:t>
            </w:r>
          </w:p>
        </w:tc>
        <w:tc>
          <w:tcPr>
            <w:tcW w:w="371" w:type="dxa"/>
            <w:tcBorders>
              <w:bottom w:val="single" w:sz="2" w:space="0" w:color="000000"/>
            </w:tcBorders>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tcMar>
              <w:bottom w:w="50" w:type="dxa"/>
            </w:tcMar>
            <w:vAlign w:val="center"/>
          </w:tcPr>
          <w:p>
            <w:pPr>
              <w:pStyle w:val="TableContents"/>
              <w:bidi w:val="0"/>
              <w:spacing w:before="0" w:after="283"/>
              <w:jc w:val="right"/>
              <w:rPr/>
            </w:pPr>
            <w:r>
              <w:rPr/>
              <w:t>(81)</w:t>
            </w:r>
          </w:p>
        </w:tc>
        <w:tc>
          <w:tcPr>
            <w:tcW w:w="181" w:type="dxa"/>
            <w:tcBorders>
              <w:bottom w:val="single" w:sz="2" w:space="0" w:color="FFFFFF"/>
            </w:tcBorders>
            <w:vAlign w:val="center"/>
          </w:tcPr>
          <w:p>
            <w:pPr>
              <w:pStyle w:val="TableContents"/>
              <w:bidi w:val="0"/>
              <w:spacing w:before="0" w:after="283"/>
              <w:jc w:val="left"/>
              <w:rPr/>
            </w:pPr>
            <w:r>
              <w:rPr/>
              <w:t>​</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non-current long-term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2,289</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77" w:type="dxa"/>
            <w:tcBorders>
              <w:bottom w:val="single" w:sz="2" w:space="0" w:color="CCEEFF"/>
            </w:tcBorders>
            <w:shd w:fill="CCEEFF" w:val="clear"/>
            <w:vAlign w:val="center"/>
          </w:tcPr>
          <w:p>
            <w:pPr>
              <w:pStyle w:val="TableContents"/>
              <w:bidi w:val="0"/>
              <w:spacing w:before="0" w:after="283"/>
              <w:jc w:val="left"/>
              <w:rPr/>
            </w:pPr>
            <w:r>
              <w:rPr/>
              <w:t>​</w:t>
            </w:r>
          </w:p>
        </w:tc>
        <w:tc>
          <w:tcPr>
            <w:tcW w:w="3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shd w:fill="CCEEFF" w:val="clear"/>
            <w:tcMar>
              <w:bottom w:w="50" w:type="dxa"/>
            </w:tcMar>
            <w:vAlign w:val="center"/>
          </w:tcPr>
          <w:p>
            <w:pPr>
              <w:pStyle w:val="TableContents"/>
              <w:bidi w:val="0"/>
              <w:spacing w:before="0" w:after="283"/>
              <w:jc w:val="right"/>
              <w:rPr/>
            </w:pPr>
            <w:r>
              <w:rPr/>
              <w:t>3,275</w:t>
            </w:r>
          </w:p>
        </w:tc>
        <w:tc>
          <w:tcPr>
            <w:tcW w:w="181"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 w:type="dxa"/>
            <w:tcBorders>
              <w:bottom w:val="single" w:sz="2" w:space="0" w:color="FFFFFF"/>
            </w:tcBorders>
            <w:vAlign w:val="center"/>
          </w:tcPr>
          <w:p>
            <w:pPr>
              <w:pStyle w:val="TableContents"/>
              <w:bidi w:val="0"/>
              <w:spacing w:before="0" w:after="283"/>
              <w:jc w:val="left"/>
              <w:rPr/>
            </w:pPr>
            <w:r>
              <w:rPr/>
              <w:t>​</w:t>
            </w:r>
          </w:p>
        </w:tc>
        <w:tc>
          <w:tcPr>
            <w:tcW w:w="3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tcMar>
              <w:bottom w:w="50" w:type="dxa"/>
            </w:tcMar>
            <w:vAlign w:val="center"/>
          </w:tcPr>
          <w:p>
            <w:pPr>
              <w:pStyle w:val="TableContents"/>
              <w:bidi w:val="0"/>
              <w:spacing w:before="0" w:after="283"/>
              <w:jc w:val="right"/>
              <w:rPr/>
            </w:pPr>
            <w:r>
              <w:rPr/>
              <w:t>4,070</w:t>
            </w:r>
          </w:p>
        </w:tc>
        <w:tc>
          <w:tcPr>
            <w:tcW w:w="185"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52" w:type="dxa"/>
            <w:tcBorders>
              <w:bottom w:val="single" w:sz="2" w:space="0" w:color="FFFFFF"/>
            </w:tcBorders>
            <w:vAlign w:val="center"/>
          </w:tcPr>
          <w:p>
            <w:pPr>
              <w:pStyle w:val="TableContents"/>
              <w:bidi w:val="0"/>
              <w:spacing w:before="0" w:after="283"/>
              <w:jc w:val="left"/>
              <w:rPr/>
            </w:pPr>
            <w:r>
              <w:rPr/>
              <w:t>​</w:t>
            </w:r>
          </w:p>
        </w:tc>
        <w:tc>
          <w:tcPr>
            <w:tcW w:w="177" w:type="dxa"/>
            <w:tcBorders>
              <w:bottom w:val="single" w:sz="2" w:space="0" w:color="FFFFFF"/>
            </w:tcBorders>
            <w:vAlign w:val="center"/>
          </w:tcPr>
          <w:p>
            <w:pPr>
              <w:pStyle w:val="TableContents"/>
              <w:bidi w:val="0"/>
              <w:spacing w:before="0" w:after="283"/>
              <w:jc w:val="left"/>
              <w:rPr/>
            </w:pPr>
            <w:r>
              <w:rPr/>
              <w:t>​</w:t>
            </w:r>
          </w:p>
        </w:tc>
        <w:tc>
          <w:tcPr>
            <w:tcW w:w="371" w:type="dxa"/>
            <w:tcBorders>
              <w:bottom w:val="single" w:sz="2" w:space="0" w:color="000000"/>
            </w:tcBorders>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tcMar>
              <w:bottom w:w="50" w:type="dxa"/>
            </w:tcMar>
            <w:vAlign w:val="center"/>
          </w:tcPr>
          <w:p>
            <w:pPr>
              <w:pStyle w:val="TableContents"/>
              <w:bidi w:val="0"/>
              <w:spacing w:before="0" w:after="283"/>
              <w:jc w:val="right"/>
              <w:rPr/>
            </w:pPr>
            <w:r>
              <w:rPr/>
              <w:t>3,356</w:t>
            </w:r>
          </w:p>
        </w:tc>
        <w:tc>
          <w:tcPr>
            <w:tcW w:w="181" w:type="dxa"/>
            <w:tcBorders>
              <w:bottom w:val="single" w:sz="2" w:space="0" w:color="FFFFFF"/>
            </w:tcBorders>
            <w:vAlign w:val="center"/>
          </w:tcPr>
          <w:p>
            <w:pPr>
              <w:pStyle w:val="TableContents"/>
              <w:bidi w:val="0"/>
              <w:spacing w:before="0" w:after="283"/>
              <w:jc w:val="left"/>
              <w:rPr/>
            </w:pPr>
            <w:r>
              <w:rPr/>
              <w:t>​</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44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0" w:type="dxa"/>
            <w:tcBorders>
              <w:bottom w:val="single" w:sz="2" w:space="0" w:color="CCEEFF"/>
            </w:tcBorders>
            <w:shd w:fill="CCEEFF" w:val="clear"/>
            <w:vAlign w:val="center"/>
          </w:tcPr>
          <w:p>
            <w:pPr>
              <w:pStyle w:val="TableContents"/>
              <w:bidi w:val="0"/>
              <w:spacing w:before="0" w:after="283"/>
              <w:jc w:val="left"/>
              <w:rPr/>
            </w:pPr>
            <w:r>
              <w:rPr/>
              <w:t>​</w:t>
            </w:r>
          </w:p>
        </w:tc>
        <w:tc>
          <w:tcPr>
            <w:tcW w:w="37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9" w:type="dxa"/>
            <w:tcBorders>
              <w:bottom w:val="single" w:sz="2" w:space="0" w:color="000000"/>
            </w:tcBorders>
            <w:shd w:fill="CCEEFF" w:val="clear"/>
            <w:tcMar>
              <w:bottom w:w="50" w:type="dxa"/>
            </w:tcMar>
            <w:vAlign w:val="center"/>
          </w:tcPr>
          <w:p>
            <w:pPr>
              <w:pStyle w:val="TableContents"/>
              <w:bidi w:val="0"/>
              <w:spacing w:before="0" w:after="283"/>
              <w:jc w:val="right"/>
              <w:rPr/>
            </w:pPr>
            <w:r>
              <w:rPr/>
              <w:t>1,167</w:t>
            </w:r>
          </w:p>
        </w:tc>
        <w:tc>
          <w:tcPr>
            <w:tcW w:w="185"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52" w:type="dxa"/>
            <w:tcBorders>
              <w:bottom w:val="single" w:sz="2" w:space="0" w:color="CCEEFF"/>
            </w:tcBorders>
            <w:shd w:fill="CCEEFF" w:val="clear"/>
            <w:vAlign w:val="center"/>
          </w:tcPr>
          <w:p>
            <w:pPr>
              <w:pStyle w:val="TableContents"/>
              <w:bidi w:val="0"/>
              <w:spacing w:before="0" w:after="283"/>
              <w:jc w:val="left"/>
              <w:rPr/>
            </w:pPr>
            <w:r>
              <w:rPr/>
              <w:t>​</w:t>
            </w:r>
          </w:p>
        </w:tc>
        <w:tc>
          <w:tcPr>
            <w:tcW w:w="177" w:type="dxa"/>
            <w:tcBorders>
              <w:bottom w:val="single" w:sz="2" w:space="0" w:color="CCEEFF"/>
            </w:tcBorders>
            <w:shd w:fill="CCEEFF" w:val="clear"/>
            <w:vAlign w:val="center"/>
          </w:tcPr>
          <w:p>
            <w:pPr>
              <w:pStyle w:val="TableContents"/>
              <w:bidi w:val="0"/>
              <w:spacing w:before="0" w:after="283"/>
              <w:jc w:val="left"/>
              <w:rPr/>
            </w:pPr>
            <w:r>
              <w:rPr/>
              <w:t>​</w:t>
            </w:r>
          </w:p>
        </w:tc>
        <w:tc>
          <w:tcPr>
            <w:tcW w:w="3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89" w:type="dxa"/>
            <w:tcBorders>
              <w:bottom w:val="single" w:sz="2" w:space="0" w:color="000000"/>
            </w:tcBorders>
            <w:shd w:fill="CCEEFF" w:val="clear"/>
            <w:tcMar>
              <w:bottom w:w="50" w:type="dxa"/>
            </w:tcMar>
            <w:vAlign w:val="center"/>
          </w:tcPr>
          <w:p>
            <w:pPr>
              <w:pStyle w:val="TableContents"/>
              <w:bidi w:val="0"/>
              <w:spacing w:before="0" w:after="283"/>
              <w:jc w:val="right"/>
              <w:rPr/>
            </w:pPr>
            <w:r>
              <w:rPr/>
              <w:t>1,167</w:t>
            </w:r>
          </w:p>
        </w:tc>
        <w:tc>
          <w:tcPr>
            <w:tcW w:w="181" w:type="dxa"/>
            <w:tcBorders>
              <w:bottom w:val="single" w:sz="2" w:space="0" w:color="CCEEFF"/>
            </w:tcBorders>
            <w:shd w:fill="CCEEFF" w:val="clear"/>
            <w:vAlign w:val="center"/>
          </w:tcPr>
          <w:p>
            <w:pPr>
              <w:pStyle w:val="TableContents"/>
              <w:bidi w:val="0"/>
              <w:spacing w:before="0" w:after="283"/>
              <w:jc w:val="left"/>
              <w:rPr/>
            </w:pPr>
            <w:r>
              <w:rPr/>
              <w:t>​</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490"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376" w:type="dxa"/>
            <w:tcBorders>
              <w:bottom w:val="double" w:sz="8" w:space="0" w:color="000000"/>
            </w:tcBorders>
            <w:tcMar>
              <w:bottom w:w="50" w:type="dxa"/>
            </w:tcMar>
            <w:vAlign w:val="center"/>
          </w:tcPr>
          <w:p>
            <w:pPr>
              <w:pStyle w:val="TableContents"/>
              <w:bidi w:val="0"/>
              <w:spacing w:before="0" w:after="283"/>
              <w:jc w:val="right"/>
              <w:rPr/>
            </w:pPr>
            <w:r>
              <w:rPr/>
              <w:t>$</w:t>
            </w:r>
          </w:p>
        </w:tc>
        <w:tc>
          <w:tcPr>
            <w:tcW w:w="1079" w:type="dxa"/>
            <w:tcBorders>
              <w:bottom w:val="double" w:sz="8" w:space="0" w:color="000000"/>
            </w:tcBorders>
            <w:tcMar>
              <w:bottom w:w="50" w:type="dxa"/>
            </w:tcMar>
            <w:vAlign w:val="center"/>
          </w:tcPr>
          <w:p>
            <w:pPr>
              <w:pStyle w:val="TableContents"/>
              <w:bidi w:val="0"/>
              <w:spacing w:before="0" w:after="283"/>
              <w:jc w:val="right"/>
              <w:rPr/>
            </w:pPr>
            <w:r>
              <w:rPr/>
              <w:t>5,237</w:t>
            </w:r>
          </w:p>
        </w:tc>
        <w:tc>
          <w:tcPr>
            <w:tcW w:w="185"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371" w:type="dxa"/>
            <w:tcBorders>
              <w:bottom w:val="double" w:sz="8" w:space="0" w:color="000000"/>
            </w:tcBorders>
            <w:tcMar>
              <w:bottom w:w="50" w:type="dxa"/>
            </w:tcMar>
            <w:vAlign w:val="center"/>
          </w:tcPr>
          <w:p>
            <w:pPr>
              <w:pStyle w:val="TableContents"/>
              <w:bidi w:val="0"/>
              <w:spacing w:before="0" w:after="283"/>
              <w:jc w:val="right"/>
              <w:rPr/>
            </w:pPr>
            <w:r>
              <w:rPr/>
              <w:t>$</w:t>
            </w:r>
          </w:p>
        </w:tc>
        <w:tc>
          <w:tcPr>
            <w:tcW w:w="1089" w:type="dxa"/>
            <w:tcBorders>
              <w:bottom w:val="double" w:sz="8" w:space="0" w:color="000000"/>
            </w:tcBorders>
            <w:tcMar>
              <w:bottom w:w="50" w:type="dxa"/>
            </w:tcMar>
            <w:vAlign w:val="center"/>
          </w:tcPr>
          <w:p>
            <w:pPr>
              <w:pStyle w:val="TableContents"/>
              <w:bidi w:val="0"/>
              <w:spacing w:before="0" w:after="283"/>
              <w:jc w:val="right"/>
              <w:rPr/>
            </w:pPr>
            <w:r>
              <w:rPr/>
              <w:t>4,523</w:t>
            </w:r>
          </w:p>
        </w:tc>
        <w:tc>
          <w:tcPr>
            <w:tcW w:w="181"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Amounts may not sum due to rounding.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DON"/>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Notes (as defined herein) should be read together with the description set forth in the accompanying prospectus under the heading “Description of Debt Securities.” In the event that information in this prospectus supplement is inconsistent with information in the accompanying prospectus, you should rely on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of Notes in this prospectus supplement and the description of debt securities in the accompanying prospectus is only a summary and is intended to be a useful overview of the material provisions of the Notes and the Indentures (as defined herein) but is not intended to be comprehensive. Since this description of Notes is only a summary of the specific terms of the Notes offered hereby, you should refer to the Indentures, including the supplemental indentures relating to each series of the Notes, for a complete description of our obligations and your rights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is a new series of debt securities as described in the accompanying prospectus. We will issue each series of the Notes under the base indenture dated as of October 15, 2021 between Kyndryl Holdings, Inc. and The Bank of New York Mellon Trust Company, N.A., as trustee (the “Trustee”), as supplemented by a third supplemental indenture with respect to the 2029 Notes and a fourth supplemental indenture with respect to the 2032 Notes, each to be entered into concurrently and dated as of September 28, 2026 (as so supplemented, the “Indentures”). The Notes offered hereby will not have the benefit of any guarantees. The terms of each series of the Notes include those expressly set forth in the applicable Indenture and those made part of the applicable Indenture by referencing the Trust Indenture Act of 1939. We have filed a copy of the base indenture as an exhibit to our registration statement filed with the SEC on January 26, 2024 and we will file the supplemental indentures relating to the Notes on Form 8-K in connection with this offering, which will be incorporated by reference in the registration statement of which the accompanying prospectus is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any time, without notice to or the consent of the holders of the Notes, issue an unlimited aggregate principal amount of additional notes of any series having identical terms and conditions as such series of the Notes, other than the issue date, issue price and, in some cases, the first interest payment date. We will be permitted to issue such additional notes of any series only if, at the time of such issuance, we are in compliance with the covenants contained in the Indentures. Any additional notes of any series will be part of the same issue as the applicable series of the Notes offered hereby and will vote on all matters with the holders of the original notes of such series; provided that, if such additional notes are not fungible with the original notes of the applicable series for U.S. federal income tax purposes, such additional notes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“we,” “us,” “our” or “the Company” in this section, we refer only to Kyndryl Holdings, Inc. and not our subsidiaries. Unless otherwise defined in this section below, capitalized terms used in this “Description of Notes” section are defined under “Description of Debt Securities — Certain Definitions”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issuing $600,000,000 aggregate principal amount of senior notes due 2029 (the “2029 Notes”) and $400,000,000 aggregate principal amount of senior notes due 2032 (the “2032 Notes” and, together with the 2029 Notes, the “Notes”). The 2029 Notes will mature on September 28, 2029 and the 2032 Notes will mature on January 15, 2032. Interest on the 2029 Notes will accrue at the rate of 7.800% per annum and interest on the 2032 Notes will accrue at the rate of 7.875% per annum.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our senior unsecured obligations and will rank on the same basis with all of our other senior unsecured indebtedness from time to time outstanding. The Indentures do not limit the aggregate principal amount of securities that may be issued under the Indentures. Other securities may be issued under the Indentures as a single series or in two or more separate series up to the aggregate principal amount authorized by us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maturity date of either series of the Notes falls on a day that is not a Business Day, payment of principal, premium, if any, and interest for the Notes of the applicable series then due will be paid on the next Business Day. No interest on that payment will accrue from and after the maturity date. Payments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premium, if any, and interest on each series of the Notes will be made by us through the Trustee to The Depository Trust Company (“DTC”). Each series of the Notes will be issued in the form of one or more fully registered global securities in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accrue on each series of the Notes from the most recent interest payment date to or for which interest has been paid or duly provided for (or if no interest has been paid or duly provided for, from the issue date of the Notes).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2029 Notes will be payable semi-annually in arrears on March 28 and September 28 of each year, beginning on March 28, 2027, to the holders of record of the 2029 Notes at the close of business on March 14 or September 14, as the case may be, immediately preceding the relevant interest payment date. Interest on the 2032 Notes will be payable semi-annually in arrears on January 15 and July 15 of each year, beginning on January 15, 2027, to the holders of record of the 2032 Notes at the close of business on January 1 or July 1, as the case may be, immediately preceding the relevant payment date.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series of the Notes will be computed on the basis of a 360-day year comprised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 Rate Adjustment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payable on each series of the Notes will be subject to adjustment from time to time if any of Moody’s, S&amp;P or Fitch downgrades (or subsequently upgrades) the debt rating applicable to the Notes of such series (a “rating”), or if a “nationally recognized statistical rating organization” within the meaning of Section 3(a)(62) under the Securities Exchange Act of 1934, as amended (the “Exchange Act”) selected by us as a replacement agency for Moody’s, S&amp;P or Fitch (a “substitute rating agency”) downgrades (or subsequently upgrades) a rating of the Notes of such series, in each case as set forth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Moody’s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this prospectus supplement plus the percentage set forth in the following table opposite that rating (plus, if applicable, the percentage set forth opposite the rating in the table under each of “S&amp;P Rating” and “Fitch Rating”): </w:t>
      </w:r>
    </w:p>
    <w:tbl>
      <w:tblPr>
        <w:tblW w:w="3237" w:type="dxa"/>
        <w:jc w:val="left"/>
        <w:tblInd w:w="1393" w:type="dxa"/>
        <w:tblLayout w:type="fixed"/>
        <w:tblCellMar>
          <w:top w:w="0" w:type="dxa"/>
          <w:left w:w="0" w:type="dxa"/>
          <w:bottom w:w="50" w:type="dxa"/>
          <w:right w:w="0" w:type="dxa"/>
        </w:tblCellMar>
      </w:tblPr>
      <w:tblGrid>
        <w:gridCol w:w="1693"/>
        <w:gridCol w:w="109"/>
        <w:gridCol w:w="109"/>
        <w:gridCol w:w="109"/>
        <w:gridCol w:w="109"/>
        <w:gridCol w:w="845"/>
        <w:gridCol w:w="109"/>
        <w:gridCol w:w="154"/>
      </w:tblGrid>
      <w:tr>
        <w:trPr/>
        <w:tc>
          <w:tcPr>
            <w:tcW w:w="1693" w:type="dxa"/>
            <w:tcBorders>
              <w:bottom w:val="single" w:sz="2" w:space="0" w:color="000000"/>
            </w:tcBorders>
            <w:vAlign w:val="center"/>
          </w:tcPr>
          <w:p>
            <w:pPr>
              <w:pStyle w:val="TableContents"/>
              <w:bidi w:val="0"/>
              <w:spacing w:before="0" w:after="0"/>
              <w:jc w:val="left"/>
              <w:rPr>
                <w:spacing w:val="-3"/>
              </w:rPr>
            </w:pPr>
            <w:r>
              <w:rPr>
                <w:spacing w:val="-3"/>
              </w:rPr>
              <w:t xml:space="preserve">Moody’s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93" w:type="dxa"/>
            <w:tcBorders/>
            <w:shd w:fill="CCEEFF" w:val="clear"/>
            <w:tcMar>
              <w:bottom w:w="0" w:type="dxa"/>
            </w:tcMar>
            <w:vAlign w:val="center"/>
          </w:tcPr>
          <w:p>
            <w:pPr>
              <w:pStyle w:val="TableContents"/>
              <w:bidi w:val="0"/>
              <w:spacing w:before="0" w:after="0"/>
              <w:jc w:val="left"/>
              <w:rPr>
                <w:spacing w:val="4"/>
              </w:rPr>
            </w:pPr>
            <w:r>
              <w:rPr>
                <w:spacing w:val="4"/>
              </w:rPr>
              <w:t xml:space="preserve">Ba1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3" w:type="dxa"/>
            <w:tcBorders/>
            <w:tcMar>
              <w:bottom w:w="0" w:type="dxa"/>
            </w:tcMar>
            <w:vAlign w:val="center"/>
          </w:tcPr>
          <w:p>
            <w:pPr>
              <w:pStyle w:val="TableContents"/>
              <w:bidi w:val="0"/>
              <w:spacing w:before="0" w:after="283"/>
              <w:jc w:val="left"/>
              <w:rPr/>
            </w:pPr>
            <w:r>
              <w:rPr>
                <w:spacing w:val="4"/>
              </w:rPr>
              <w:t>Ba2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93" w:type="dxa"/>
            <w:tcBorders/>
            <w:shd w:fill="CCEEFF" w:val="clear"/>
            <w:tcMar>
              <w:bottom w:w="0" w:type="dxa"/>
            </w:tcMar>
            <w:vAlign w:val="center"/>
          </w:tcPr>
          <w:p>
            <w:pPr>
              <w:pStyle w:val="TableContents"/>
              <w:bidi w:val="0"/>
              <w:spacing w:before="0" w:after="0"/>
              <w:jc w:val="left"/>
              <w:rPr>
                <w:spacing w:val="4"/>
              </w:rPr>
            </w:pPr>
            <w:r>
              <w:rPr>
                <w:spacing w:val="4"/>
              </w:rPr>
              <w:t xml:space="preserve">Ba3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93" w:type="dxa"/>
            <w:tcBorders/>
            <w:tcMar>
              <w:bottom w:w="0" w:type="dxa"/>
            </w:tcMar>
            <w:vAlign w:val="center"/>
          </w:tcPr>
          <w:p>
            <w:pPr>
              <w:pStyle w:val="TableContents"/>
              <w:bidi w:val="0"/>
              <w:spacing w:before="0" w:after="0"/>
              <w:jc w:val="left"/>
              <w:rPr>
                <w:spacing w:val="4"/>
              </w:rPr>
            </w:pPr>
            <w:r>
              <w:rPr>
                <w:spacing w:val="4"/>
              </w:rPr>
              <w:t xml:space="preserve">B1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S&amp;P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the prospectus supplement plus the percentage set forth in the following table opposite that rating (plus, if applicable, the percentage set forth opposite the rating in the table under each of “Moody’s Rating” and “Fitch Rating”):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2949" w:type="dxa"/>
        <w:jc w:val="left"/>
        <w:tblInd w:w="1393" w:type="dxa"/>
        <w:tblLayout w:type="fixed"/>
        <w:tblCellMar>
          <w:top w:w="0" w:type="dxa"/>
          <w:left w:w="0" w:type="dxa"/>
          <w:bottom w:w="50" w:type="dxa"/>
          <w:right w:w="0" w:type="dxa"/>
        </w:tblCellMar>
      </w:tblPr>
      <w:tblGrid>
        <w:gridCol w:w="1405"/>
        <w:gridCol w:w="109"/>
        <w:gridCol w:w="109"/>
        <w:gridCol w:w="109"/>
        <w:gridCol w:w="109"/>
        <w:gridCol w:w="845"/>
        <w:gridCol w:w="109"/>
        <w:gridCol w:w="154"/>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S&amp;P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rating from Fitch (or a substitute rating agency therefor) applicable to the Notes of a series is decreased to a rating set forth in the immediately following table (or the equivalent rating, in the case of any substitute rating agency), the interest rate on the Notes of such series will increase such that it will equal the interest rate payable on the Notes of such series set forth on the cover page of the prospectus supplement plus the percentage set forth in the following table opposite that rating (plus, if applicable, the percentage set forth opposite the rating in the table under each of “Moody’s Rating” and “S&amp;P Rating”): </w:t>
      </w:r>
    </w:p>
    <w:tbl>
      <w:tblPr>
        <w:tblW w:w="2949" w:type="dxa"/>
        <w:jc w:val="left"/>
        <w:tblInd w:w="1393" w:type="dxa"/>
        <w:tblLayout w:type="fixed"/>
        <w:tblCellMar>
          <w:top w:w="0" w:type="dxa"/>
          <w:left w:w="0" w:type="dxa"/>
          <w:bottom w:w="50" w:type="dxa"/>
          <w:right w:w="0" w:type="dxa"/>
        </w:tblCellMar>
      </w:tblPr>
      <w:tblGrid>
        <w:gridCol w:w="1405"/>
        <w:gridCol w:w="109"/>
        <w:gridCol w:w="109"/>
        <w:gridCol w:w="109"/>
        <w:gridCol w:w="109"/>
        <w:gridCol w:w="845"/>
        <w:gridCol w:w="109"/>
        <w:gridCol w:w="154"/>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Fitch Rating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0.500%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05" w:type="dxa"/>
            <w:tcBorders/>
            <w:shd w:fill="CCEEFF" w:val="clear"/>
            <w:tcMar>
              <w:bottom w:w="0" w:type="dxa"/>
            </w:tcMar>
            <w:vAlign w:val="center"/>
          </w:tcPr>
          <w:p>
            <w:pPr>
              <w:pStyle w:val="TableContents"/>
              <w:bidi w:val="0"/>
              <w:spacing w:before="0" w:after="0"/>
              <w:jc w:val="left"/>
              <w:rPr>
                <w:spacing w:val="4"/>
              </w:rPr>
            </w:pPr>
            <w:r>
              <w:rPr>
                <w:spacing w:val="4"/>
              </w:rPr>
              <w:t xml:space="preserve">BB-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0"/>
              <w:jc w:val="left"/>
              <w:rPr>
                <w:spacing w:val="4"/>
              </w:rPr>
            </w:pPr>
            <w:r>
              <w:rPr>
                <w:spacing w:val="4"/>
              </w:rPr>
              <w:t xml:space="preserve">B+ or below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the interest rate on the Notes of a series has been increased as a result of a decrease in rating by any of Moody’s, S&amp;P or Fitch (or, in any case, a substitute rating agency therefor) and any of Moody’s, S&amp;P or Fitch (or, in any case, a substitute rating agency therefor) subsequently increases its rating applicable to the Notes of such series to any of the threshold ratings set forth above, the interest rate on the Notes of such series will be decreased such that the interest rate for the Notes of such series equals the applicable interest rate set forth for such series on the cover page of this prospectus supplement plus the percentage set forth opposite the ratings from the tables above in effect immediately following such increase in rating. Each adjustment required by any decrease or increase in a rating set forth above, whether occasioned by the action of Moody’s, S&amp;P or Fitch (or, in any case, a substitute rating agency therefor), shall be made independent of any and all other adjustments. In no event shall (1) the interest rate for any series of the Notes be reduced to below the interest rate set forth for such series of Notes on the cover page of this prospectus supplement or (2) the total increase in the interest rate on any series of the Notes exceed 2.000% above the interest rate set forth for such series on the cover page of this prospectus supplement. If Moody’s (or a substitute rating agency therefor) subsequently increases its rating applicable to the Notes of such series to Baa3 (or its equivalent, in the case of a substitute rating agency) or higher, S&amp;P (or a substitute rating agency therefor) subsequently increases its rating applicable to the Notes of such series to BBB- (or its equivalent, in the case of a substitute rating agency) or higher and Fitch (or a substitute rating agency therefor) subsequently increases its rating applicable to the Notes of such series to BBB- (or its equivalent, in the case of a substitute rating agency) or higher, the interest rate on such series of Notes will be decreased to the interest rate for such series of the Notes set forth on the cover page of this prospectus supplement. In addition, the interest rate of such series of the Notes will permanently cease to be subject to any adjustment described above (notwithstanding any subsequent decrease in the ratings by any or all rating agencies) if the Notes of such series become rated Baa1, BBB+ and BBB+ (or the equivalent of any such rating, in the case of a substitute rating agency) or higher by any two of Moody’s, S&amp;P and Fitch (or, in any case, a substitute rating agency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Moody’s, S&amp;P or Fitch (or, in any case, a substitute rating agency therefor) ceases to provide a rating of the Notes of a series for any reason, we will use our commercially reasonable efforts to obtain a rating of such series of the Notes from a substitute rating agency, to the extent one exists, and if a substitute rating agency exists, for purposes of determining any increase or decrease in the interest rate on the Notes of such series pursuant to the tables above (1) such substitute rating agency will be substituted for the rating agency which has since ceased to provide such rating, (2) the relative rating scale used by such substitute rating agency to assign ratings to senior unsecured debt will be determined in good faith by an independent investment banking institution of national standing appointed by us and, for purposes of determining the applicable ratings included in the applicable table above with respect to such substitute rating agency, such ratings will be deemed to be the equivalent ratings used by the rating agency which has since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ceased to provide such rating in such table and (3) the interest rate on the Notes of such series will increase or decrease, as the case may be, such that the interest rate equals the interest rate for such series of the Notes set forth on the cover page of this prospectus supplement plus the appropriate percentage, if any, set forth opposite the rating from such substitute rating agency in the applicable table above (taking into account the provisions of clause (2) above), plus any applicable percentage resulting from a decreased rating by the other ratings agencies.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only one of Moody’s, S&amp;P or Fitch (or, in any case, a substitute rating agency therefor) provides a rating of the Notes of a series, the interest rate on the Notes of such series will increase or decrease, as the case may be, such that the interest rate equals the interest rate for such series set forth on the cover page of this prospectus supplement plus twice any applicable percentage resulting from a decreased rating by the rating agency continuing to provide a rating. Any subsequent increase or decrease in the interest rate of the Notes of such series necessitated by a reduction or increase in the rating by the agency continuing to provide a rating shall be twice the percentage set forth in the applicable table above; provided, that the total increase in the interest rate on any series of the Notes shall not exceed 2.000% above the interest rate set forth for such series on the cover page of this prospectus supplement. No adjustments in the interest rates of the Notes of a series shall be made solely as a result of any of Moody’s, S&amp;P or Fitch (or, in any case, a substitute rating agency therefor) ceasing to provide a rating of the Notes of a series. If all of Moody’s, S&amp;P and Fitch (or, in any case, a substitute rating agency therefor) cease to provide a rating, and no substitute rating agency has provided a rating, the interest rate on the Notes of each series will increase to, or remain at, as the case may be, 2.000% above the applicable interest rate set forth on the cover page of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rate increase or decrease, as described above, will take effect from the first day of the interest period commencing after the date on which a rating change occurs that requires an adjustment in the applicable interest rate. If Moody’s, S&amp;P or Fitch (or, in any case, a substitute rating agency therefor) changes its rating of the Notes of a series more than once during any particular interest period, the last change by such agency during such interest period will control for purposes of any interest rate increase or decrease with respect to the Notes of such series described above relating to such rating agency’s action. If the interest payable on the Notes of either series is increased as described above, the term “interest,” as used with respect to the Notes of such series, will be deemed to include any such additional interest unless the context otherwise requires.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promptly notify the Trustee and the holders upon becoming aware of any decrease in the ratings assigned to the Notes of a series by any of Moody’s, S&amp;P or Fitch (or any substitute rating agency therefor). Neither the paying agent nor the Trustee shall have any obligation to monitor or determine the rating assigned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whether a ratings downgrade has occurred or a change in interest rate is warranted shall be conclusive and binding for all purposes, absent manifest error and the Trustee may rely upon such determination. The Trustee shall not be responsible for determining the new interest rate, or be liable in connection with any ratings downgrade or change in interest rate or for determining whether manifest error has occurred with regard to our 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our senior unsecured obligations and will rank equal in right of payment among themselves and with all of our other existing and future senior unsecured indebtedness, including indebtedness outstanding under the Revolving Credit Agreement (as defined herein). Neither series of the Notes will be guaranteed by any of our subsidiaries and thus will be effectively subordinated to all existing or future indebtedness or other liabilities, including trade payables, of our subsidiaries. As a result, claims of the creditors of our subsidiaries will generally have priority with respect to the assets and earnings of such subsidiaries over the claims of holders of each series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we had approximately $4,070 million of outstanding indebtedness, including $2,900 million in aggregate principal amount of senior unsecured fixed-rate notes (the “Existing Notes”), and $2.15 billion of availability under our multi-currency revolving credit agreement (the “Revolving Credit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As of June 30, 2026, our short-term indebtedness included $1 billion in short-term borrowings under the Revolving Credit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 August 28, 2029 with respect to the 2029 Notes (one month prior to their maturity date) and (ii) December 15, 2031 with respect to the 2032 Notes (one month prior to their maturity date) (each such date, with respect to the 2029 Notes or the 2032 Notes, as applicable, the “Par Call Date”), we may redeem each such series of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sum of the present values of the remaining scheduled payments of principal and interest thereon discounted to the redemption date (assuming the Notes of such series to be redeemed will have matured on the applicable Par Call Date) on a semi-annual basis (assuming a 360-day year consisting of twelve 30-day months) at the Treasury Rate plus 45 basis points (in the case of the 2029 Notes) and 50 basis points (in the case of the 2032 Notes) less (b) interest accrued to the date of redemption, and </w:t>
      </w:r>
      <w:r>
        <mc:AlternateContent>
          <mc:Choice Requires="wps">
            <w:drawing>
              <wp:anchor behindDoc="0" distT="9779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of such series to be redeemed, </w:t>
      </w:r>
      <w:r>
        <mc:AlternateContent>
          <mc:Choice Requires="wps">
            <w:drawing>
              <wp:anchor behindDoc="0" distT="9779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applicable Par Call Date, we may redeem the Notes of each series, in whole or in part, at any time and from time to time, at a redemption price equal to 100% of the principal amount of such series of the Notes being redeemed plus accrued and unpaid interest thereon to the redemption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Treasury Rate</w:t>
      </w:r>
      <w:r>
        <w:rPr>
          <w:rFonts w:ascii="Times New Roman;Times;serif" w:hAnsi="Times New Roman;Times;serif"/>
          <w:b w:val="false"/>
          <w:i w:val="false"/>
          <w:caps w:val="false"/>
          <w:smallCaps w:val="false"/>
          <w:color w:val="000000"/>
          <w:spacing w:val="4"/>
          <w:sz w:val="20"/>
        </w:rPr>
        <w:t xml:space="preserv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We will notify the Trustee of the redemption price promptly after the calculation thereof, and the Trustee may rely upon the redemption price contained in any such notice and the Trustee shall not be responsible for, or be liable in connection with, the calculation or determination of such redemption price (or any component thereof) or for determining whether manifest error has occurred with regard to our actions and determinations in determining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DTC procedures) at least 10 days but not more than 60 days before the redemption date to each holder of the series of the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notice of any redemption may, at our discretion, be subject to one or more conditions precedent, including, but not limited to, completion of an equity offering or change of control, issuance of indebtedness or other transaction or event. If any redemption is subject to satisfaction of one or more conditions precedent, the notice of redemption in respect thereof shall describe each such condition, and if applicable, shall state that, in our discretion, the redemption date may be delayed until such time as any or all such conditions shall be satisfied (or waived by us in our sole discretion), or that such redemption may not occur and such notice may be rescinded in the event that any or all such conditions shall not have been satisfied (or waived by us in our sole discretion) by the redemption date as stated in such notice, or by the redemption date as so delayed. We may provide in such notice that payment of the applicable redemption price and the performance of our obligations with respect to such redemption may be performed by another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redemption date is on or after an interest record date and on or before the related interest payment date, the accrued and unpaid interest, if any, will be paid to the person in whose name the applicable Note is registered at the close of business on such interest record date, and no additional interest is payable to holders whose Notes will be subject to redemption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of a series of Notes, selection of the Notes of such series for redemption will be made by lot. No Notes of a principal amount of $2,000 or less will be redeemed in part. The principal amount of a Note remaining outstanding after redemption in part will be $2,000 or an integral multiple of $1,000 in excess thereof. If any Note is to be redeemed in part only, the notice of redemption that relates to the Note will state the portion of the principal amount of the Note to be redeemed. Except in the case of a global note, a new Note in a principal amount equal to the unredeemed portion of the Note will be issued in the name of the holder of the Note upon surrender for cancellation of the original Note. For so long as the Notes are held by DTC (or another depositary), DTC (or such other depositary) will determine the allocation of the principal amount being redeemed among beneficial owners of such Notes in accordance with DTC’s (or such other depositary’s) applicable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the Notes will not be redeemable by us prior to their maturity date and will not be entitled to the benefit of any sinking fund.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acquire Notes by means other than a redemption, whether by tender offer, open market purchases, negotiated transactions or otherwise, in accordance with applicable securities laws, so long as such acquisition does not otherwise violate the terms of the Indentures or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of Notes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repurchase event occurs with respect to a series of the Notes, unless we have exercised our right to redeem the Notes of such series as described above under “— Optional Redemption,” we will be required to make an offer to each holder of the Notes of such series to repurchase all or any part (in excess of $2,000 and in integral multiples of $1,000) of that holder’s Notes of such series, at a repurchase price in cash equal to 101% of the aggregate principal amount of the Notes repurchased, plus any accrued and unpaid interest on the Notes repurchased to, but not including, the date of repurchase (subject to the right of the holders of record on the relevant record date to receive interest due on the relevant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30 days following any change of control repurchase event or, at our option, prior to any change of control, but after the public announcement of the change of control, we will electronically deliver or mail a notice to each holder, with a copy to the Trustee, describing the transaction or transactions that constitute or may constitute the change of control repurchase event and offering to repurchase the applicable series of the Notes on the payment date specified in the notice, which date will be no earlier than 30 days and no later than 60 days from the date such notice is electronically delivered or mailed (the “Change of Control Payment Date”). The notice shall, if electronically delivered or mailed prior to the date of consummation of the change of control, state that the offer to purchase is conditioned on a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any repurchase of the applicable series of the Notes as a result of a change of control repurchase event. To the extent that the provisions of any securities laws or regulations conflict with the change of control repurchase event provisions of the applicable series of the Notes, we will comply with the applicable securities laws and regulations and will not be deemed to have breached our obligations under the change of control repurchase event provisions of the applicable series of the Notes by virtue of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repurchase date following a change of control repurchase event with respect to a series of Notes, we will, to the extent lawful: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of the applicable series of the Notes or portions of the applicable series of the Notes properly tendered pursuant to its offer; </w:t>
      </w:r>
      <w:r>
        <mc:AlternateContent>
          <mc:Choice Requires="wps">
            <w:drawing>
              <wp:anchor behindDoc="0" distT="10033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of the applicable series of the Notes or portions of the applicable series of the Notes properly tendered; and </w:t>
      </w:r>
      <w:r>
        <mc:AlternateContent>
          <mc:Choice Requires="wps">
            <w:drawing>
              <wp:anchor behindDoc="0" distT="10033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applicable series of the Notes properly accepted, together with an officer’s certificate stating the aggregate principal amount of the applicable series of the Notes being purchased. </w:t>
      </w:r>
      <w:r>
        <mc:AlternateContent>
          <mc:Choice Requires="wps">
            <w:drawing>
              <wp:anchor behindDoc="0" distT="10033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paying agent will promptly deliver to each holder of the applicable series of the Notes properly tendered the payment for the applicable series of the Notes, and the Trustee will promptly authenticate and deliver (or cause to be transferred by book-entry) to each holder a new note equal in principal amount to any unpurchased portion of any of the applicable series of the Notes surrendered.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an offer to repurchase either series of the Notes upon a change of control repurchase event if a third party makes such an offer in the manner, at the times and otherwise in compliance with the requirements for an offer made by us and such third party purchases all of either series of the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not less than 90% in aggregate principal amount of the outstanding Notes of a series validly tender and do not withdraw such Notes in an offer to repurchase such series of the Notes upon a change of control repurchase event and we, or any third party making an offer to repurchase such series of the Notes upon a change of control repurchase event in lieu of us, as described above, purchase all of the Notes of such series validly tendered and not withdrawn by such holders, we will have the right, upon not less than 10 nor more than 60 days’ prior notice, given not more than 30 days following the Change of Control Payment Date, to redeem all Notes of such series that remain outstanding following such purchase at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price in cash equal to 101% of the principal amount thereof, plus accrued and unpaid interest, if any, to the date of redemption (subject to the right of the holders of record on the relevant record date to receive interest due on the relevant interest payment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repurchase event feature of each series of the Notes may in certain circumstances make more difficult or discourage a sale or takeover of us and, thus, the removal of incumbent management. The change of control repurchase event feature is a result of negotiations between us and the underwriters. We have no present intention to engage in a transaction involving a change of control, although it is possible that we could decide to do so in the future. Subject to the limitations discussed below, we could, in the future, enter into certain transactions, including acquisitions, refinancings or other recapitalizations, that would not constitute a change of control under the Indentures, but that could increase the amount of indebtedness outstanding at such time or otherwise affect our capital structure or the credit ratings of each series of the Notes. Restrictions on our ability to incur liens and enter into sale and leaseback transactions are contained in the covenants as described under “— Certain Covenants — Limitation on Liens” and “— Certain Covenants — Limitation on Sale and Leaseback Transactions.” Except for the limitations contained in such covenants and the covenant relating to repurchases upon the occurrence of a change of control repurchase event, however, the Indentures will not contain any covenants or provisions that may afford holders of either series of the Notes protection in the event of a highly leveraged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phrase “all or substantially all,” as used with respect to our assets and subsidiaries in the definition of “change of control,” is subject to interpretation under applicable state law, and its applicability in a given instance would depend upon the facts and circumstances. As a result, there may be a degree of uncertainty in ascertaining whether a sale or transfer of “all or substantially all” of our assets and the assets of our subsidiaries has occurred in a particular instance, in which case a holder’s ability to obtain the benefit of these provisions could be unclear.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have sufficient funds to repurchase all of either series of the Notes upon a change of control repurchase event. In addition, even if we have sufficient funds, we may be prohibited from repurchasing either series of the Notes under the terms of our future debt instruments. See “Risk Factors — Risks Relating to this Offering — Each series of the Notes will be subject to a change of control provision, and we may not have the ability to raise the funds necessary to fulfill our obligations under either series of the Notes following a change of control repurchase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and will not have any responsibility to determine whether a change of control repurchase event, or any change of control or ratings event, shall have occurred.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a repurchase at the option of holders, the following definitions are applicable: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with respect to a series of Notes, the occurrence of any of the following: (1) the direct or indirect sale, transfer, conveyance or other disposition (other than by way of merger or consolidation), in one or a series of related transactions, of all or substantially all of our assets and the assets of our subsidiaries taken as a whole to any “person” ​(as that term is used in Section 13(d)(3) of the Exchange Act) other than to us or one of our subsidiaries; (2) the adoption of a plan relating to our liquidation or dissolution; or (3) the consummation of any transaction (including, without limitation, any merger or consolidation) the result of which is that any “person” ​(as defined above), including any group defined as a person for the purpose of Section 13(d)(3) of the Exchange Act, becomes the beneficial owner, directly or indirectly, of more than 50% of the then-outstanding number of shares of our voting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person shall not be deemed the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Notwithstanding the foregoing, a transaction will not be considered to be a change of control if (a) we become a direct or indirect wholly-owned subsidiary of another person and (b) immediately following that transaction, a majority of voting stock of such person is held by the direct or indirect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voting stock immediately prior to such transaction and in substantially the same proportion as immediately prior to such transaction.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repurchase event</w:t>
      </w:r>
      <w:r>
        <w:rPr>
          <w:rFonts w:ascii="Times New Roman;Times;serif" w:hAnsi="Times New Roman;Times;serif"/>
          <w:b w:val="false"/>
          <w:i w:val="false"/>
          <w:caps w:val="false"/>
          <w:smallCaps w:val="false"/>
          <w:color w:val="000000"/>
          <w:spacing w:val="4"/>
          <w:sz w:val="20"/>
        </w:rPr>
        <w:t xml:space="preserve">” means, with respect to a series of Notes, the occurrence of both a change of control and a ratings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Ratings,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w:t>
      </w:r>
      <w:r>
        <w:rPr>
          <w:rFonts w:ascii="Times New Roman;Times;serif" w:hAnsi="Times New Roman;Times;serif"/>
          <w:b w:val="false"/>
          <w:i w:val="false"/>
          <w:caps w:val="false"/>
          <w:smallCaps w:val="false"/>
          <w:color w:val="000000"/>
          <w:spacing w:val="4"/>
          <w:sz w:val="20"/>
        </w:rPr>
        <w:t xml:space="preserve">” means a rating of Baa3 or better by Moody’s (or its equivalent under any successor rating categories of Moody’s); a rating of BBB- or better by Fitch (or its equivalent under any successor rating categories of Fitch); a rating of BBB- or better by S&amp;P (or its equivalent under any successor rating categories of S&amp;P); and the equivalent investment grade credit rating from any additional rating agency or rating agencies selected by us.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agency</w:t>
      </w:r>
      <w:r>
        <w:rPr>
          <w:rFonts w:ascii="Times New Roman;Times;serif" w:hAnsi="Times New Roman;Times;serif"/>
          <w:b w:val="false"/>
          <w:i w:val="false"/>
          <w:caps w:val="false"/>
          <w:smallCaps w:val="false"/>
          <w:color w:val="000000"/>
          <w:spacing w:val="4"/>
          <w:sz w:val="20"/>
        </w:rPr>
        <w:t xml:space="preserve">” means, with respect to the Notes, (1) each of Moody’s, Fitch and S&amp;P; and (2) if any two of Moody’s, Fitch and S&amp;P cease to rate the Notes of any series or fail to make a rating of such series of the Notes publicly available, a “nationally recognized statistical rating organization” within the meaning of Section 3(a)(62) of the Exchange Act, selected by us as a replacement agency for Moody’s, Fitch or S&amp;P, or all of them, as the case may be.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ratings event</w:t>
      </w:r>
      <w:r>
        <w:rPr>
          <w:rFonts w:ascii="Times New Roman;Times;serif" w:hAnsi="Times New Roman;Times;serif"/>
          <w:b w:val="false"/>
          <w:i w:val="false"/>
          <w:caps w:val="false"/>
          <w:smallCaps w:val="false"/>
          <w:color w:val="000000"/>
          <w:spacing w:val="4"/>
          <w:sz w:val="20"/>
        </w:rPr>
        <w:t>” means, with respect to a series of the Notes, during the period commencing on the date of our first public announcement of any change of control (or pending change of control) (the “</w:t>
      </w:r>
      <w:r>
        <w:rPr>
          <w:rFonts w:ascii="Times New Roman;Times;serif" w:hAnsi="Times New Roman;Times;serif"/>
          <w:b w:val="false"/>
          <w:i/>
          <w:caps w:val="false"/>
          <w:smallCaps w:val="false"/>
          <w:color w:val="000000"/>
          <w:spacing w:val="4"/>
          <w:sz w:val="20"/>
        </w:rPr>
        <w:t>rating date</w:t>
      </w:r>
      <w:r>
        <w:rPr>
          <w:rFonts w:ascii="Times New Roman;Times;serif" w:hAnsi="Times New Roman;Times;serif"/>
          <w:b w:val="false"/>
          <w:i w:val="false"/>
          <w:caps w:val="false"/>
          <w:smallCaps w:val="false"/>
          <w:color w:val="000000"/>
          <w:spacing w:val="4"/>
          <w:sz w:val="20"/>
        </w:rPr>
        <w:t xml:space="preserve">”) and ending 60 days following consummation of such change of control, the rating of the applicable series of the Notes shall be reduced by at least two of the three rating agencies and such series of the Notes are rated below investment grade by at least two of the three rating agencies and are not, within such period, subsequently upgraded by such rating agencies to an investment grade rating;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if the rating agencies making the reduction in rating to which this definition would otherwise apply do not announce or confirm to us in writing at our request that the reduction was the result, in whole or in part, of any event or circumstance comprised of or arising as a result of, or in respect of, the applicable change of control (whether or not the applicable change of control has occurred at the time of the ratings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division of S&amp;P Global,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terms set forth under the caption “Description of Debt Securities” in the accompanying prospectus, the Indentures will contain the following covenants in respect of the Notes offered hereby. Capitalized terms used in this subsection (“— Certain Covenants”) are defined below under “— Certain Definitions.”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incur, nor will we permit any of our wholly-owned U.S. subsidiaries to incur, any Liens upon any property of ours or any of our wholly-owned U.S. subsidiaries, whether now owned or hereafter created or acquired, in order to secure indebtedness of us or any of our wholly-owned U.S. subsidiaries, in each case, unless prior to or at the same time, the Notes are equally and ratably secured with (or, at our option, senior to) such secured indebtedness until such time as such indebtedness is no longer secured by such Lien.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restriction does not apply to: </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indebtedness existing with respect to any person at the time such person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becomes our subsidiary or a subsidiary of any of our subsidiaries; provided that such Lien was not incurred in anticipation of such person becoming a subsidiary;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indebtedness existing at the time of acquisition by us or any of our subsidiaries or a subsidiary of any of our subsidiaries of such property or indebtedness (which may include property previously leased by us or any of our subsidiaries and leasehold interests on such property; provided that the lease terminates prior to or upon the acquisition) or Liens on property or indebtedness to secure the payment of all or any part of the purchase price of such property or indebtedness, or Liens on property or indebtedness to secure any indebtedness incurred prior to, at the time of, or within 12 months after, the latest of the acquisition of such property or indebtedness or, in the case of property, the completion of construction, the completion of improvements or the commencement of substantial commercial operation of such property for the purpose of financing all or any part of the purchase price of the property and related costs and expenses, the construction or the making of the improvements; </w:t>
      </w:r>
      <w:r>
        <mc:AlternateContent>
          <mc:Choice Requires="wps">
            <w:drawing>
              <wp:anchor behindDoc="0" distT="9906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our indebtedness or the indebtedness of any of our subsidiaries owing to us or any of our subsidiaries; </w:t>
      </w:r>
      <w:r>
        <mc:AlternateContent>
          <mc:Choice Requires="wps">
            <w:drawing>
              <wp:anchor behindDoc="0" distT="9906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the initial issuance of the Notes (other than any additional notes); </w:t>
      </w:r>
      <w:r>
        <mc:AlternateContent>
          <mc:Choice Requires="wps">
            <w:drawing>
              <wp:anchor behindDoc="0" distT="99060" distB="0" distL="2540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or assets of a person existing at the time such person is merged into or consolidated with us or any of our subsidiaries, at the time such person becomes our subsidiary, or at the time of a sale, lease or other disposition of all or substantially all of the properties or assets of a person to us or any of our subsidiaries; provided that such Lien was not incurred in anticipation of the merger, consolidation, sale, lease, other disposition or other such transaction; </w:t>
      </w:r>
      <w:r>
        <mc:AlternateContent>
          <mc:Choice Requires="wps">
            <w:drawing>
              <wp:anchor behindDoc="0" distT="99060" distB="0" distL="2540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created in connection with or to secure a Non-recourse Obligation or a project financed thereby; </w:t>
      </w:r>
      <w:r>
        <mc:AlternateContent>
          <mc:Choice Requires="wps">
            <w:drawing>
              <wp:anchor behindDoc="0" distT="99060" distB="0" distL="2540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created to secure the Notes of each series; </w:t>
      </w:r>
      <w:r>
        <mc:AlternateContent>
          <mc:Choice Requires="wps">
            <w:drawing>
              <wp:anchor behindDoc="0" distT="9906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imposed by law or arising by operation of law, including, without limitation, landlords’, mailmen’s, suppliers’, vendors’, carriers’, warehousemen’s and mechanic’s Liens and other similar Liens, Liens for master’s and crew’s wages and other similar laws, arising in the ordinary course of business, in each case for sums not yet overdue by more than 60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r>
        <mc:AlternateContent>
          <mc:Choice Requires="wps">
            <w:drawing>
              <wp:anchor behindDoc="0" distT="10033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or other governmental charges or levies on property not yet due or payable or subject to penalties for non-payment or which are being contested in good faith by appropriate proceedings; </w:t>
      </w:r>
      <w:r>
        <mc:AlternateContent>
          <mc:Choice Requires="wps">
            <w:drawing>
              <wp:anchor behindDoc="0" distT="100330" distB="0" distL="2540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the performance of obligations with respect to statutory or regulatory requirements, bids, trade contracts, leases, statutory obligations, surety and appeal bonds, performance or return-of-money bonds and other obligations of a like nature; </w:t>
      </w:r>
      <w:r>
        <mc:AlternateContent>
          <mc:Choice Requires="wps">
            <w:drawing>
              <wp:anchor behindDoc="0" distT="100330" distB="0" distL="254000" distR="0" simplePos="0" locked="0" layoutInCell="1" allowOverlap="1" relativeHeight="48">
                <wp:simplePos x="0" y="0"/>
                <wp:positionH relativeFrom="column">
                  <wp:align>left</wp:align>
                </wp:positionH>
                <wp:positionV relativeFrom="line">
                  <wp:align>top</wp:align>
                </wp:positionV>
                <wp:extent cx="254000" cy="52578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Permitted Liens; or </w:t>
      </w:r>
      <w:r>
        <mc:AlternateContent>
          <mc:Choice Requires="wps">
            <w:drawing>
              <wp:anchor behindDoc="0" distT="100330" distB="0" distL="254000" distR="0" simplePos="0" locked="0" layoutInCell="1" allowOverlap="1" relativeHeight="49">
                <wp:simplePos x="0" y="0"/>
                <wp:positionH relativeFrom="column">
                  <wp:align>left</wp:align>
                </wp:positionH>
                <wp:positionV relativeFrom="line">
                  <wp:align>top</wp:align>
                </wp:positionV>
                <wp:extent cx="254000" cy="52578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extensions, renewals or replacements of any Lien referred to in clauses (1) through (11) without increase of the principal of the indebtedness secured by such Lien (except to the extent of any fees or other costs associated with any such extension, renewal or replacement); provided, however, that any Liens permitted by any of clauses (1) through (11) shall not extend to or cover any of our property or the property of any of our subsidiaries, as the case may be, other than the property specified in such clauses and improvements to such property. </w:t>
      </w:r>
      <w:r>
        <mc:AlternateContent>
          <mc:Choice Requires="wps">
            <w:drawing>
              <wp:anchor behindDoc="0" distT="100330" distB="0" distL="254000" distR="0" simplePos="0" locked="0" layoutInCell="1" allowOverlap="1" relativeHeight="50">
                <wp:simplePos x="0" y="0"/>
                <wp:positionH relativeFrom="column">
                  <wp:align>left</wp:align>
                </wp:positionH>
                <wp:positionV relativeFrom="line">
                  <wp:align>top</wp:align>
                </wp:positionV>
                <wp:extent cx="254000" cy="52578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set forth in the preceding paragraph, we and our wholly-owned U.S. subsidiaries will be permitted to incur indebtedness secured by Liens which would otherwise be subject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restrictions without equally and ratably securing the Notes; provided that, after giving effect to such indebtedness, the aggregate amount of all indebtedness secured by Liens (not including Liens permitted under clauses (1) through (12) above), together with all attributable debt outstanding pursuant to the second paragraph of the “— Limitation on Sale and Leaseback Transactions” covenant described below, does not exceed 15% of Consolidated Total Assets calculated as of the date of the creation or incurrence of the Lien. We and our wholly-owned U.S. subsidiaries may also, without equally and ratably securing either series of the Notes, create or incur Liens that renew, substitute or replace (including successive renewals, substitutions or replacements), in whole or in part, any Lien permitted pursuant to the preceding sentence.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nor will we permit any of our wholly-owned U.S. subsidiaries to, enter into any sale and leaseback transaction for the sale and leasing back of any property, whether now owned or hereafter acquired, unless: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was entered into prior to the date of the initial issuance of the Notes (other than any additional notes); </w:t>
      </w:r>
      <w:r>
        <mc:AlternateContent>
          <mc:Choice Requires="wps">
            <w:drawing>
              <wp:anchor behindDoc="0" distT="10033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was for the sale and leasing back to us or any of our wholly-owned U.S. subsidiaries of any property by one of our subsidiaries; </w:t>
      </w:r>
      <w:r>
        <mc:AlternateContent>
          <mc:Choice Requires="wps">
            <w:drawing>
              <wp:anchor behindDoc="0" distT="10033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transaction involves a lease for not more than three years (or which may be terminated by us or our subsidiaries within a period of not more than three years); </w:t>
      </w:r>
      <w:r>
        <mc:AlternateContent>
          <mc:Choice Requires="wps">
            <w:drawing>
              <wp:anchor behindDoc="0" distT="10033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be entitled to incur indebtedness secured by a Lien with respect to such sale and leaseback transaction without equally and ratably securing either of the series of the Notes pursuant to the second paragraph of the “— Limitation on Liens” covenant described above; or </w:t>
      </w:r>
      <w:r>
        <mc:AlternateContent>
          <mc:Choice Requires="wps">
            <w:drawing>
              <wp:anchor behindDoc="0" distT="10033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apply an amount equal to the net proceeds from the sale of such property to the purchase of other property or assets used or useful in our business or to the retirement of long-term indebtedness within 12 months before or after the effective date of any such sale and leaseback transaction; provided that, in lieu of applying such amount to the retirement of long-term indebtedness, we may deliver debt securities (which may include either series of the Notes) to the applicable trustee for cancellation, such debt securities to be credited at the cost thereof to it. </w:t>
      </w:r>
      <w:r>
        <mc:AlternateContent>
          <mc:Choice Requires="wps">
            <w:drawing>
              <wp:anchor behindDoc="0" distT="10033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set forth in the preceding paragraph, we and our wholly-owned U.S. subsidiaries may enter into any sale and leaseback transaction which would otherwise be subject to the foregoing restrictions if, after giving effect thereto, the aggregate amount of all attributable debt with respect to such transactions (not including attributable debt permitted under clauses (1) through (5) of the preceding paragraph), together with all indebtedness outstanding pursuant to the third paragraph of the “— Limitation on Liens” covenant described above, does not exceed 15% of Consolidated Total Assets calculated as of the closing date of the sale and leaseback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Events of Default listed under the caption “Description of Debt Securities — Events of Default” in the accompanying prospectus, each of the following is an “event of default” under the Indentures with respect to a series of the Notes: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by us to repurchase Notes of such series tendered for repurchase following the occurrence of a change of control repurchase event in conformity with the covenant set forth under “Description of Notes — Purchase of Notes upon a Change of Control Repurchase Event;” and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failure to make any payment at maturity, including any applicable grace period, on any of our indebtedness (other than indebtedness we owe to any of our subsidiaries) outstanding in an amount in excess of $250 million and continuance of this failure to pay or (b) a default on any of our indebtedness (other than indebtedness we owe to any of our subsidiaries), which default results in the acceleration of such indebtedness in an amount in excess of $250 million without such indebtedness having been discharged or the acceleration having been cured, waived, rescinded or </w:t>
      </w:r>
      <w:r>
        <mc:AlternateContent>
          <mc:Choice Requires="wps">
            <w:drawing>
              <wp:anchor behindDoc="0" distT="1016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annulled, in the case of clause (a) or (b) above, for a period of 30 days after written notice thereof to us by the Trustee or to us and the Trustee by the holders of not less than 25% in principal amount of outstanding Notes of the applicable series (including any additional notes); provided, however, that if any failure, default or acceleration referred to in clause (a) or (b) above ceases or is cured, waived, rescinded or annulled, then the event of default will be deemed cured.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modifications and amendments listed under the caption “Modifications” in the accompanying prospectus that may be made by us without the consent of the holders, we may also make modifications and amendments to the Indentures conforming any provision in the Indentures to this “Description of Notes” to the extent that such provision was intended to be a verbatim recitation of a provision in this “Description of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provisions permitting us to be discharged from all of our obligations, subject to limited exceptions, with respect to any Notes then outstanding and to be released from our obligations under certain covenants and from the consequences of an event of default resulting from a breach of such covenants as described in “Description of Debt Securities — Satisfaction and Discharge; Defeasance” in the accompanying prospectus, the Indentures with respect to the Notes will also contain a provision that permits us to be released from our obligations under the following covenants and from the consequences of an event of default resulting from a breach of these covenants: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sale and leaseback transactions under the Indentures; </w:t>
      </w:r>
      <w:r>
        <mc:AlternateContent>
          <mc:Choice Requires="wps">
            <w:drawing>
              <wp:anchor behindDoc="0" distT="97790" distB="0" distL="254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limitations on liens under the Indentures; and </w:t>
      </w:r>
      <w:r>
        <mc:AlternateContent>
          <mc:Choice Requires="wps">
            <w:drawing>
              <wp:anchor behindDoc="0" distT="9779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covenants as to payment of taxes and maintenance of properties. </w:t>
      </w:r>
      <w:r>
        <mc:AlternateContent>
          <mc:Choice Requires="wps">
            <w:drawing>
              <wp:anchor behindDoc="0" distT="9779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Anyone who receives this prospectus supplement may obtain a copy of the Indentures without charge by writing to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Kyndryl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One Vanderbilt Avenue, 15th Floor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New York, NY 10017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contain the following defined terms: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means, with respect to any sale and leaseback transaction, at the time of determination, the lesser of: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assets subject to such a transaction (as determined in good faith by our board of directors); and </w:t>
      </w:r>
      <w:r>
        <mc:AlternateContent>
          <mc:Choice Requires="wps">
            <w:drawing>
              <wp:anchor behindDoc="0" distT="9779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(discounted at a rate per annum equal to the average interest borne by each series of debt securities issued under the base indenture (which may include debt securities in addition to the Notes offered hereby) determined on a weighted-average basis and compounded semi-annually) of the obligations of the lessee for rental payments (other than amounts required to be paid on account of property taxes as well as maintenance, repairs, insurance, water rates and other items which do not constitute payments for property rights) during the term of the related lease.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w:t>
      </w:r>
      <w:r>
        <mc:AlternateContent>
          <mc:Choice Requires="wps">
            <w:drawing>
              <wp:anchor behindDoc="0" distT="9906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subsequent to the first date upon which it may be terminated) or (ii) the present value assuming no such termination.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calendar day that is not a Saturday, Sunday or legal holiday in New York, New York and on which commercial banks are open for business in New York, New York.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Subsidiary</w:t>
      </w:r>
      <w:r>
        <w:rPr>
          <w:rFonts w:ascii="Times New Roman;Times;serif" w:hAnsi="Times New Roman;Times;serif"/>
          <w:b w:val="false"/>
          <w:i w:val="false"/>
          <w:caps w:val="false"/>
          <w:smallCaps w:val="false"/>
          <w:color w:val="000000"/>
          <w:spacing w:val="4"/>
          <w:sz w:val="20"/>
        </w:rPr>
        <w:t xml:space="preserve">” means as of the time of determination and with respect to any person, any subsidiary of that person whose financial data is, in accordance with GAAP, reflected in that person’s consolidated financial statements.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Total Assets</w:t>
      </w:r>
      <w:r>
        <w:rPr>
          <w:rFonts w:ascii="Times New Roman;Times;serif" w:hAnsi="Times New Roman;Times;serif"/>
          <w:b w:val="false"/>
          <w:i w:val="false"/>
          <w:caps w:val="false"/>
          <w:smallCaps w:val="false"/>
          <w:color w:val="000000"/>
          <w:spacing w:val="4"/>
          <w:sz w:val="20"/>
        </w:rPr>
        <w:t xml:space="preserve">” means, as of the time of determination, total assets of us and our Consolidated Subsidiaries as reflected on our most recent consolidated balance sheet prepared in accordance with GAAP contained in an annual report on Form 10-K or a quarterly report on Form 10-Q or any amendment thereto pursuant to the Exchange Act filed by us prior to the time as of which “Consolidated Total Assets” is being determined or, if we are not required to so file, as reflected on our most recent consolidated balance sheet prepared in accordance with GAAP.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in effect from time to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Hedging Obligations</w:t>
      </w:r>
      <w:r>
        <w:rPr>
          <w:rFonts w:ascii="Times New Roman;Times;serif" w:hAnsi="Times New Roman;Times;serif"/>
          <w:b w:val="false"/>
          <w:i w:val="false"/>
          <w:caps w:val="false"/>
          <w:smallCaps w:val="false"/>
          <w:color w:val="000000"/>
          <w:spacing w:val="4"/>
          <w:sz w:val="20"/>
        </w:rPr>
        <w:t xml:space="preserve">” means, with respect to any specified person, the obligations of such person under: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swap agreements (whether from fixed to floating or from floating to fixed), interest rate cap agreements and interest rate collar agreements; </w:t>
      </w:r>
      <w:r>
        <mc:AlternateContent>
          <mc:Choice Requires="wps">
            <w:drawing>
              <wp:anchor behindDoc="0" distT="10033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agreements or arrangements designed to manage interest rates or interest rate risk; and </w:t>
      </w:r>
      <w:r>
        <mc:AlternateContent>
          <mc:Choice Requires="wps">
            <w:drawing>
              <wp:anchor behindDoc="0" distT="10033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agreements or arrangements designed to protect such person against fluctuations in currency exchange rates or commodity prices. </w:t>
      </w:r>
      <w:r>
        <mc:AlternateContent>
          <mc:Choice Requires="wps">
            <w:drawing>
              <wp:anchor behindDoc="0" distT="10033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incur</w:t>
      </w:r>
      <w:r>
        <w:rPr>
          <w:rFonts w:ascii="Times New Roman;Times;serif" w:hAnsi="Times New Roman;Times;serif"/>
          <w:b w:val="false"/>
          <w:i w:val="false"/>
          <w:caps w:val="false"/>
          <w:smallCaps w:val="false"/>
          <w:color w:val="000000"/>
          <w:spacing w:val="4"/>
          <w:sz w:val="20"/>
        </w:rPr>
        <w:t xml:space="preserve">” means issue, incur, create, assume, guarantee or otherwise become liable for.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obligations (other than Non-recourse Obligations) of such person for borrowed money (including, without limitation, indebtedness for borrowed money evidenced by notes, bonds, debentures or similar instruments).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security interest, pledge, charge or encumbrance of any kind (including any conditional sale or other title retention agreement, any lease in the nature thereof, and any agreement to give any security interest).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Non-recourse Obligation</w:t>
      </w:r>
      <w:r>
        <w:rPr>
          <w:rFonts w:ascii="Times New Roman;Times;serif" w:hAnsi="Times New Roman;Times;serif"/>
          <w:b w:val="false"/>
          <w:i w:val="false"/>
          <w:caps w:val="false"/>
          <w:smallCaps w:val="false"/>
          <w:color w:val="000000"/>
          <w:spacing w:val="4"/>
          <w:sz w:val="20"/>
        </w:rPr>
        <w:t xml:space="preserve">” means indebtedness or other obligations substantially related to (1) (A) the acquisition of assets not previously owned by us or any of our direct or indirect subsidiaries or (B) the financing of a project involving the development or expansion of our properties or any of our direct or indirect subsidiaries, in each case as to which the obligee with respect to such indebtedness or obligation has no recourse to us or any of our direct or indirect subsidiaries or such subsidiary’s assets other than the assets which were acquired with the proceeds of such transaction or the project financed with the proceeds of such transaction (and the proceeds thereof) or (2) a receivables financing (including through the sale of receivables to lenders or to special purpose entities formed to borrow from lenders against such receivables or the proceeds thereof).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Hedging Obligations designed to protect us from fluctuations in interest rates, currencies, equities or the price of commodities and not for speculative purposes;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customs and revenue authorities or financial institutions in respect of customs duties in connection with the importation of goods; </w:t>
      </w:r>
      <w:r>
        <mc:AlternateContent>
          <mc:Choice Requires="wps">
            <w:drawing>
              <wp:anchor behindDoc="0" distT="10160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by reason of deposits necessary to qualify us or any subsidiary to conduct business, maintain self-insurance or obtain the benefit of, or comply with, any law, including Liens incurred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in connection with workers’ compensation, unemployment insurance or other forms of governmental insurance or benefits; </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of any landlord on fixtures located on premises leased by us or a subsidiary, and tenants’ rights under leases, easements and similar Liens not materially impairing the use or value of the property involved; </w:t>
      </w:r>
      <w:r>
        <mc:AlternateContent>
          <mc:Choice Requires="wps">
            <w:drawing>
              <wp:anchor behindDoc="0" distT="10922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zoning restrictions, building restrictions, rights-of-way and similar encumbrances or charges on real property imposed by law or arising in the ordinary course of business that are of a nature generally existing with respect to properties of a similar character; </w:t>
      </w:r>
      <w:r>
        <mc:AlternateContent>
          <mc:Choice Requires="wps">
            <w:drawing>
              <wp:anchor behindDoc="0" distT="10922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connection with bankers’ acceptance financing or used in the ordinary course of trade practices, statutory lessor and vendor privilege Liens and Liens in connection with good faith bids, tenders and deposits; </w:t>
      </w:r>
      <w:r>
        <mc:AlternateContent>
          <mc:Choice Requires="wps">
            <w:drawing>
              <wp:anchor behindDoc="0" distT="10922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under consignment or similar arrangements for the sale of goods; </w:t>
      </w:r>
      <w:r>
        <mc:AlternateContent>
          <mc:Choice Requires="wps">
            <w:drawing>
              <wp:anchor behindDoc="0" distT="10922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incurred or pledges or deposits made under workmen’s compensation laws, unemployment insurance laws or similar legislation, or good faith deposits in connection with bids, tenders, contracts or leases, or deposits to secure our public or statutory obligations, or deposits for the payment of rent; </w:t>
      </w:r>
      <w:r>
        <mc:AlternateContent>
          <mc:Choice Requires="wps">
            <w:drawing>
              <wp:anchor behindDoc="0" distT="10922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judgment Liens not giving rise to a default or event of default so long as such Lien is adequately bonded and any appropriate legal proceedings that may have been initiated for the review of such judgment, decree or order shall not have been finally terminated or the period within which such proceedings may be initiated shall not have expired; </w:t>
      </w:r>
      <w:r>
        <mc:AlternateContent>
          <mc:Choice Requires="wps">
            <w:drawing>
              <wp:anchor behindDoc="0" distT="10922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upon specific items of inventory or other goods and proceeds of any person securing such person’s obligations in respect of banker’s acceptances issued or credited for the account of such person to facilitate the purchase, shipment or storage of such inventory or goods; </w:t>
      </w:r>
      <w:r>
        <mc:AlternateContent>
          <mc:Choice Requires="wps">
            <w:drawing>
              <wp:anchor behindDoc="0" distT="109220" distB="0" distL="254000" distR="0" simplePos="0" locked="0" layoutInCell="1" allowOverlap="1" relativeHeight="75">
                <wp:simplePos x="0" y="0"/>
                <wp:positionH relativeFrom="column">
                  <wp:align>left</wp:align>
                </wp:positionH>
                <wp:positionV relativeFrom="line">
                  <wp:align>top</wp:align>
                </wp:positionV>
                <wp:extent cx="254000" cy="52578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reimbursement obligations with respect to letters of credit in the ordinary course of business that encumber cash, documents and other property relating to such letters of credit and proceeds thereof; </w:t>
      </w:r>
      <w:r>
        <mc:AlternateContent>
          <mc:Choice Requires="wps">
            <w:drawing>
              <wp:anchor behindDoc="0" distT="109220" distB="0" distL="254000" distR="0" simplePos="0" locked="0" layoutInCell="1" allowOverlap="1" relativeHeight="76">
                <wp:simplePos x="0" y="0"/>
                <wp:positionH relativeFrom="column">
                  <wp:align>left</wp:align>
                </wp:positionH>
                <wp:positionV relativeFrom="line">
                  <wp:align>top</wp:align>
                </wp:positionV>
                <wp:extent cx="254000" cy="52578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us or any of our wholly-owned U.S. subsidiaries; and </w:t>
      </w:r>
      <w:r>
        <mc:AlternateContent>
          <mc:Choice Requires="wps">
            <w:drawing>
              <wp:anchor behindDoc="0" distT="109220" distB="0" distL="254000" distR="0" simplePos="0" locked="0" layoutInCell="1" allowOverlap="1" relativeHeight="77">
                <wp:simplePos x="0" y="0"/>
                <wp:positionH relativeFrom="column">
                  <wp:align>left</wp:align>
                </wp:positionH>
                <wp:positionV relativeFrom="line">
                  <wp:align>top</wp:align>
                </wp:positionV>
                <wp:extent cx="254000" cy="52578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Liens granted in favor of a trustee to secure fees and other amounts owing to such trustee under an indenture. </w:t>
      </w:r>
      <w:r>
        <mc:AlternateContent>
          <mc:Choice Requires="wps">
            <w:drawing>
              <wp:anchor behindDoc="0" distT="109220" distB="0" distL="254000" distR="0" simplePos="0" locked="0" layoutInCell="1" allowOverlap="1" relativeHeight="78">
                <wp:simplePos x="0" y="0"/>
                <wp:positionH relativeFrom="column">
                  <wp:align>left</wp:align>
                </wp:positionH>
                <wp:positionV relativeFrom="line">
                  <wp:align>top</wp:align>
                </wp:positionV>
                <wp:extent cx="254000" cy="52578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5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property</w:t>
      </w:r>
      <w:r>
        <w:rPr>
          <w:rFonts w:ascii="Times New Roman;Times;serif" w:hAnsi="Times New Roman;Times;serif"/>
          <w:b w:val="false"/>
          <w:i w:val="false"/>
          <w:caps w:val="false"/>
          <w:smallCaps w:val="false"/>
          <w:color w:val="000000"/>
          <w:spacing w:val="4"/>
          <w:sz w:val="20"/>
        </w:rPr>
        <w:t xml:space="preserve">” means any property or asset, whether real, personal or mixed, or tangible or intangible, including shares of capital stock. </w:t>
      </w:r>
    </w:p>
    <w:p>
      <w:pPr>
        <w:pStyle w:val="TextBody"/>
        <w:bidi w:val="0"/>
        <w:spacing w:lineRule="atLeast" w:line="25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that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lineRule="atLeast" w:line="25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U.S. subsidiary</w:t>
      </w:r>
      <w:r>
        <w:rPr>
          <w:rFonts w:ascii="Times New Roman;Times;serif" w:hAnsi="Times New Roman;Times;serif"/>
          <w:b w:val="false"/>
          <w:i w:val="false"/>
          <w:caps w:val="false"/>
          <w:smallCaps w:val="false"/>
          <w:color w:val="000000"/>
          <w:spacing w:val="4"/>
          <w:sz w:val="20"/>
        </w:rPr>
        <w:t xml:space="preserve">” means any subsidiary that is organized under the laws of the United States or any state thereof or the District of Columbia.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each series of the Notes will be issued in registered, global form and deposited upon issuance with the Trustee as custodian for DTC and registered in the name of DTC’s nominee, Cede &amp; Co., in each case for credit to an account of a direct or indirect participant in DTC as described below. Except as described below, each series of the global notes (the “Global Notes”) may be transferred, in whole but not in part, only to another nominee of DTC or to a successor of DTC or its nominee. Beneficial interests in the Global Notes may not be exchanged for Notes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Certificated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of beneficial interests in the Global Notes will be subject to the applicable rules and procedures of DTC and its direct or indirect participants (including, if applicable, those of Euroclear or Clearstream, as indirect participants in DTC), which may change from time to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 Clearstream and 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operations and procedures of DTC, Clearstream and Euroclear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and the underwriters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certain other organizations.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pursuant to procedures established by DTC: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DTC will credit the accounts of participants designated by the underwriters with portions of the principal amount of the Global Notes; and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All interests in a Global Note, including those held through Euroclear or Clearstream, may be subject to the procedures and requirements of DTC. Those interests held through Euroclear or Clearstream may also be subject to the procedures and requirements of such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owners of an interest in the Global Notes will not have Notes registered in their names, will not receive physical delivery of Certificated Notes and will not be considered the registered owners or “holders” thereof under the applicable Indenture for any purpose. Payments in respect of the principal of, premium, if any, and interest on a Global Note registered in the name of DTC or its nominee will be payable to DTC in its capacity as the registered holder under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each Indenture, we and the Trustee will treat the persons in whose names the Notes, including the Global Notes, are registered as the owners of the Notes for the purpose of receiving payments and for all other purposes. Consequently, none of us, the Trustee or any agent of ours or the Trustee has or will have any responsibility or liability for: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r>
        <mc:AlternateContent>
          <mc:Choice Requires="wps">
            <w:drawing>
              <wp:anchor behindDoc="0" distT="10033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matter relating to the actions and practices of DTC or any of its participants or indirect participants. </w:t>
      </w:r>
      <w:r>
        <mc:AlternateContent>
          <mc:Choice Requires="wps">
            <w:drawing>
              <wp:anchor behindDoc="0" distT="10033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DTC’s current practice, at the due date of any payment in respect of securities such as the Notes, DTC will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of our or their respective agents will be liable for any delay by DTC or any of its participants in identifying the beneficial owners of the Notes, and we and the Trustee and our and their respective agents may conclusively rely on and will be protected in relying on instructions from DTC or its nominee for all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between participants in DTC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its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Euroclear and Clearstream have agreed to the foregoing procedures to facilitate transfers of interests in the Notes among participants in DTC, Euroclear and Clearstream, they are under no obligation to perform or to continue to perform such procedures and may discontinue such procedures at any time. None of us, the Trustee or any of our or their respective agents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in respect of each series of the Notes represented by the Global Notes (including principal, premium, if any, and interest) by wire transfer of immediately available funds to the account specified by the depositary. Any permitted secondary market trading activity in each series of the Notes will be required by DTC to be settled in immediately available funds. We expect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repay to us upon written request any funds held by them for payments on either series of the Notes that remains unclaimed for two years after the date upon which that payment has become due. After repayment to us, holders entitled to those funds must look only to us for payment. In that case, all liability of the Trustee or paying agent with respect to that money will cease.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upon surrender by DTC of the Global Notes if: (1) DTC (a) notifies us that it is unwilling or unable to continue as depositary for the Global Notes or (b) has ceased to be a clearing agency registered under the Exchange Act and in either event we fail to appoint a successor depositary within 90 days; (2) there has occurred and is continuing an event of default and DTC notifies the Trustee of its decision to exchange the Global Note for Certificated Notes; or (3) we determine not to have the Notes represented by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nor any of our or their respective agents will be liable for any delay by DTC or its nominee in identifying the holders of beneficial interests in the Global Notes, and each such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“Description of Debt Securities” in the accompanying prospectus for additional important information about the Notes, including general information about the Indentures, amendments and waivers to the Indentures and the Notes, permissible transfer of the Notes, defeasance, the governing law of the Indentures and the Notes, the Trustee, book-entry delivery and settlement of the Notes as well as a description of additional restrictions and covenants and the events of default under the Indentures.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MUFI"/>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are the material U.S. federal income tax consequences of owning and disposing of Notes that are purchased in this offering at the “issue price” of the applicable series, which is the first price at which a substantial amount of the Notes of the applicable series is sold to the public (excluding sales to bond houses, brokers or similar persons or organizations acting in the capacity of underwriters, placement agents or wholesalers), and are held as capital assets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describe all of the tax consequences that may be relevant to you in light of your particular circumstances, including alternative minimum tax consequences and differing tax consequences that may apply if you are, for instance: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2026 Notes;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institution;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or trader in securities that uses a mark-to-market method of tax accounting; </w:t>
      </w:r>
      <w:r>
        <mc:AlternateContent>
          <mc:Choice Requires="wps">
            <w:drawing>
              <wp:anchor behindDoc="0" distT="7239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holding Notes as part of a “straddle”, hedge, conversion or other integrated transaction; </w:t>
      </w:r>
      <w:r>
        <mc:AlternateContent>
          <mc:Choice Requires="wps">
            <w:drawing>
              <wp:anchor behindDoc="0" distT="7239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(as defined herein) whose functional currency is not the U.S. dollar;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partnership for U.S. federal income tax purposes; </w:t>
      </w:r>
      <w:r>
        <mc:AlternateContent>
          <mc:Choice Requires="wps">
            <w:drawing>
              <wp:anchor behindDoc="0" distT="7239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entity; or </w:t>
      </w:r>
      <w:r>
        <mc:AlternateContent>
          <mc:Choice Requires="wps">
            <w:drawing>
              <wp:anchor behindDoc="0" distT="7239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required for U.S. federal income tax purposes to conform the timing of income accruals with respect to the notes to its financial statements under Section 451 of the United States Internal Revenue Code of 1986, as amended to the date hereof (the “Code”). </w:t>
      </w:r>
      <w:r>
        <mc:AlternateContent>
          <mc:Choice Requires="wps">
            <w:drawing>
              <wp:anchor behindDoc="0" distT="7239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entity or arrangement treated as a partnership for U.S. federal income tax purposes, the U.S. federal income tax treatment of you and each of your partners will generally depend on the status and activities of you and your partners. If you are such an entity or arrangement treated as a partnership for U.S. federal income tax purposes, you should consult your tax advisor regarding the U.S. federal income tax considerations applicable to you and your partners relating to the ownership and disposition of a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on the Code, administrative pronouncements, judicial decisions and final, temporary and proposed Treasury Regulations, changes to any of which after the date of this prospectus supplement may affect the U.S. federal income tax consequences described herein, possibly on a retroactive basis. 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U.S. Holder. You are a U.S. Holder if for U.S. federal income tax purposes you are a beneficial owner of a Note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individual resident of the United States;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or organized in or under the laws of the United States, any state therein or the District of Columbia;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with respect to which a court within the United States is able to exercise primary supervision over its administration and one or more U.S. persons have the authority to control all of its substantial decisions or that has in effect a valid election under applicable Treasury Regulations to be treated as a U.S. person; or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Contingent Payments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circumstances in which we might be required to make payments on a Note that would increase the yield of the Note, for instance, as described under “Description of Notes — Purchase of Notes upon a Change of Control Repurchase Event” and “Description of Notes — Interest Rate Adjustment.” We intend to take the position that the possibility of such payments does not result in the Notes being treated as “contingent payment debt instruments” under the applicable Treasury Regulations. Our position is not binding on the Internal Revenue Service (“IRS”). If the IRS were to take a position contrary to that described above, you could be required to accrue interest income based upon a “comparable yield” ​(as defined in the Treasury Regulations) determined at the time of issuance of the Notes (which is not expected to differ significantly from the actual yield on the Notes), with adjustments to such accruals when any contingent payments were made that differ from the projected payments based on the comparable yield. In addition, any income on the sale, exchange or other taxable disposition of the Notes would be treated as ordinary income rather than as capital gain. You should consult your tax adviser regarding the tax consequences if the Notes were treated as contingent payment debt instruments. The remainder of this discussion assumes that the Notes are not treated as contingent payment debt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a Note will be taxable to you as ordinary interest income at the time it accrues or is received, in accordance with your method of accounting for U.S. federal income tax purposes. It is expected, and this discussion assumes, that each series of the Notes will be issued without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exchange or other taxable disposition of a Note, you will recognize taxable gain or loss equal to the difference between the amount realized on the sale, exchange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 Payments of Interest” above. Gain or loss realized on the sale, exchange or other taxable disposition of a Note will generally be capital gain or loss and will be long-term capital gain or loss if at the time of sale, exchange or other taxable disposition the Note has been held for more than one year. Long-term capital gains recognized by non-corporate U.S. Holders may be subject to reduced tax rates. The deductibility of capital losses is subject to limitations.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applies to you if you are a Non-U.S. Holder. You are a Non-U.S. Holder if for U.S. federal income tax purposes you are a beneficial owner of a Note that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alien individual; </w:t>
      </w:r>
      <w:r>
        <mc:AlternateContent>
          <mc:Choice Requires="wps">
            <w:drawing>
              <wp:anchor behindDoc="0" distT="7366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corporation; or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estate or trust.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Non-U.S. Holder if you are a nonresident alien individual present in the United States for 183 days or more in the taxable year of disposition of a Note, or if you are a former citizen or former resident of the United States, in either of which cases you should consult your tax adviser regarding the U.S. federal income tax consequences of owning and disposing of a Note.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under “Backup Withholding and Information Reporting” and “FATCA Legislation,” payments of principal and interest on the Notes will not be subject to U.S. federal income or withholding tax; provided that, in the case of interest: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own, actually or constructively, ten percent or more of the total combined voting power of all classes of stock of the Company entitled to vote;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related, directly or indirectly, to the Company through stock ownership; </w:t>
      </w:r>
      <w:r>
        <mc:AlternateContent>
          <mc:Choice Requires="wps">
            <w:drawing>
              <wp:anchor behindDoc="0" distT="0" distB="0" distL="254000" distR="0" simplePos="0" locked="0" layoutInCell="1" allowOverlap="1" relativeHeight="107">
                <wp:simplePos x="0" y="0"/>
                <wp:positionH relativeFrom="column">
                  <wp:align>left</wp:align>
                </wp:positionH>
                <wp:positionV relativeFrom="line">
                  <wp:posOffset>635</wp:posOffset>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certify on a properly executed IRS Form W-8BEN or W-8BEN-E (or other applicable form), under penalties of perjury, that you are not a United States person; and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is not effectively connected with your conduct of a trade or business in the United States as described below.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Treasury Regulations provide additional certification rules for a Note held through one or more intermediaries or pass-through entities. If you cannot satisfy one of the first three requirements described above and interest on the Notes is not exempt from withholding because it is effectively connected with your conduct of a trade or business in the United States (as described below), payments of interest on the Notes will generally be subject to withholding tax at a rate of 30%, or a lower rate specified by an applicable income tax treaty.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under “Backup Withholding and Information Reporting” and “FATCA Legislation,” you generally will not be subject to U.S. federal income or withholding tax on gain realized on a sale, exchange or other taxable disposition of Notes, unless the gain is effectively connected with your conduct of a trade or business in the United States, as described below, except that any amounts attributable to accrued but unpaid interest will be treated as described above under “— Payments on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Effectively Connected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U.S. federal income tax in the same manner as a U.S. Holder (see “Tax Consequences to U.S. Holders” above). In this case, you will be exempt from the withholding tax on interest discussed above, although you will be required to provide the appropriate documentation (generally, IRS Form W-8ECI) to the applicable withholding agent in order to claim an exemption from withholding. You should consult your tax adviser with respect to other U.S. tax consequences of the ownership and disposition of Notes, including the possible imposition of a branch profits tax at a rate of 30% (or a lower income tax treaty rate) if you are a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U.S. Holder, information returns are required to be filed with the IRS in connection with payments on the Notes and proceeds received from a sale or other disposition of the Notes unless you establish that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Non-U.S. Holder, information returns are required to be filed with the IRS in connection with payments of interest on your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your Notes or on the proceeds from a sale or other disposition of your Notes unless you comply with certification procedures to establish that you are not a United States person or otherwise establish an exemption. The certification procedures required to claim the exemption from withholding tax on interest described above will avoid backup withholding as well.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withheld under the backup withholding rules are not additional taxes and may be refunded or credited against your U.S. federal income tax liability, provided the required information is timely furnished to the 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 Legislation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Provisions of the Code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which is typically evidenced by delivery of a properly executed IRS Form W-8BEN-E. An intergovernmental agreement between the United States and an applicable foreign country may modify these requirements. Although existing FATCA regulations would also impose withholding on payments of gross proceeds from the sale or other disposition (including a retirement or redemption) of the Notes, regulations proposed by the U.S. Treasury Department (the preamble to which indicates that taxpayers may rely on the proposed regulations pending their finalization) would eliminate the requirement under FATCA of withholding on gross proceeds (other than payments of interest) of the disposition of the Notes.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COI"/>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J.P. Morgan Securities LLC, Citigroup Global Markets Inc. and Morgan Stanley &amp; Co. LLC are acting as representatives (the “Representatives”) of each of the underwriters. We and the Representatives have entered into an underwriting agreement (the “Underwriting Agreement”) with respect to the Notes. Subject to certain conditions, each underwriter has severally and not jointly agreed to purchase the principal amount of Notes as indicated in the following table. </w:t>
      </w:r>
    </w:p>
    <w:tbl>
      <w:tblPr>
        <w:tblW w:w="8095" w:type="dxa"/>
        <w:jc w:val="left"/>
        <w:tblInd w:w="1393" w:type="dxa"/>
        <w:tblLayout w:type="fixed"/>
        <w:tblCellMar>
          <w:top w:w="0" w:type="dxa"/>
          <w:left w:w="0" w:type="dxa"/>
          <w:bottom w:w="43" w:type="dxa"/>
          <w:right w:w="0" w:type="dxa"/>
        </w:tblCellMar>
      </w:tblPr>
      <w:tblGrid>
        <w:gridCol w:w="3945"/>
        <w:gridCol w:w="109"/>
        <w:gridCol w:w="109"/>
        <w:gridCol w:w="109"/>
        <w:gridCol w:w="226"/>
        <w:gridCol w:w="1366"/>
        <w:gridCol w:w="109"/>
        <w:gridCol w:w="109"/>
        <w:gridCol w:w="109"/>
        <w:gridCol w:w="109"/>
        <w:gridCol w:w="226"/>
        <w:gridCol w:w="1306"/>
        <w:gridCol w:w="109"/>
        <w:gridCol w:w="154"/>
      </w:tblGrid>
      <w:tr>
        <w:trPr/>
        <w:tc>
          <w:tcPr>
            <w:tcW w:w="3945" w:type="dxa"/>
            <w:tcBorders>
              <w:bottom w:val="single" w:sz="2" w:space="0" w:color="000000"/>
            </w:tcBorders>
            <w:vAlign w:val="center"/>
          </w:tcPr>
          <w:p>
            <w:pPr>
              <w:pStyle w:val="TableContents"/>
              <w:bidi w:val="0"/>
              <w:spacing w:before="0" w:after="0"/>
              <w:jc w:val="left"/>
              <w:rPr/>
            </w:pPr>
            <w:r>
              <w:rPr>
                <w:spacing w:val="-3"/>
              </w:rPr>
              <w:t>Underwriters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w:t>
            </w:r>
            <w:r>
              <w:rPr/>
              <w:t xml:space="preserve"> </w:t>
              <w:br/>
            </w:r>
            <w:r>
              <w:rPr>
                <w:spacing w:val="-3"/>
              </w:rPr>
              <w:t>of 2029 Notes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Amount</w:t>
            </w:r>
            <w:r>
              <w:rPr/>
              <w:t xml:space="preserve"> </w:t>
              <w:br/>
            </w:r>
            <w:r>
              <w:rPr>
                <w:spacing w:val="-3"/>
              </w:rPr>
              <w:t>of 2032 Notes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123,000,000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82,000,000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99,000,000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66,000,000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99,000,000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66,000,000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Scotia Capital (USA)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37,500,000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25,000,000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37,500,000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BBVA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21,000,000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21,000,000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Santander US Capital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21,000,000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14,000,000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TD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21,000,000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14,000,000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15,000,000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10,000,000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Lloyds Securities Inc.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 xml:space="preserve">15,000,000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 xml:space="preserve">10,000,000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600,000,000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400,000,000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committed to take and pay for all of each series of the Notes being offered, if any are taken. The initial offering price for each series of the Notes offered hereby is set forth on the cover page of this prospectus supplement. After the Notes offered hereby are released for sale, the underwriters may change the applicable offering price and other selling terms. The offering of each series of the Notes by the underwriters is subject to receipt and acceptance and subject to the underwriters’ right to reject any order in whole or in part. The underwriters may offer and sell each series of the Notes through certain of their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propose to offer each series of the Notes directly to the public at the initial public offering price set forth on the cover page of this prospectus supplement and to certain dealers at that price less a concession not in excess of 0.250% of the principal amount of the 2029 Notes and 0.400% of the principal amount of the 2032 Notes. Any such dealers may resell either series of the Notes to certain other brokers or dealers at a discount of up to 0.150% of the principal amount of the 2029 Notes and 0.250% of the principal amount of the 2032 Notes. After the initial public offering of the Notes, the underwriters may change the applicable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that we are to pay to the underwriters in connection with this offering (expressed as a percentage of the principal amount of each series of the Notes). </w:t>
      </w:r>
    </w:p>
    <w:tbl>
      <w:tblPr>
        <w:tblW w:w="3446" w:type="dxa"/>
        <w:jc w:val="left"/>
        <w:tblInd w:w="1393" w:type="dxa"/>
        <w:tblLayout w:type="fixed"/>
        <w:tblCellMar>
          <w:top w:w="0" w:type="dxa"/>
          <w:left w:w="0" w:type="dxa"/>
          <w:bottom w:w="28" w:type="dxa"/>
          <w:right w:w="0" w:type="dxa"/>
        </w:tblCellMar>
      </w:tblPr>
      <w:tblGrid>
        <w:gridCol w:w="1593"/>
        <w:gridCol w:w="109"/>
        <w:gridCol w:w="109"/>
        <w:gridCol w:w="138"/>
        <w:gridCol w:w="138"/>
        <w:gridCol w:w="1067"/>
        <w:gridCol w:w="138"/>
        <w:gridCol w:w="154"/>
      </w:tblGrid>
      <w:tr>
        <w:trPr/>
        <w:tc>
          <w:tcPr>
            <w:tcW w:w="1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Paid by </w:t>
            </w:r>
            <w:r>
              <w:rPr/>
              <w:br/>
            </w:r>
            <w:r>
              <w:rPr>
                <w:spacing w:val="-3"/>
              </w:rPr>
              <w:t xml:space="preserve">Kyndryl </w:t>
            </w:r>
            <w:r>
              <w:rPr/>
              <w:br/>
            </w:r>
            <w:r>
              <w:rPr>
                <w:spacing w:val="-3"/>
              </w:rPr>
              <w:t xml:space="preserve">Holdings, Inc.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3" w:type="dxa"/>
            <w:tcBorders/>
            <w:shd w:fill="CCEEFF" w:val="clear"/>
            <w:tcMar>
              <w:bottom w:w="0" w:type="dxa"/>
            </w:tcMar>
            <w:vAlign w:val="center"/>
          </w:tcPr>
          <w:p>
            <w:pPr>
              <w:pStyle w:val="TableContents"/>
              <w:bidi w:val="0"/>
              <w:spacing w:before="0" w:after="0"/>
              <w:jc w:val="left"/>
              <w:rPr>
                <w:spacing w:val="4"/>
              </w:rPr>
            </w:pPr>
            <w:r>
              <w:rPr>
                <w:spacing w:val="4"/>
              </w:rPr>
              <w:t xml:space="preserve">Per 2029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0.400%</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0.650%</w:t>
            </w:r>
          </w:p>
        </w:tc>
        <w:tc>
          <w:tcPr>
            <w:tcW w:w="13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other than the underwriting discounts, will be approximately $3.5 million and will be payable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their affiliates and each person, if any, who controls an underwriter within the meaning of either Section 15 of the Securities Act or the Exchange Act, against certain liabilities, including liabilities under the Securities Act, and to contribute to payments the underwriters may be required to make in respect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in the Underwriting Agreement that, during the period beginning from the date of the Underwriting Agreement and continuing through the closing date for this offering, we have agreed to not, without the prior written consent of the Representatives, offer, sell, contract to sell or otherwise dispose of any debt securities issued or guaranteed by the Company and having a tenor of more than one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Issue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constitute a new class of securities with no established trading market. In addition, we have not applied and do not intend to apply to list either series of the Notes on any securities exchange or to have them quoted on a quotation system. Certain of the underwriters have advised us that they intend to make a market in the Notes. However, they are not obligated to do so and may discontinue any market-making at any time in their sole discretion. Therefore, we cannot assure you that a liquid trading market for either series of the Notes will develop, that you will be able to sell your respective Notes at a particular time or that the price you receive when you sell will be favorable.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and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may purchase and sell either series of the Notes in the open market. These transactions may include short sales, stabilizing transactions and purchases to cover positions created by short sales. Short sales involve the sale by the underwriters of a greater number of either series of the Notes than they are required to purchase in the offering. Stabilizing transactions consist of certain bids or purchases made for the purpose of preventing or retarding a decline in the market price of either series of the Notes while the offering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as well as other purchases by the underwriters for their own accounts, may stabilize, maintain or otherwise affect the market price of either series of the Notes. As a result, the price of either series of the Notes may be higher than the price that otherwise might exist in the open market. If these activities are commenced, they may be discontinued by the underwriters at any time. These transactions may be effected in the over-the-counter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affiliates are lenders under our Revolving Credit Agreement and may own a portion of our 2026 Notes. As a result of the intended use of net proceeds of this offering to repay at maturity our 2026 Notes and to repay amounts outstanding under our Revolving Credit Agreement, such underwriters or their affiliates may receive at least 5% of the net proceeds of this offering. The receipt of at least 5% of the net proceeds of this offering by any underwriter or its affiliates would be considered a “conflict of interest” under FINRA Rule 5121 for such underwriters. Consequently, this offering will be conducted in accordance with the applicable requirements of FINRA Rule 5121. Rule 5121 requires prominent disclosure of the nature of the conflict of interest in the prospectus supplement for the public offering. Pursuant to Rule 5121(a)(1)(C), the appointment of a qualified independent underwriter is not necessary in connection with this offering as the securities offered are investment grade rated.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various financial advisory and/or investment banking services for us, for which they received customary fees and expenses. In addition, certain of the underwriters and their respective affiliates may in the future perform various financial advisory and/or investment banking services for us, for which they will receive customary fees and expenses.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investments and securities activities may involve securities or instruments of ours or our affiliates. Certain of the underwriters or their respective affiliates are arrangers, lenders or agents under our Revolving Credit Agreement and may receive customary fees in connection with their commitments thereunder. To the extent that a portion of the net proceeds of this offering is used to repay amounts outstanding under our Revolving Credit Agreement, such underwriters or their affiliates would receive a portion of those net proceeds. See “Use of Proceeds.”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the future trading prices of either series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September 28, 2026, which will be the second business day following the date of pricing of the Notes (such settlement cycle being herein referred to as “T+2”). Under Rule 15c6-1 under the Exchange Act, trades in the secondary market generally are required to settle in one business day, unless the parties to any such trade expressly agree otherwise. Accordingly, purchasers who wish to trade Notes prior to the business day preceding the settlement date will be required, by virtue of the fact that the Notes initially will settle T+2, to specify an alternate settlement cycle at the time of any such trade to prevent a failed settlement. Purchasers of Notes who wish to trade Notes prior to the business day preceding the settlement date should consult their own advisor.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and the accompanying prospectus do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prospectus supplement and the accompanying prospectus nor any other offering material or advertisement relating to the Notes may be distributed or published in Australia unless, in each case: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9906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10033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10033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Australian Securities Exchange. </w:t>
      </w:r>
      <w:r>
        <mc:AlternateContent>
          <mc:Choice Requires="wps">
            <w:drawing>
              <wp:anchor behindDoc="0" distT="10033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resale of the Notes offered hereby must be made in accordance with an exemption from, or in a transaction not subject to, the prospectus requirements of applicable Canadian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Dubai International Financial Centre (“DIFC”)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offered hereby which are or are intended to be disposed of only to persons outside Hong Kong or only to “professional investors” in Hong Kong as defined in the Securities and Futures Ordinance and any rules made thereunder. The contents of this prospectus supplement and the accompanying prospectus have not been reviewed by any regulatory authority in Hong Kong. You are advised to exercise caution in relation to the offer. If you are in doubt about any of the contents of this prospectus supplement and the accompanying prospectus, you should obtain independent professional advice.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pursuant to Article 4, Paragraph 1 of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the accompanying prospectus nor any other offering or marketing material relating to the Notes or the offering should be construed in any way as our (or any of our affiliates or agents) soliciting investment or offering to sell the Notes in the Republic of Korea (“Korea”). We are not making any representation with respect to the eligibility of any recipients of this prospectus supplement, the accompanying prospectus nor any other offering or marketing material relating to the Notes or the offering to acquire the Notes under the laws of Korea, including, without limitation, the Financial Investment Services and Capital Markets Act (the “FSCMA”), the Foreign Exchange Transaction Act (the “FETA”), and any regulations thereunder. The Notes have not been registered with the Financial Services Commission of Korea in any way pursuant to the FSCMA, and the Notes may not be offered, sold or delivered, or offered or sold to any person for reoffering or resale, directly or indirectly, in Korea or to any resident of Korea except pursuant to applicable laws and regulations of Korea. Furthermore, the Notes may not be resold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Korean resident unless such Korean resident as the purchaser of the resold Notes complies with all applicable regulatory requirements (including, without limitation, reporting or approval requirements under the FETA and regulations thereunder) relating to the purchase of the resold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Luxembourg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approved by and will not be submitted for approval to the Luxembourg Securities regulator (“CSSF”) for purposes of a public offering or sale in Luxembourg. Accordingly, the Notes may not be offered or sold to the public in Luxembourg, directly or indirectly, and neither this prospectus supplement and the accompanying prospectus nor any other circular, prospectus, form of application, advertisement or other material may be distributed, or otherwise made available in or from, or published in, Luxembourg except in circumstances which do not constitute a public offer of securities to the public, subject to prospectus requirements, in accordance with the Luxembourg law implementing the Prospectus Directive.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have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Singapore Securities and Futures Act Product Classification</w:t>
      </w:r>
      <w:r>
        <w:rPr>
          <w:rFonts w:ascii="Times New Roman;Times;serif" w:hAnsi="Times New Roman;Times;serif"/>
          <w:b w:val="false"/>
          <w:i w:val="false"/>
          <w:caps w:val="false"/>
          <w:smallCaps w:val="false"/>
          <w:color w:val="000000"/>
          <w:spacing w:val="4"/>
          <w:sz w:val="20"/>
        </w:rPr>
        <w:t xml:space="preserve">:   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Slovakia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and the Indentures governing such Notes are governed by the laws of the State of New York, the Issuer is not an entity established and existing under Slovak law and the Notes offered hereby will be issued only outside the Slovak Republic.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are not governed by the Slovak Act No. 530/1990 Coll., on bonds, as amended and Slovak Act No. 566/2001 Coll., on Securities, as amended (jointly the “Slovak Acts”).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 permit for the issuance of the Notes offered hereby has been obtained under the Slovak Acts. Furthermore, no other action has been taken, including the obtaining of any approval from the National Bank of Slovakia under the Slovak 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may not be offered, transferred or sold in the Slovak Republic as part of their initial distribution. Following the initial distribution, the Notes offered hereby may not be offered to the public in the Slovak Republic except in reliance on one or more exemptions from the obligation to publish a prospectus under Slovak Act No. 566/2001 Coll., Securities Act, as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or any other regulatory authority of Taiwan pursuant to relevant securities laws and regulations and may not be sold, issued or offered within Taiwan through a public offering or in circumstances which constitute an offer within the meaning of the Securities and Exchange Act of Taiwan or relevant laws and regulations that require a registration, filing or approval of the Financial Supervisory Commission of Taiwan or other regulatory authority of Taiwan. No person or entity in Taiwan has been authorized to offer, sell, give advice regarding or otherwise intermediate the offering or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supplement and the accompanying prospectus do not constitute a public offer of securities in the United Arab Emirates (including the DIFC) and is not intended to be a public offer. This prospectus supplement and the accompanying prospectus have not been approved by or filed with the Central Bank of the United Arab Emirates, the Securities and Commodities Authority or the DFSA.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 purposes of this provision: (a) the expression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Public Offers and Admissions to Trading Regulations 2024 (“POATRs”); and (b) the expression “offer” includes the communication in any form and by any means of sufficient information on the terms of the offer and the Notes to be offered so as to enable an investor to decide to buy or subscribe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the U.K. will be made pursuant to an exception from the prohibition on offers of Notes to the public under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any other material in relation to the Notes described herein are being distributed only to, and are directed only at, persons outside the United Kingdom or, if in the United Kingdom, persons who are “qualified investors” ​(as defined in the UK Prospectus Regulation) who are (i) persons having professional experience in matters relating to investments falling within Article 19(5) of the Financial Services and Markets Act 2000 (Financial Promotion) Order 2005 (as amended, the “Order”), or (ii) high-net-worth entities falling within Article 49(2)(a) to (d) of the Order, or (iii) persons to whom it would otherwise be lawful to distribute them, all such persons together being referred to as “Relevant Persons.” This prospectus supplement must not be acted on or relied on in the UK by persons who are not relevant persons. In the UK, any investment or investment activity to which this prospectus supplement relates is only available to, and will be engaged in only with, Relevant Persons. Any person in the United Kingdom that is not a Relevant Person should not act or rely on this prospectus supplement or the accompanying prospectus or any of their contents. This prospectus supplement and its contents should not be distributed, published or reproduced (in whole or in part) or disclosed by any recipients to any other person in the United Kingdom.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WYCF"/>
      <w:bookmarkEnd w:id="16"/>
      <w:r>
        <w:rPr>
          <w:rFonts w:ascii="calibri;arial;sans-serif" w:hAnsi="calibri;arial;sans-serif"/>
          <w:b w:val="false"/>
          <w:i w:val="false"/>
          <w:caps w:val="false"/>
          <w:smallCaps w:val="false"/>
          <w:color w:val="000000"/>
          <w:sz w:val="16"/>
        </w:rPr>
        <w:t>​</w:t>
      </w:r>
      <w:bookmarkStart w:id="17" w:name="sIIBR"/>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with respect to the legality of the Notes offered hereby will be passed upon for us by Willkie Farr &amp; Gallagher LLP, New York, New York. Certain legal matters with respect to the offering will be passed upon for the underwriters by Cravath, Swaine &amp; Moore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March 31, 2026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that we filed with the SEC. The registration statement, including the attached exhibits, contains additional relevant information about us. The rules of the SEC allow us to omit from this prospectus supplement some of the information included in the registration statement. This information may be found on the SEC’s Internet site, http://www.sec.gov, which contains reports, proxy and information statements and other information regarding issuers that are subject to the SEC’s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We fulfill our obligations with respect to such requirements by filing periodic reports and other information with the SEC. These reports and other information are available as provided above.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information Kyndryl files with it, which means that we can disclose important information to you by referring you to those documents. The information incorporated by reference is an important part of this prospectus supplement, and information that Kyndryl files later with the SEC will automatically update and supersede this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all documents subsequently filed with the SEC pursuant to Section 13(a), 13(c), 14, or 15(d) of the Exchange Act prior to the termination of the offering under this prospectus supplement provided, however, that we are not incorporating any information furnished under either Item 2.02 or Item 7.01 or any related exhibit furnished under Item 9.01(d) of any Current Report on Form 8-K unless, and except to the extent, specified in any such Current Report on Form 8-K: </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Annual </w:t>
      </w:r>
      <w:hyperlink r:id="rId4">
        <w:r>
          <w:rPr>
            <w:rStyle w:val="InternetLink"/>
          </w:rPr>
          <w:t>Report on Form 10-K for the fiscal year ended March 31, 2026</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5">
        <w:r>
          <w:rPr>
            <w:rStyle w:val="InternetLink"/>
          </w:rPr>
          <w:t>Definitive Proxy Statement on Schedule 14A filed with the SEC on June 16, 2026</w:t>
        </w:r>
      </w:hyperlink>
      <w:r>
        <w:rPr>
          <w:rFonts w:ascii="Times New Roman;Times;serif" w:hAnsi="Times New Roman;Times;serif"/>
          <w:b w:val="false"/>
          <w:i w:val="false"/>
          <w:caps w:val="false"/>
          <w:smallCaps w:val="false"/>
          <w:color w:val="000000"/>
          <w:spacing w:val="4"/>
          <w:sz w:val="20"/>
        </w:rPr>
        <w:t xml:space="preserve"> incorporated by reference into our Annual Report on Form 10-K); </w:t>
      </w:r>
      <w:r>
        <mc:AlternateContent>
          <mc:Choice Requires="wps">
            <w:drawing>
              <wp:anchor behindDoc="0" distT="10033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Quarterly Reports on Form 10-Q for the quarterly period ended June 30, 2026, filed with the SEC on </w:t>
      </w:r>
      <w:hyperlink r:id="rId6">
        <w:r>
          <w:rPr>
            <w:rStyle w:val="InternetLink"/>
          </w:rPr>
          <w:t>August 5,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033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58"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Current Reports on Form 8-K filed with the SEC on </w:t>
      </w:r>
      <w:hyperlink r:id="rId7">
        <w:r>
          <w:rPr>
            <w:rStyle w:val="InternetLink"/>
          </w:rPr>
          <w:t>May 6, 2026</w:t>
        </w:r>
      </w:hyperlink>
      <w:r>
        <w:rPr>
          <w:rFonts w:ascii="Times New Roman;Times;serif" w:hAnsi="Times New Roman;Times;serif"/>
          <w:b w:val="false"/>
          <w:i w:val="false"/>
          <w:caps w:val="false"/>
          <w:smallCaps w:val="false"/>
          <w:color w:val="000000"/>
          <w:spacing w:val="4"/>
          <w:sz w:val="20"/>
        </w:rPr>
        <w:t xml:space="preserve"> (only with respect to the Item 2.05 information), </w:t>
      </w:r>
      <w:hyperlink r:id="rId8">
        <w:r>
          <w:rPr>
            <w:rStyle w:val="InternetLink"/>
          </w:rPr>
          <w:t>July 6, 2026</w:t>
        </w:r>
      </w:hyperlink>
      <w:r>
        <w:rPr>
          <w:rFonts w:ascii="Times New Roman;Times;serif" w:hAnsi="Times New Roman;Times;serif"/>
          <w:b w:val="false"/>
          <w:i w:val="false"/>
          <w:caps w:val="false"/>
          <w:smallCaps w:val="false"/>
          <w:color w:val="000000"/>
          <w:spacing w:val="4"/>
          <w:sz w:val="20"/>
        </w:rPr>
        <w:t xml:space="preserve"> (only with respect to the Item 5.02 information), and </w:t>
      </w:r>
      <w:hyperlink r:id="rId9">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a copy of this prospectus supplement is delivered, upon written or oral request of such person, a copy of any or all of the documents referred to above which have been or may be incorporated by reference in this prospectus supplement. You should direct requests for those documents to Kyndryl Holdings, Inc., One Vanderbilt Avenue, 15th Floor, New York, NY 10017, Attention: Investor Relations (telephone: (855) 596-3795). The incorporated materials may also be found on the Investor Relations portion of our website at investors.kyndryl.com. Our website and the information contained in it or connected to it shall not be deemed to be incorporated into this prospectus supplement, the prospectus or the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05000" cy="609600"/>
            <wp:effectExtent l="0" t="0" r="0" b="0"/>
            <wp:docPr id="1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 descr=""/>
                    <pic:cNvPicPr>
                      <a:picLocks noChangeAspect="1" noChangeArrowheads="1"/>
                    </pic:cNvPicPr>
                  </pic:nvPicPr>
                  <pic:blipFill>
                    <a:blip r:embed="rId10"/>
                    <a:stretch>
                      <a:fillRect/>
                    </a:stretch>
                  </pic:blipFill>
                  <pic:spPr bwMode="auto">
                    <a:xfrm>
                      <a:off x="0" y="0"/>
                      <a:ext cx="1905000" cy="6096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Holdings, Inc. may offer debt securities from time to time. Each of the securities registered hereby will be issued on terms to be determined at the time of the offering of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a prospectus supplement each time we sell debt securities, which will inform you about the specific terms of that offering and may also supplement, update or amend information contained in this document. You should read this prospectus and the applicable prospectus supplement carefully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yet determined whether any of the debt securities that may be offered by this prospectus will be listed on any exchange, inter-dealer quotation system or over-the-counter market. If we decide to seek the listing of any such debt securities upon issuance, the prospectus supplement relating to those debt securities will disclose the exchange, quotation system or market on which the debt securities will be listed.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these debt securities involves certain risks. See “Risk Factors” beginning on page </w:t>
      </w:r>
      <w:r>
        <w:fldChar w:fldCharType="begin"/>
      </w:r>
      <w:r>
        <w:rPr>
          <w:rStyle w:val="InternetLink"/>
        </w:rPr>
        <w:instrText xml:space="preserve"> HYPERLINK "https://www.sec.gov/Archives/edgar/data/1867072/000155837023010545/kd-20230331x10k.htm" \l "ITEM1ARISKFACTORS"</w:instrText>
      </w:r>
      <w:r>
        <w:rPr>
          <w:rStyle w:val="InternetLink"/>
        </w:rPr>
        <w:fldChar w:fldCharType="separate"/>
      </w:r>
      <w:r>
        <w:rPr>
          <w:rStyle w:val="InternetLink"/>
        </w:rPr>
        <w:t>15</w:t>
      </w:r>
      <w:r>
        <w:rPr>
          <w:rStyle w:val="InternetLink"/>
        </w:rPr>
        <w:fldChar w:fldCharType="end"/>
      </w:r>
      <w:r>
        <w:rPr>
          <w:rFonts w:ascii="Times New Roman;Times;serif" w:hAnsi="Times New Roman;Times;serif"/>
          <w:b/>
          <w:i w:val="false"/>
          <w:caps w:val="false"/>
          <w:smallCaps w:val="false"/>
          <w:color w:val="000000"/>
          <w:spacing w:val="-4"/>
          <w:sz w:val="20"/>
        </w:rPr>
        <w:t xml:space="preserve"> of </w:t>
      </w:r>
      <w:hyperlink r:id="rId11">
        <w:r>
          <w:rPr>
            <w:rStyle w:val="InternetLink"/>
          </w:rPr>
          <w:t>our annual report on Form 10-K for the fiscal year ended March 31, 2023,</w:t>
        </w:r>
      </w:hyperlink>
      <w:r>
        <w:rPr>
          <w:rFonts w:ascii="Times New Roman;Times;serif" w:hAnsi="Times New Roman;Times;serif"/>
          <w:b/>
          <w:i w:val="false"/>
          <w:caps w:val="false"/>
          <w:smallCaps w:val="false"/>
          <w:color w:val="000000"/>
          <w:spacing w:val="-4"/>
          <w:sz w:val="20"/>
        </w:rPr>
        <w:t xml:space="preserve"> which is incorporated by reference herein, and “Risk Factors” in any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may offer and sell these debt securities to or through one or more underwriters, dealers or agents, or directly to investors, on a continuous or delayed basis.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applicable prospectus supplement will provide the names of any underwriters, dealers or agents, the specific terms of the plan of distribution and any applicable underwriting discounts and commissions.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January 26,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3"/>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3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any information other than that contained or incorporated by reference in this prospectus, in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debt securities in any state where the offer is not permitted. You should not assume that the information contained in or incorporated by reference in this prospectus, any prospectus supplement, any free writing prospectus or any document incorporated by reference is accurate as of any date other than their respective dates. The terms “we,” “us,” and “our” refer to Kyndryl Holdings, Inc. and its consolidated subsidiaries. We use the term “Kyndryl” to refer specifically to Kyndryl Holdings, Inc. as the public reporting company. </w:t>
      </w:r>
    </w:p>
    <w:p>
      <w:pPr>
        <w:pStyle w:val="TextBody"/>
        <w:bidi w:val="0"/>
        <w:spacing w:lineRule="atLeast" w:line="240" w:before="4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772" w:type="dxa"/>
        <w:jc w:val="left"/>
        <w:tblInd w:w="1393" w:type="dxa"/>
        <w:tblLayout w:type="fixed"/>
        <w:tblCellMar>
          <w:top w:w="0" w:type="dxa"/>
          <w:left w:w="0" w:type="dxa"/>
          <w:bottom w:w="28" w:type="dxa"/>
          <w:right w:w="0" w:type="dxa"/>
        </w:tblCellMar>
      </w:tblPr>
      <w:tblGrid>
        <w:gridCol w:w="4663"/>
        <w:gridCol w:w="109"/>
        <w:gridCol w:w="109"/>
        <w:gridCol w:w="109"/>
        <w:gridCol w:w="109"/>
        <w:gridCol w:w="410"/>
        <w:gridCol w:w="109"/>
        <w:gridCol w:w="154"/>
      </w:tblGrid>
      <w:tr>
        <w:trPr/>
        <w:tc>
          <w:tcPr>
            <w:tcW w:w="46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KHI">
              <w:r>
                <w:rPr>
                  <w:rStyle w:val="InternetLink"/>
                  <w:spacing w:val="4"/>
                </w:rPr>
                <w:t xml:space="preserve">Kyndryl Holdings,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KHI">
              <w:r>
                <w:rPr>
                  <w:rStyle w:val="InternetLink"/>
                  <w:spacing w:val="4"/>
                </w:rPr>
                <w:t>1</w:t>
              </w:r>
            </w:hyperlink>
            <w:hyperlink w:anchor="tKH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SNOF">
              <w:r>
                <w:rPr>
                  <w:rStyle w:val="InternetLink"/>
                  <w:spacing w:val="4"/>
                </w:rPr>
                <w:t xml:space="preserve">Special Note on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NOF">
              <w:r>
                <w:rPr>
                  <w:rStyle w:val="InternetLink"/>
                  <w:spacing w:val="4"/>
                </w:rPr>
                <w:t>3</w:t>
              </w:r>
            </w:hyperlink>
            <w:hyperlink w:anchor="t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6</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7</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14</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3" w:type="dxa"/>
            <w:tcBorders/>
            <w:shd w:fill="CCEEFF" w:val="clear"/>
            <w:tcMar>
              <w:bottom w:w="0" w:type="dxa"/>
            </w:tcMar>
            <w:vAlign w:val="center"/>
          </w:tcPr>
          <w:p>
            <w:pPr>
              <w:pStyle w:val="TableContents"/>
              <w:bidi w:val="0"/>
              <w:spacing w:before="0" w:after="0"/>
              <w:jc w:val="left"/>
              <w:rPr/>
            </w:pPr>
            <w:hyperlink w:anchor="tVODS">
              <w:r>
                <w:rPr>
                  <w:rStyle w:val="InternetLink"/>
                  <w:spacing w:val="4"/>
                </w:rPr>
                <w:t xml:space="preserve">Validity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VODS">
              <w:r>
                <w:rPr>
                  <w:rStyle w:val="InternetLink"/>
                  <w:spacing w:val="4"/>
                </w:rPr>
                <w:t>15</w:t>
              </w:r>
            </w:hyperlink>
            <w:hyperlink w:anchor="tV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KHI"/>
      <w:bookmarkEnd w:id="19"/>
      <w:r>
        <w:rPr>
          <w:rFonts w:ascii="calibri;arial;sans-serif" w:hAnsi="calibri;arial;sans-serif"/>
          <w:b w:val="false"/>
          <w:i w:val="false"/>
          <w:caps w:val="false"/>
          <w:smallCaps w:val="false"/>
          <w:color w:val="000000"/>
          <w:sz w:val="16"/>
        </w:rPr>
        <w:t>​</w:t>
      </w:r>
      <w:bookmarkStart w:id="20" w:name="tATP"/>
      <w:bookmarkEnd w:id="20"/>
      <w:r>
        <w:rPr>
          <w:rFonts w:ascii="calibri;arial;sans-serif" w:hAnsi="calibri;arial;sans-serif"/>
          <w:b w:val="false"/>
          <w:i w:val="false"/>
          <w:caps w:val="false"/>
          <w:smallCaps w:val="false"/>
          <w:color w:val="000000"/>
          <w:sz w:val="16"/>
        </w:rPr>
        <w:t>​</w:t>
      </w:r>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KYNDRYL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Holdings, Inc. and its consolidated subsidiaries (“Kyndryl” or the “Company”) is a leading technology services company and the largest IT infrastructure services provider in the world, serving thousands of enterprise customers and with operations in over 60 countries. We have a long track record of helping enterprises navigate major technological changes, particularly by enabling our customers to focus on the core aspects of their businesses during these shifts while trusting us with their most critical systems. 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One Vanderbilt Avenue, 15th Floor, New York, New York 10017, and our telephone number is (212) 896-2098. We maintain a website at www.kyndryl.com where general information about us is available. We are not incorporating the contents of the website into this prospectus or any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utilizing a “shelf” registration process. Under this shelf process, we may sell the debt securities described in this prospectus in one or more offerings. This prospectus provides you with a general description of the debt securities we may offer. Each time we sell debt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Kyndryl files annual, quarterly and current reports, proxy statements and other information with the SEC. The SEC maintains an Internet site, http://www.sec.gov, from which interested persons can electronically access our SEC filings, including the registration statement and the exhibits and schedules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information Kyndryl files with it, which means that we can disclose important information to you by referring you to those documents. The information incorporated by reference is an important part of this prospectus, and information that Kyndryl files later with the SEC will automatically update and supersede this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all documents subsequently filed with the SEC pursuant to Section 13(a), 13(c), 14, or 15(d) of the Securities Exchange Act of 1934, as amended, prior to the termination of the offering under this prospectus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w:t>
      </w:r>
    </w:p>
    <w:p>
      <w:pPr>
        <w:pStyle w:val="TextBody"/>
        <w:bidi w:val="0"/>
        <w:spacing w:lineRule="atLeast" w:line="240" w:before="160" w:after="0"/>
        <w:ind w:left="2193" w:right="0" w:hanging="0"/>
        <w:jc w:val="left"/>
        <w:rPr/>
      </w:pPr>
      <w:hyperlink r:id="rId12">
        <w:r>
          <w:rPr>
            <w:rStyle w:val="InternetLink"/>
          </w:rPr>
          <w:t>Kyndryl’s 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(including the portions of our </w:t>
      </w:r>
      <w:hyperlink r:id="rId13">
        <w:r>
          <w:rPr>
            <w:rStyle w:val="InternetLink"/>
          </w:rPr>
          <w:t>Definitive Proxy Statement on Schedule 14A filed with the SEC on June 14, 2023</w:t>
        </w:r>
      </w:hyperlink>
      <w:r>
        <w:rPr>
          <w:rFonts w:ascii="Times New Roman;Times;serif" w:hAnsi="Times New Roman;Times;serif"/>
          <w:b w:val="false"/>
          <w:i w:val="false"/>
          <w:caps w:val="false"/>
          <w:smallCaps w:val="false"/>
          <w:color w:val="000000"/>
          <w:spacing w:val="4"/>
          <w:sz w:val="20"/>
        </w:rPr>
        <w:t xml:space="preserve"> incorporated by reference into our Annual Report on Form 10-K);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Quarterly Reports on Form 10-Q for the quarterly period ended June 30, 2023, filed with the SEC on </w:t>
      </w:r>
      <w:hyperlink r:id="rId14">
        <w:r>
          <w:rPr>
            <w:rStyle w:val="InternetLink"/>
          </w:rPr>
          <w:t>August 8, 2023,</w:t>
        </w:r>
      </w:hyperlink>
      <w:r>
        <w:rPr>
          <w:rFonts w:ascii="Times New Roman;Times;serif" w:hAnsi="Times New Roman;Times;serif"/>
          <w:b w:val="false"/>
          <w:i w:val="false"/>
          <w:caps w:val="false"/>
          <w:smallCaps w:val="false"/>
          <w:color w:val="000000"/>
          <w:spacing w:val="4"/>
          <w:sz w:val="20"/>
        </w:rPr>
        <w:t xml:space="preserve"> and for the quarterly period ended September 30, 2023, filed with the SEC on </w:t>
      </w:r>
      <w:hyperlink r:id="rId15">
        <w:r>
          <w:rPr>
            <w:rStyle w:val="InternetLink"/>
          </w:rPr>
          <w:t>November 8, 2023;</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Kyndryl’s Current Reports on Form 8-K filed with the SEC on </w:t>
      </w:r>
      <w:hyperlink r:id="rId16">
        <w:r>
          <w:rPr>
            <w:rStyle w:val="InternetLink"/>
          </w:rPr>
          <w:t>June 23, 2023</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July 31,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You should direct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those documents to Kyndryl Holdings, Inc., One Vanderbilt Avenue, 15th Floor, New York, NY 10017, Attention: Investor Relations (telephone: (212) 896-2098). The incorporated materials may also be found on the Investor Relations portion of our website at investors.kyndryl.com. Our website and the information contained in it or connected to it shall not be deemed to be incorporated into this prospectus or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SNO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ON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 and the documents incorporated by reference herein and therein contain “forward-looking statements” within the meaning of the Private Securities Litigation Reform Act of 1995. All statements other than statements of historical fact included in this prospectus, any accompanying prospectus supplement and the documents incorporated by reference herein and therein, including, without limitation, statements concerning the Company’s plans, objectives, goals, beliefs, business strategies, future events, business condition, results of operations, financial position, business outlook and business trends and other non-historical statements in this prospectus, any accompanying prospectus supplement and the documents incorporated by reference herein and therein are forward-looking statements. Such forward-looking statements often contain words such as “will,” “anticipate,” “predict,” “project,” “contemplate,” “plan,” “forecast,” “future,” “estimate,” “expect,” “intend,” “target,” “may,” “should,” “would,” “could,” “outlook,” “goal,” “objective,” “seek,” “aim,” “believe”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spin-off from our former parent company, International Business Machines Corporation; </w:t>
      </w:r>
      <w:r>
        <mc:AlternateContent>
          <mc:Choice Requires="wps">
            <w:drawing>
              <wp:anchor behindDoc="0" distT="7747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attract new customers, retain existing customers or sell additional services to customers;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developments and the Company’s response to such developments;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meet growth and productivity objectives;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competition;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impacts of relationships with critical suppliers and partners;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attract, retain and/or manage key personnel and other skilled employees;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local legal, economic, political, health and other conditions;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downturn in economic environment and customer spending budgets;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damage to the Company’s reputation;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accurately estimate the cost of services and the timeline for completion of contracts;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implementation of a new enterprise resource planning system and other systems and processes; </w:t>
      </w:r>
      <w:r>
        <mc:AlternateContent>
          <mc:Choice Requires="wps">
            <w:drawing>
              <wp:anchor behindDoc="0" distT="7747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delivery issues; </w:t>
      </w:r>
      <w:r>
        <mc:AlternateContent>
          <mc:Choice Requires="wps">
            <w:drawing>
              <wp:anchor behindDoc="0" distT="7747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successfully manage acquisitions, alliances and dispositions, including integration challenges, failure to achieve objectives, the assumption of liabilities and higher debt levels;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our business with government customers;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of the Company’s intellectual property rights to prevent competitive offerings and the failure of the Company to obtain necessary licenses;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impairment of our goodwill or long-lived assets;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cybersecurity and data privacy;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non-compliance with legal and regulatory requirements; </w:t>
      </w:r>
      <w:r>
        <mc:AlternateContent>
          <mc:Choice Requires="wps">
            <w:drawing>
              <wp:anchor behindDoc="0" distT="7620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effects from tax matters and environmental matters; </w:t>
      </w:r>
      <w:r>
        <mc:AlternateContent>
          <mc:Choice Requires="wps">
            <w:drawing>
              <wp:anchor behindDoc="0" distT="7620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and investigatory risks and potential indemnification obligations;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impact of changes in market liquidity conditions and customer credit risk on receivables;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pension plans;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currency fluctuations; and </w:t>
      </w:r>
      <w:r>
        <mc:AlternateContent>
          <mc:Choice Requires="wps">
            <w:drawing>
              <wp:anchor behindDoc="0" distT="0" distB="0" distL="254000" distR="0" simplePos="0" locked="0" layoutInCell="1" allowOverlap="1" relativeHeight="144">
                <wp:simplePos x="0" y="0"/>
                <wp:positionH relativeFrom="column">
                  <wp:align>left</wp:align>
                </wp:positionH>
                <wp:positionV relativeFrom="line">
                  <wp:posOffset>635</wp:posOffset>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Company’s securities and the securities market.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Additional risks and uncertainties include, among others, those risks and uncertainties described in the “Risk Factors” section beginning on page 15 of Kyndryl’s </w:t>
      </w:r>
      <w:hyperlink r:id="rId18">
        <w:r>
          <w:rPr>
            <w:rStyle w:val="InternetLink"/>
          </w:rPr>
          <w:t>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which is incorporated by reference herein, as such factors may be updated from time to time in the Company’s subsequent filings with the SEC, and the “Risk Factors” included in any prospectus supplement. Any forward-looking statement in this prospectus speaks only as of the date on which it is made. Except as required by law, the Company assumes no obligation to update or revise any forward-looking statements, whether as a result of new information, future events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RIFA"/>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debt securities involves significant risks. Before purchasing any debt securities, you should carefully consider and evaluate all of the information included and incorporated by reference or deemed to be incorporated by reference in this prospectus or the applicable prospectus supplement, including the risk factors incorporated by reference herein from </w:t>
      </w:r>
      <w:hyperlink r:id="rId19">
        <w:r>
          <w:rPr>
            <w:rStyle w:val="InternetLink"/>
          </w:rPr>
          <w:t>our 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as updated by annual, quarterly and other reports and documents we file with the SEC after the date of this prospectus and that are incorporated by reference herein or in the applicable prospectus supplement. Our business, results of operations or financial condition could be adversely affected by any of these risks or by additional risks and uncertainties not currently known to us or that we currently consider immaterial.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UO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the sale of the debt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of the debt securities provides certain general terms and provisions of the debt securities to which any prospectus supplement may relate. We will describe in any prospectus supplement the particular terms of the debt securities offered and the extent, if any, to which the general provisions apply to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any debt securities offered by this prospectus pursuant to an indenture (the “indenture”) dated as of October 15, 2021, between Kyndryl Holdings, Inc. and The Bank of New York Mellon Trust Company, N.A., as trustee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incorporated by reference as an exhibit to the registration statement to which this prospectus relates. The following summary of the indenture does not purport to be complete and is subject to, and qualified in its entirety by reference to,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describes debt securities we may issue from time to time under this prospectus. Modifications to these terms and/or additional terms will be provided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to be issued under the indenture will be our senior unsecured obligations and will rank on the same basis with all of our other senior unsecured indebtedness from time to time outstanding. Each series of debt securities will be a separate series of senior debt securities under the indenture. The indenture does not limit the aggregate principal amount of securities that may be issued under the indenture. Debt securities may be issued under the indenture as a single series or in two or more separate series up to the aggregate principal amount authorized by us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prospectus supplement relating to a particular series of debt securities for the terms of those debt securities, including, where applicable: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series of debt securities;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ranking of the specific series of debt securities relative to other outstanding indebtedness, including subsidiaries’ debt;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of the series of debt securities that may be authenticated and delivered under the indenture and any limitation on our ability to increase such aggregate principal amount after the initial issuance of the series of debt securities; </w:t>
      </w:r>
      <w:r>
        <mc:AlternateContent>
          <mc:Choice Requires="wps">
            <w:drawing>
              <wp:anchor behindDoc="0" distT="7747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of the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series of debt securities is payable (which date or dates may be fixed or extendible);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(which may be fixed or floating), if any, the method by which the rate or rates will be determined and the interest payment and regular record dates;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interest on the series of debt securities shall be payable;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redeem debt securities of the series, in whole or in part, at our option and the period or periods within which, the price or prices at which and any terms and conditions upon which debt securities of the series may be so redeemed, pursuant to any sinking fund or otherwise;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if any, to redeem, purchase or repay debt securities of the series pursuant to any mandatory redemption, sinking fund or analogous provisions or at the option of a holder thereof and the price or prices at which and the period or periods within which and any of the terms and conditions upon which debt securities of the series shall be redeemed, purchased or repaid, in whole or in part, pursuant to such obligation; </w:t>
      </w:r>
      <w:r>
        <mc:AlternateContent>
          <mc:Choice Requires="wps">
            <w:drawing>
              <wp:anchor behindDoc="0" distT="7747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$2,000 and any integral multiple of $1,000 in excess thereof, the denominations in which debt securities of the series shall be issuable;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thereof, the portion of the principal amount of debt securities of the series which shall be payable upon declaration of acceleration of the maturity thereof; </w:t>
      </w:r>
      <w:r>
        <mc:AlternateContent>
          <mc:Choice Requires="wps">
            <w:drawing>
              <wp:anchor behindDoc="0" distT="0" distB="0" distL="254000" distR="0" simplePos="0" locked="0" layoutInCell="1" allowOverlap="1" relativeHeight="156">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currency of the United States of America, the currency or currencies, including composite currencies, in which payment of the principal of and interest on the debt securities of the series shall be payable; </w:t>
      </w:r>
      <w:r>
        <mc:AlternateContent>
          <mc:Choice Requires="wps">
            <w:drawing>
              <wp:anchor behindDoc="0" distT="7239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will be issued in registered or bearer form (with or without coupons), or any combination of the foregoing; </w:t>
      </w:r>
      <w:r>
        <mc:AlternateContent>
          <mc:Choice Requires="wps">
            <w:drawing>
              <wp:anchor behindDoc="0" distT="7239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may be exchangeable for and/or convertible into common stock or any other security; </w:t>
      </w:r>
      <w:r>
        <mc:AlternateContent>
          <mc:Choice Requires="wps">
            <w:drawing>
              <wp:anchor behindDoc="0" distT="7239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on the debt securities of the series held by a person who is not a U.S. person in respect of any taxes; </w:t>
      </w:r>
      <w:r>
        <mc:AlternateContent>
          <mc:Choice Requires="wps">
            <w:drawing>
              <wp:anchor behindDoc="0" distT="7239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the series are to be issuable in definitive form (whether upon original issue or upon exchange of a temporary debt security of such series); </w:t>
      </w:r>
      <w:r>
        <mc:AlternateContent>
          <mc:Choice Requires="wps">
            <w:drawing>
              <wp:anchor behindDoc="0" distT="7239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trustees, depositaries, authenticating or paying agents, transfer agents or the registrar or any other agents with respect to the debt securities of the series; </w:t>
      </w:r>
      <w:r>
        <mc:AlternateContent>
          <mc:Choice Requires="wps">
            <w:drawing>
              <wp:anchor behindDoc="0" distT="7239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if any, for the defeasance of the debt securities of the series (including provisions permitting defeasance of less than all debt securities of the series); </w:t>
      </w:r>
      <w:r>
        <mc:AlternateContent>
          <mc:Choice Requires="wps">
            <w:drawing>
              <wp:anchor behindDoc="0" distT="7239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the series are issuable in whole or in part in global form, the identity of the depositary or common depositary for such debt securities in global form;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Events of Default or covenants with respect to the debt securities of the series; and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of the series.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Original Issue Discount Securities, we will also describe in the applicable prospectus supplement the U.S. federal income tax consequences and other special considerations applicable to those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none of our subsidiaries will guarantee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debt securities, create and issue additional debt securities having the same terms as, and ranking equally and ratably with, the applicable series of debt securities offered hereby (except for the issue date, the public offering price and, if applicable, the payment of interest accruing prior to the issue date of such additional debt securities and the first payment of interest following the issue date of such additional debt securities); provided that, if such additional debt securities are not fungible with the debt securities of the applicable series offered hereby for U.S. federal securities laws or U.S. federal income tax purposes, such additional debt securities will have one or more separate CUSIP numbers. Such additional debt securities may be consolidated and form a single series with, and will have the same terms as to ranking, redemption, waivers, amendments or otherwise, as the applicable series of debt securities, and will vote together as one series on all matters with respect to such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maturity date of any debt securities falls on a day that is not a Business Day, payment of principal, premium, if any, and interest for such debt securities then due will be paid on the next Business Day. No interest on that payment will accrue from and after the maturity date. Payments of principal, premium, if any, and interest on the debt securities will be made by us through the Trustee to DTC. Each series of debt securities will be issued in the form of one or more fully registered global securities in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indenture, we may consolidate with or merge into another entity or sell, convey, transfer, lease or otherwise dispose of all or substantially all of our property or assets to any other person or entity, provided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continuing entity, or the successor entity formed from the consolidation, merger, sale or conveyance or the entity that received the transfer of or leases the assets or other disposal is a person organized and validly existing under the laws of the United States, any state thereof or the District of Columbia and expressly assumes, by a supplemental indenture, all of our obligations under the debt securities and the indenture;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254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shall have occurred and be continuing under the indenture; and </w:t>
      </w:r>
      <w:r>
        <mc:AlternateContent>
          <mc:Choice Requires="wps">
            <w:drawing>
              <wp:anchor behindDoc="0" distT="10033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continuing entity deliver to the Trustee an officer’s certificate and an opinion of counsel stating that the transaction and the supplemental indenture complies with this covenant and that all conditions precedent in the indenture relating to the transaction have been satisfied. </w:t>
      </w:r>
      <w:r>
        <mc:AlternateContent>
          <mc:Choice Requires="wps">
            <w:drawing>
              <wp:anchor behindDoc="0" distT="10033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satisfaction of the foregoing conditions, the surviving person shall succeed to, and be substituted for, and may exercise every right and power of us under the indenture and we will be released from all obligations and covenants under the indenture and any debt securities issued pursuant to such indenture; provided that, in the case of a lease of all or substantially all of our assets, we will not be released from any of the obligations or covenants under the indenture and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is an “event of default” under the indenture with respect to each series of debt securities: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principal of or premium, if any, on any note of such series, when due at its stated maturity date, upon optional redemption or otherwise; </w:t>
      </w:r>
      <w:r>
        <mc:AlternateContent>
          <mc:Choice Requires="wps">
            <w:drawing>
              <wp:anchor behindDoc="0" distT="100330" distB="0" distL="25400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pay interest on any note of such series, for 30 days after the date payment is due and payable, if the time of payment has not been extended or deferred; </w:t>
      </w:r>
      <w:r>
        <mc:AlternateContent>
          <mc:Choice Requires="wps">
            <w:drawing>
              <wp:anchor behindDoc="0" distT="10033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by us to comply with any covenant relating to the debt securities of such series, and the failure to comply continues for a period of 60 days after written notice to us by the Trustee or to us and the Trustee by the holders of 25% or more in aggregate principal amount of the outstanding debt securities of that series; and </w:t>
      </w:r>
      <w:r>
        <mc:AlternateContent>
          <mc:Choice Requires="wps">
            <w:drawing>
              <wp:anchor behindDoc="0" distT="10033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various events of bankruptcy, insolvency or reorganization involving us as provided in the indenture. </w:t>
      </w:r>
      <w:r>
        <mc:AlternateContent>
          <mc:Choice Requires="wps">
            <w:drawing>
              <wp:anchor behindDoc="0" distT="10033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a series of debt securities occurs and is continuing, then the Trustee or the holders of not less than 25% in aggregate principal amount of the outstanding debt securities of such series, may, by a notice in writing to us (and to the Trustee if given by the holders), declare to be due and payable immediately the principal of, and accrued and unpaid interest, if any, on the applicable debt securities. In the case of an event of default resulting from certain events of bankruptcy, insolvency or reorganization involving us, the principal (or such specified amount) of and accrued and unpaid interest, if any, on all outstanding debt securities will become and be immediately due and payable without any declaration or other act on the part of the Trustee or any holder of debt securities. At any time after a declaration of acceleration with respect to a series of debt securities has been made, but before a judgment or decree for payment of the money due has been obtained by the Trustee, the holders of a majority in aggregate principal amount of the outstanding debt securities of such series may rescind and annul the acceleration if all events of default, other than the non-payment of accelerated principal and interest, if any, with respect to the debt securities, have been cured or waived as provided in the indenture. The holders of a majority in aggregate principal amount of the outstanding debt securities of such series also have the right to waive past defaults, other than the nonpayment of principal or interest, if any, on any such outstanding note, or in respect of a covenant or a provision that cannot be modified or amended without the consent of all holders of the applicable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will be under no obligation to exercise any of its rights or powers under the indenture at the request of any holder of debt securities, unless the Trustee receives indemnity or security satisfactory to it against any loss, liability or expense. Subject to certain rights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Trustee, the holders of a majority in principal amount of the outstanding debt securities of a series will have the right to direct the time, method and place of conducting any proceeding for any remedy available to the Trustee or exercising any trust or power conferred on the Trustee with respect to such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such series of debt securities;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such series have made a written request to the Trustee and offered indemnity or security satisfactory to the Trustee to institute the proceeding as Trustee; and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instituted the proceeding, and has not received from the holders of a majority in aggregate principal amount of the outstanding debt securities of such series, a direction inconsistent with that request and has failed to institute the proceeding within the preceding 60 days.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debt securities will have an absolute and unconditional right to receive payment of the principal of, premium and any interest on that note on or after the due dates expressed in that note and to institute suit for the enforcement of such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within 90 days after any default occurs and a trust officer of the Trustee receives written notice of such default at its corporate trust office, give notice of such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of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make modifications and amendments to the indenture with the consent of the holders of a majority in aggregate principal amount of the outstanding debt securities of each series affected by the modification or amendment. We may also make modifications and amendments to the indenture, without consent of the holders, for certain purposes including, but not limited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our successor to assume the covenants under the indenture;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covenants or Events of Default;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certain changes to facilitate the issuance of the debt securities;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securing the debt securities;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a successor trustee;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curing any ambiguities, defects, errors or inconsistencies;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permitting or facilitating the defeasance and discharge of the debt securities;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qualifying the indenture under the Trust Indenture Act of 1939, as amended;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any change that does not adversely affect the rights of any holder of debt securities of such series in any material respect; and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other changes specified in the indenture. </w:t>
      </w:r>
      <w:r>
        <mc:AlternateContent>
          <mc:Choice Requires="wps">
            <w:drawing>
              <wp:anchor behindDoc="0" distT="736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neither we nor the Trustee may make any modification or amendment without the consent of the holder of each outstanding Note of the series affected by the modification or amendment if such modification or amendment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any debt securities;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premium, if any, or interest on such debt securities;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such debt securities payable on acceleration of maturity;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or the currency in which such debt securities is payable; </w:t>
      </w:r>
      <w:r>
        <mc:AlternateContent>
          <mc:Choice Requires="wps">
            <w:drawing>
              <wp:anchor behindDoc="0" distT="0" distB="0" distL="254000" distR="0" simplePos="0" locked="0" layoutInCell="1" allowOverlap="1" relativeHeight="190">
                <wp:simplePos x="0" y="0"/>
                <wp:positionH relativeFrom="column">
                  <wp:align>left</wp:align>
                </wp:positionH>
                <wp:positionV relativeFrom="line">
                  <wp:posOffset>635</wp:posOffset>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sue for any payment after the stated maturity or redemption date; or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provisions of the indenture that relate to modifying or amending the indenture.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Waivers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the holders of a majority in aggregate principal amount of the outstanding debt securities of any series, may on behalf of all holders of that series: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our compliance with certain covenants of the indenture; and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past default under the indenture, except (1) a default in the payment of the principal of, or any premium or interest on, any debt securities of the series, and (2) a default under any provision of the indenture which itself cannot be modified without the consent of the holders of affected debt securities of the series.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discharged from our obligations on the debt securities of any series if we deposit enough money (in cash and/or U.S. government obligations) with the Trustee to pay all the principal, interest and any premium due to the stated maturity date or redemption date of the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also contains a provision that permits us to elect: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discharged from all of our obligations, subject to limited exceptions, with respect to any series of debt securities then outstanding; and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our obligations under certain covenants, including but not limited to our obligations described above under “— Merger, Consolidation or Sales of Assets,” and from the consequences of an event of default resulting from a breach of such covenants.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the above elections, we must deposit in trust with the Trustee enough money to pay in full the principal, interest and premium on the debt securities to be defeased. This amount may be made in cash and/or U.S. government obligations. As a condition to either of the above elections, we must deliver to the Trustee an opinion of counsel that the holders of the debt securities will not recognize income, gain or loss for United States federal income tax purposes as a result of the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above events occur, the holders of the debt securities of such series will not be entitled to the benefits of the indenture, except for registration of transfer and exchange of debt securities and replacement of lost, stolen or mutilated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debt securities will be, governed by, and construed under,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Trust Company, N.A. is the trustee under the indenture which will govern each series of debt securities. The Trustee’s current address is 500 Ross Street, 12th Floor, Pittsburgh, PA 15262, Attn: Corporate Trust Division. The Trustee is one of a number of banks with which we maintain ordinary banking relationships.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the following defined terms: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calendar day that is not a Saturday, Sunday or legal holiday in New York, New York and on which commercial banks are open for business in New York, New York.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Original Issue Discount Securities</w:t>
      </w:r>
      <w:r>
        <w:rPr>
          <w:rFonts w:ascii="Times New Roman;Times;serif" w:hAnsi="Times New Roman;Times;serif"/>
          <w:b w:val="false"/>
          <w:i w:val="false"/>
          <w:caps w:val="false"/>
          <w:smallCaps w:val="false"/>
          <w:color w:val="000000"/>
          <w:spacing w:val="4"/>
          <w:sz w:val="20"/>
        </w:rPr>
        <w:t xml:space="preserve">” means debt securities that provide for an amount less than the principal amount thereof to be due and payable upon a declaration of acceleration of the maturity thereof pursuant to the provisions therefor in the indenture.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debt securities represented by global notes (“Global Notes”) will be made in U.S. dollars by wire transfer. If we issue debt securities represented by definitive debt securities, the holders of definitive debt securities will be able to receive payments of principal of and interest on their debt securities at the office of our paying agent. Payment of principal of definitive debt securities may be made only against surrender of such debt securities to our paying agent. We have the option, however, of making payments of interest by wire transfer or by mailing checks to the address of the holder appearing in the register of holders of debt securities maintained by the registrar.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any required interest payments to the person in whose name debt securities are registered at the close of business on the record date for the interest payment. The Trustee will be designated as our paying agent for payments on the debt securities. We may from time to time designate additional paying agents, rescind the designation of any paying agent or approve a change in the office through which any paying agent 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in registered, global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Notes will be deposited upon issuance with the Trustee as custodian for The Depository Trust Company (“DTC”) and registered in the name of DTC’s nominee, Cede &amp; Co., in each case for credit to an account of a direct or indirect participant in DTC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the Global Notes may be transferred, in whole but not in part, only to another nominee of DTC or to a successor of DTC or its nominee. Beneficial interests in the Global Notes may not be exchanged for debt securities in registered certificated form (“Certificated Notes”) except in the limited circumstances described below. See “— Exchange of Global Notes for Certificated Notes.” Except in the limited circumstances described below, owners of beneficial interests in the Global Notes will not be entitled to receive physical delivery of Certificated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Same-Day Settlement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payments in respect of the debt securities represented by the Global Notes (including principal, premium, if any, and interest) by wire transfer of immediately available funds to the account specified by the depositary. Any permitted secondary market trading activity in the debt securities will be required by DTC to be settled in immediately available funds. We expect that secondary trading in any Certificated Notes will also be settled in immediately available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requirements of any applicable abandoned property laws, the Trustee and paying agent will repay to us upon written request any funds held by them for payments on the debt securities that remains unclaimed for two years after the date upon which that payment has become due. After repayment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entitled to those funds must look only to us for payment. In that case, all liability of the Trustee or paying agent with respect to that money will cease.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Global Notes for Certificated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upon surrender by DTC of the Global Notes if: (1) DTC (a) notifies us that it is unwilling or unable to continue as depositary for the Global Notes or (b) has ceased to be a clearing agency registered under the Securities Exchange Act of 1934, as amended, and in either event we fail to appoint a successor depositary within 90 days; (2) there has occurred and is continuing an event of default and DTC notifies the Trustee of its decision to exchange the Global Note for Certificated Notes; or (3) we determine not to have the debt securities represented by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all cases, Certificated Notes delivered in exchange for any Global Note or beneficial interests in Global Notes will be registered in the names, and issued in any approved denominations, requested by or on behalf of DTC (in accordance with its customary procedures) and will bear the restrictive legend referred to in “Transfer Restrictions,” unless that legend is not required by the indenture or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or its nominee in identifying the holders of beneficial interests in the Global Notes, and each such person may conclusively rely on, and will be protected in relying on, instructions from DTC for all purposes (including with respect to the registration and delivery, and the respective principal amounts, of the Certificated Notes to be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in one or more of the following ways (or in any combination)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 limited number of purchasers or to a single purchaser; or </w:t>
      </w:r>
      <w:r>
        <mc:AlternateContent>
          <mc:Choice Requires="wps">
            <w:drawing>
              <wp:anchor behindDoc="0" distT="7747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747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state the terms of the offering of the debt securities,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w:t>
      </w:r>
      <w:r>
        <mc:AlternateContent>
          <mc:Choice Requires="wps">
            <w:drawing>
              <wp:anchor behindDoc="0" distT="7747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such debt securities and the proceeds to be received by us; </w:t>
      </w:r>
      <w:r>
        <mc:AlternateContent>
          <mc:Choice Requires="wps">
            <w:drawing>
              <wp:anchor behindDoc="0" distT="7747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or agency fees and other items constituting underwriters’ or agents’ compensation;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debt securities may be listed.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discounts or concessions allowed or reallowed or paid to dealers may be changed from time to time. If we use underwriters in the sale, the debt securities will be acquired by the underwriters for their own account and may be resold from time to time in one or more transactions,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transactions;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public offering price or prices, which may be changed;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prevailing market prices; or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a prospectus supplement, the obligations of the underwriters to purchase any debt securities will be conditioned on customary closing conditions and the underwriters will be obligated to purchase all of such series of debt securities, if any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through agents from time to time. The prospectus supplement will name any agent involved in the offer or sale of the debt securities and any commissions we pay to them. Generally, any agent will be acting on a best 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dealers or agents to solicit offers by certain purchasers to purchase the debt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and agents may be entitled under agreements entered into with us to indemnification by us against certain civil liabilities, including liabilities under the Securities Act of 1933, or to contribution with respect to payments which the underwriters or agents may be required to make. Underwriters and agents may be customers of, engage in transactions with, or perform services for us and our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debt securities other than any re-opening of any notes will be a new issue of debt securities and will have no established trading market. Any underwriters to whom debt securities are sold for public offering and sale may make a market in the debt securities, but such underwriters will not be obligated to do so and may discontinue any market making at any time without notice. The debt securities may or may not be listed on a national securities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VODS"/>
      <w:bookmarkEnd w:id="27"/>
      <w:r>
        <w:rPr>
          <w:rFonts w:ascii="calibri;arial;sans-serif" w:hAnsi="calibri;arial;sans-serif"/>
          <w:b w:val="false"/>
          <w:i w:val="false"/>
          <w:caps w:val="false"/>
          <w:smallCaps w:val="false"/>
          <w:color w:val="000000"/>
          <w:sz w:val="16"/>
        </w:rPr>
        <w:t>​</w:t>
      </w:r>
      <w:bookmarkStart w:id="28" w:name="tEX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debt securities in respect of which this prospectus is being delivered will be passed on for us by Davis Polk &amp; Wardwell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w:t>
      </w:r>
      <w:hyperlink r:id="rId20">
        <w:r>
          <w:rPr>
            <w:rStyle w:val="InternetLink"/>
          </w:rPr>
          <w:t>Annual Report on Form 10-K for the fiscal year ended March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95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$1,000,000,000</w:t>
      </w:r>
      <w:r>
        <w:rPr>
          <w:rFonts w:ascii="Times New Roman;Times;serif" w:hAnsi="Times New Roman;Times;serif"/>
          <w:b/>
          <w:i w:val="false"/>
          <w:caps w:val="false"/>
          <w:smallCaps w:val="false"/>
          <w:color w:val="000000"/>
          <w:spacing w:val="6"/>
          <w:sz w:val="32"/>
        </w:rPr>
        <w:t xml:space="preserve"> </w:t>
      </w:r>
    </w:p>
    <w:p>
      <w:pPr>
        <w:pStyle w:val="TextBody"/>
        <w:bidi w:val="0"/>
        <w:spacing w:before="1480" w:after="283"/>
        <w:jc w:val="center"/>
        <w:rPr>
          <w:caps w:val="false"/>
          <w:smallCaps w:val="false"/>
          <w:color w:val="000000"/>
        </w:rPr>
      </w:pPr>
      <w:r>
        <w:rPr>
          <w:caps w:val="false"/>
          <w:smallCaps w:val="false"/>
          <w:color w:val="000000"/>
        </w:rPr>
        <w:drawing>
          <wp:inline distT="0" distB="0" distL="0" distR="0">
            <wp:extent cx="2667000" cy="857250"/>
            <wp:effectExtent l="0" t="0" r="0" b="0"/>
            <wp:docPr id="20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 descr=""/>
                    <pic:cNvPicPr>
                      <a:picLocks noChangeAspect="1" noChangeArrowheads="1"/>
                    </pic:cNvPicPr>
                  </pic:nvPicPr>
                  <pic:blipFill>
                    <a:blip r:embed="rId21"/>
                    <a:stretch>
                      <a:fillRect/>
                    </a:stretch>
                  </pic:blipFill>
                  <pic:spPr bwMode="auto">
                    <a:xfrm>
                      <a:off x="0" y="0"/>
                      <a:ext cx="2667000" cy="85725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819"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Kyndryl Holdings,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$600,000,000 7.800% Senior Notes due 2029</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$400,000,000 7.875% Senior Notes due 2032</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20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24, 2026 </w:t>
      </w:r>
    </w:p>
    <w:p>
      <w:pPr>
        <w:pStyle w:val="TextBody"/>
        <w:bidi w:val="0"/>
        <w:spacing w:lineRule="atLeast" w:line="240" w:before="954"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Joint Book-Running Managers</w:t>
      </w:r>
      <w:r>
        <w:rPr>
          <w:rFonts w:ascii="Times New Roman;Times;serif" w:hAnsi="Times New Roman;Times;serif"/>
          <w:b/>
          <w:i/>
          <w:caps w:val="false"/>
          <w:smallCaps w:val="false"/>
          <w:color w:val="000000"/>
          <w:spacing w:val="4"/>
          <w:sz w:val="20"/>
        </w:rPr>
        <w:t xml:space="preserve"> </w:t>
      </w:r>
    </w:p>
    <w:tbl>
      <w:tblPr>
        <w:tblW w:w="5061" w:type="dxa"/>
        <w:jc w:val="left"/>
        <w:tblInd w:w="1393" w:type="dxa"/>
        <w:tblLayout w:type="fixed"/>
        <w:tblCellMar>
          <w:top w:w="0" w:type="dxa"/>
          <w:left w:w="0" w:type="dxa"/>
          <w:bottom w:w="0" w:type="dxa"/>
          <w:right w:w="0" w:type="dxa"/>
        </w:tblCellMar>
      </w:tblPr>
      <w:tblGrid>
        <w:gridCol w:w="124"/>
        <w:gridCol w:w="1273"/>
        <w:gridCol w:w="109"/>
        <w:gridCol w:w="109"/>
        <w:gridCol w:w="1459"/>
        <w:gridCol w:w="109"/>
        <w:gridCol w:w="109"/>
        <w:gridCol w:w="1615"/>
        <w:gridCol w:w="154"/>
      </w:tblGrid>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Morgan Stanley</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Mizuho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MUFG</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0"/>
              <w:jc w:val="center"/>
              <w:rPr/>
            </w:pPr>
            <w:r>
              <w:rPr>
                <w:spacing w:val="-6"/>
              </w:rPr>
              <w:t>Scotiabank</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9" w:type="dxa"/>
            <w:tcBorders/>
            <w:vAlign w:val="center"/>
          </w:tcPr>
          <w:p>
            <w:pPr>
              <w:pStyle w:val="TableContents"/>
              <w:bidi w:val="0"/>
              <w:spacing w:before="0" w:after="0"/>
              <w:jc w:val="center"/>
              <w:rPr/>
            </w:pPr>
            <w:r>
              <w:rPr>
                <w:spacing w:val="-6"/>
              </w:rPr>
              <w:t>SMBC Nikko</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5"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14"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Co-Managers</w:t>
      </w:r>
      <w:r>
        <w:rPr>
          <w:rFonts w:ascii="Times New Roman;Times;serif" w:hAnsi="Times New Roman;Times;serif"/>
          <w:b/>
          <w:i/>
          <w:caps w:val="false"/>
          <w:smallCaps w:val="false"/>
          <w:color w:val="000000"/>
          <w:spacing w:val="4"/>
          <w:sz w:val="20"/>
        </w:rPr>
        <w:t xml:space="preserve"> </w:t>
      </w:r>
    </w:p>
    <w:tbl>
      <w:tblPr>
        <w:tblW w:w="6257" w:type="dxa"/>
        <w:jc w:val="left"/>
        <w:tblInd w:w="1393" w:type="dxa"/>
        <w:tblLayout w:type="fixed"/>
        <w:tblCellMar>
          <w:top w:w="0" w:type="dxa"/>
          <w:left w:w="0" w:type="dxa"/>
          <w:bottom w:w="0" w:type="dxa"/>
          <w:right w:w="0" w:type="dxa"/>
        </w:tblCellMar>
      </w:tblPr>
      <w:tblGrid>
        <w:gridCol w:w="124"/>
        <w:gridCol w:w="1421"/>
        <w:gridCol w:w="109"/>
        <w:gridCol w:w="109"/>
        <w:gridCol w:w="2501"/>
        <w:gridCol w:w="109"/>
        <w:gridCol w:w="109"/>
        <w:gridCol w:w="1621"/>
        <w:gridCol w:w="154"/>
      </w:tblGrid>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BBVA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Deutsche Bank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center"/>
              <w:rPr/>
            </w:pPr>
            <w:r>
              <w:rPr>
                <w:spacing w:val="-5"/>
              </w:rPr>
              <w:t>Santander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0"/>
              <w:jc w:val="center"/>
              <w:rPr/>
            </w:pPr>
            <w:r>
              <w:rPr>
                <w:spacing w:val="-5"/>
              </w:rPr>
              <w:t>TD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center"/>
              <w:rPr/>
            </w:pPr>
            <w:r>
              <w:rPr>
                <w:spacing w:val="-5"/>
              </w:rPr>
              <w:t>BofA Securities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1" w:type="dxa"/>
            <w:tcBorders/>
            <w:vAlign w:val="center"/>
          </w:tcPr>
          <w:p>
            <w:pPr>
              <w:pStyle w:val="TableContents"/>
              <w:bidi w:val="0"/>
              <w:spacing w:before="0" w:after="0"/>
              <w:jc w:val="center"/>
              <w:rPr/>
            </w:pPr>
            <w:r>
              <w:rPr>
                <w:spacing w:val="-5"/>
              </w:rPr>
              <w:t>Lloyds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9" w:name="tm2625717d2_ex-filingfees.htm"/>
      <w:bookmarkStart w:id="30" w:name="kstm2625717d2_exfilingfees"/>
      <w:bookmarkStart w:id="31" w:name="tm2625717d2_ex-filingfees.htm"/>
      <w:bookmarkStart w:id="32" w:name="kstm2625717d2_exfilingfees"/>
      <w:bookmarkEnd w:id="31"/>
      <w:bookmarkEnd w:id="32"/>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Kyndryl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7.800%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600,000,000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$ 598,962,000.00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$ 82,716.65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7.875%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400,000,000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$ 395,284,000.00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$ 54,588.72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3" w:name="MaxAggtOfferingPrice"/>
            <w:bookmarkEnd w:id="33"/>
            <w:r>
              <w:rPr/>
              <w:t xml:space="preserve">$ 994,246,000.00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$ 137,305.37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NetFeeAmt"/>
            <w:bookmarkEnd w:id="37"/>
            <w:r>
              <w:rPr/>
              <w:t xml:space="preserve">$ 137,305.37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
        <w:gridCol w:w="1292"/>
        <w:gridCol w:w="8694"/>
      </w:tblGrid>
      <w:tr>
        <w:trPr/>
        <w:tc>
          <w:tcPr>
            <w:tcW w:w="21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6" w:type="dxa"/>
            <w:gridSpan w:val="2"/>
            <w:tcBorders/>
            <w:vAlign w:val="center"/>
          </w:tcPr>
          <w:p>
            <w:pPr>
              <w:pStyle w:val="TableContents"/>
              <w:bidi w:val="0"/>
              <w:spacing w:before="0" w:after="283"/>
              <w:jc w:val="left"/>
              <w:rPr/>
            </w:pPr>
            <w:r>
              <w:rPr/>
              <w:t xml:space="preserve">This registration fee table shall be deemed to update the "Calculation of Filing Fee Tables" in the Company's Registration Statement on Form S-3 (File No. 333-276713) in accordance with Rules 456(b) and 457(r) under the Securities Act of 1933.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r>
        <w:trPr/>
        <w:tc>
          <w:tcPr>
            <w:tcW w:w="21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6" w:type="dxa"/>
            <w:gridSpan w:val="2"/>
            <w:tcBorders/>
            <w:vAlign w:val="center"/>
          </w:tcPr>
          <w:p>
            <w:pPr>
              <w:pStyle w:val="TableContents"/>
              <w:bidi w:val="0"/>
              <w:spacing w:before="0" w:after="283"/>
              <w:jc w:val="left"/>
              <w:rPr/>
            </w:pPr>
            <w:r>
              <w:rPr/>
              <w:t xml:space="preserve">See Note 1.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$994,246,000.00.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67072/000110465926067881/kd-20260331x10k.htm" TargetMode="External"/><Relationship Id="rId4" Type="http://schemas.openxmlformats.org/officeDocument/2006/relationships/hyperlink" Target="https://www.sec.gov/ix?doc=/Archives/edgar/data/1867072/000110465926067881/kd-20260331x10k.htm" TargetMode="External"/><Relationship Id="rId5" Type="http://schemas.openxmlformats.org/officeDocument/2006/relationships/hyperlink" Target="https://www.sec.gov/ix?doc=/Archives/edgar/data/1867072/000114036126025446/ny20056451x771_def14a.htm" TargetMode="External"/><Relationship Id="rId6" Type="http://schemas.openxmlformats.org/officeDocument/2006/relationships/hyperlink" Target="https://www.sec.gov/ix?doc=/Archives/edgar/data/1867072/000110465926091129/kd-20260630x10q.htm" TargetMode="External"/><Relationship Id="rId7" Type="http://schemas.openxmlformats.org/officeDocument/2006/relationships/hyperlink" Target="https://www.sec.gov/ix?doc=/Archives/edgar/data/1867072/000110465926055902/kd-20260505x8k.htm" TargetMode="External"/><Relationship Id="rId8" Type="http://schemas.openxmlformats.org/officeDocument/2006/relationships/hyperlink" Target="https://www.sec.gov/ix?doc=/Archives/edgar/data/1867072/000110465926080558/tm2619785d1_8k.htm" TargetMode="External"/><Relationship Id="rId9" Type="http://schemas.openxmlformats.org/officeDocument/2006/relationships/hyperlink" Target="https://www.sec.gov/ix?doc=/Archives/edgar/data/1867072/000110465926089216/tm2621786d1_8k.htm" TargetMode="External"/><Relationship Id="rId10" Type="http://schemas.openxmlformats.org/officeDocument/2006/relationships/image" Target="media/image1.jpeg"/><Relationship Id="rId11" Type="http://schemas.openxmlformats.org/officeDocument/2006/relationships/hyperlink" Target="https://www.sec.gov/ix?doc=/Archives/edgar/data/1867072/000155837023010545/kd-20230331x10k.htm" TargetMode="External"/><Relationship Id="rId12" Type="http://schemas.openxmlformats.org/officeDocument/2006/relationships/hyperlink" Target="https://www.sec.gov/ix?doc=/Archives/edgar/data/1867072/000155837023010545/kd-20230331x10k.htm" TargetMode="External"/><Relationship Id="rId13" Type="http://schemas.openxmlformats.org/officeDocument/2006/relationships/hyperlink" Target="https://www.sec.gov/ix?doc=/Archives/edgar/data/1867072/000114036123029850/ny20005020x1_def14a.htm" TargetMode="External"/><Relationship Id="rId14" Type="http://schemas.openxmlformats.org/officeDocument/2006/relationships/hyperlink" Target="https://www.sec.gov/ix?doc=/Archives/edgar/data/1867072/000155837023013935/kd-20230630x10q.htm" TargetMode="External"/><Relationship Id="rId15" Type="http://schemas.openxmlformats.org/officeDocument/2006/relationships/hyperlink" Target="https://www.sec.gov/ix?doc=/Archives/edgar/data/1867072/000155837023018275/kd-20230930x10q.htm" TargetMode="External"/><Relationship Id="rId16" Type="http://schemas.openxmlformats.org/officeDocument/2006/relationships/hyperlink" Target="https://www.sec.gov/ix?doc=/Archives/edgar/data/1867072/000110465923074355/tm2319411d1_8k.htm" TargetMode="External"/><Relationship Id="rId17" Type="http://schemas.openxmlformats.org/officeDocument/2006/relationships/hyperlink" Target="https://www.sec.gov/ix?doc=/Archives/edgar/data/1867072/000110465923085864/tm2322073d2_8k.htm" TargetMode="External"/><Relationship Id="rId18" Type="http://schemas.openxmlformats.org/officeDocument/2006/relationships/hyperlink" Target="https://www.sec.gov/ix?doc=/Archives/edgar/data/1867072/000155837023010545/kd-20230331x10k.htm" TargetMode="External"/><Relationship Id="rId19" Type="http://schemas.openxmlformats.org/officeDocument/2006/relationships/hyperlink" Target="https://www.sec.gov/ix?doc=/Archives/edgar/data/1867072/000155837023010545/kd-20230331x10k.htm" TargetMode="External"/><Relationship Id="rId20" Type="http://schemas.openxmlformats.org/officeDocument/2006/relationships/hyperlink" Target="https://www.sec.gov/ix?doc=/Archives/edgar/data/1867072/000155837023010545/kd-20230331x10k.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33238</Words>
  <Characters>172514</Characters>
  <CharactersWithSpaces>207317</CharactersWithSpaces>
  <Paragraphs>2587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